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213" w:type="dxa"/>
        <w:jc w:val="center"/>
        <w:tblInd w:w="0" w:type="dxa"/>
        <w:tblLayout w:type="fixed"/>
        <w:tblCellMar>
          <w:top w:w="28" w:type="dxa"/>
          <w:left w:w="28" w:type="dxa"/>
          <w:bottom w:w="28" w:type="dxa"/>
          <w:right w:w="28" w:type="dxa"/>
        </w:tblCellMar>
      </w:tblPr>
      <w:tblGrid>
        <w:gridCol w:w="210"/>
        <w:gridCol w:w="184"/>
        <w:gridCol w:w="184"/>
        <w:gridCol w:w="184"/>
        <w:gridCol w:w="184"/>
        <w:gridCol w:w="267"/>
      </w:tblGrid>
      <w:tr>
        <w:trPr/>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213"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10-Q</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160" w:after="283"/>
        <w:jc w:val="center"/>
        <w:rPr>
          <w:rFonts w:ascii="Times New Roman;serif" w:hAnsi="Times New Roman;serif"/>
          <w:b w:val="false"/>
          <w:color w:val="000000"/>
          <w:sz w:val="24"/>
        </w:rPr>
      </w:pPr>
      <w:r>
        <w:rPr>
          <w:rFonts w:ascii="Times New Roman;serif" w:hAnsi="Times New Roman;serif"/>
          <w:b w:val="false"/>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1-16411 </w:t>
      </w:r>
    </w:p>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 xml:space="preserve">NORTHROP GRUMMAN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273" w:type="dxa"/>
        <w:jc w:val="left"/>
        <w:tblInd w:w="0" w:type="dxa"/>
        <w:tblLayout w:type="fixed"/>
        <w:tblCellMar>
          <w:top w:w="28" w:type="dxa"/>
          <w:left w:w="28" w:type="dxa"/>
          <w:bottom w:w="28" w:type="dxa"/>
          <w:right w:w="28" w:type="dxa"/>
        </w:tblCellMar>
      </w:tblPr>
      <w:tblGrid>
        <w:gridCol w:w="607"/>
        <w:gridCol w:w="533"/>
        <w:gridCol w:w="533"/>
        <w:gridCol w:w="533"/>
        <w:gridCol w:w="533"/>
        <w:gridCol w:w="558"/>
        <w:gridCol w:w="109"/>
        <w:gridCol w:w="109"/>
        <w:gridCol w:w="109"/>
        <w:gridCol w:w="481"/>
        <w:gridCol w:w="481"/>
        <w:gridCol w:w="687"/>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80-0640649</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2980 Fairview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Falls Church,</w:t>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22042</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280-2900 </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Yes ☒    No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Yes ☒    No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Large Accelerated Filer ☒     Accelerated Filer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Non-accelerated Filer ☐    Smaller Reporting Company ☐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60" w:after="100"/>
        <w:jc w:val="left"/>
        <w:rPr>
          <w:color w:val="000000"/>
        </w:rPr>
      </w:pPr>
      <w:r>
        <w:rPr>
          <w:color w:val="000000"/>
        </w:rPr>
        <w:t>    </w:t>
      </w:r>
      <w:r>
        <w:rPr>
          <w:rFonts w:ascii="Times New Roman;serif" w:hAnsi="Times New Roman;serif"/>
          <w:b w:val="false"/>
          <w:color w:val="000000"/>
          <w:sz w:val="20"/>
        </w:rPr>
        <w:t>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16, 2026, 142,063,026 shares of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687" w:type="dxa"/>
        <w:jc w:val="left"/>
        <w:tblInd w:w="0" w:type="dxa"/>
        <w:tblLayout w:type="fixed"/>
        <w:tblCellMar>
          <w:top w:w="28" w:type="dxa"/>
          <w:left w:w="28" w:type="dxa"/>
          <w:bottom w:w="28" w:type="dxa"/>
          <w:right w:w="28" w:type="dxa"/>
        </w:tblCellMar>
      </w:tblPr>
      <w:tblGrid>
        <w:gridCol w:w="293"/>
        <w:gridCol w:w="257"/>
        <w:gridCol w:w="261"/>
        <w:gridCol w:w="2454"/>
        <w:gridCol w:w="2454"/>
        <w:gridCol w:w="2457"/>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a9c92f1f8a943f4a2bb2166d988b3e7_10">
              <w:r>
                <w:rPr>
                  <w:rStyle w:val="InternetLink"/>
                  <w:rFonts w:ascii="Times New Roman;serif" w:hAnsi="Times New Roman;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6">
              <w:r>
                <w:rPr>
                  <w:rStyle w:val="InternetLink"/>
                  <w:rFonts w:ascii="Times New Roman;serif" w:hAnsi="Times New Roman;serif"/>
                  <w:b w:val="false"/>
                  <w:color w:val="0000FF"/>
                  <w:sz w:val="20"/>
                  <w:u w:val="single"/>
                </w:rPr>
                <w:t>Condensed Consolidated Statements of Earnings and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9">
              <w:r>
                <w:rPr>
                  <w:rStyle w:val="InternetLink"/>
                  <w:rFonts w:ascii="Times New Roman;serif" w:hAnsi="Times New Roman;serif"/>
                  <w:b w:val="false"/>
                  <w:color w:val="0000FF"/>
                  <w:sz w:val="20"/>
                  <w:u w:val="single"/>
                </w:rPr>
                <w:t>Condensed Consolidated Statements of Financial Position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9">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22">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22">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25">
              <w:r>
                <w:rPr>
                  <w:rStyle w:val="InternetLink"/>
                  <w:rFonts w:ascii="Times New Roman;serif" w:hAnsi="Times New Roman;serif"/>
                  <w:b w:val="false"/>
                  <w:color w:val="0000FF"/>
                  <w:sz w:val="20"/>
                  <w:u w:val="single"/>
                </w:rPr>
                <w:t>Condensed Consolidated Statements of Changes in Shareholders’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25">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28">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31">
              <w:r>
                <w:rPr>
                  <w:rStyle w:val="InternetLink"/>
                  <w:rFonts w:ascii="Times New Roman;serif" w:hAnsi="Times New Roman;serif"/>
                  <w:b w:val="false"/>
                  <w:color w:val="0000FF"/>
                  <w:sz w:val="20"/>
                  <w:u w:val="single"/>
                </w:rPr>
                <w:t>1. Summary of Significant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31">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34">
              <w:r>
                <w:rPr>
                  <w:rStyle w:val="InternetLink"/>
                  <w:rFonts w:ascii="Times New Roman;serif" w:hAnsi="Times New Roman;serif"/>
                  <w:b w:val="false"/>
                  <w:color w:val="0000FF"/>
                  <w:sz w:val="20"/>
                  <w:u w:val="single"/>
                </w:rPr>
                <w:t>2. Earnings Per Share, Share Repurchases and Dividends on Common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34">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37">
              <w:r>
                <w:rPr>
                  <w:rStyle w:val="InternetLink"/>
                  <w:rFonts w:ascii="Times New Roman;serif" w:hAnsi="Times New Roman;serif"/>
                  <w:b w:val="false"/>
                  <w:color w:val="0000FF"/>
                  <w:sz w:val="20"/>
                  <w:u w:val="single"/>
                </w:rPr>
                <w:t>3. Inventoried Costs, Net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37">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40">
              <w:r>
                <w:rPr>
                  <w:rStyle w:val="InternetLink"/>
                  <w:rFonts w:ascii="Times New Roman;serif" w:hAnsi="Times New Roman;serif"/>
                  <w:b w:val="false"/>
                  <w:color w:val="0000FF"/>
                  <w:sz w:val="20"/>
                  <w:u w:val="single"/>
                </w:rPr>
                <w:t>4.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40">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43">
              <w:r>
                <w:rPr>
                  <w:rStyle w:val="InternetLink"/>
                  <w:rFonts w:ascii="Times New Roman;serif" w:hAnsi="Times New Roman;serif"/>
                  <w:b w:val="false"/>
                  <w:color w:val="0000FF"/>
                  <w:sz w:val="20"/>
                  <w:u w:val="single"/>
                </w:rPr>
                <w:t>5. Fair Value of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43">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46">
              <w:r>
                <w:rPr>
                  <w:rStyle w:val="InternetLink"/>
                  <w:rFonts w:ascii="Times New Roman;serif" w:hAnsi="Times New Roman;serif"/>
                  <w:b w:val="false"/>
                  <w:color w:val="0000FF"/>
                  <w:sz w:val="20"/>
                  <w:u w:val="single"/>
                </w:rPr>
                <w:t>6. Investigations, Claims and Litigation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46">
              <w:r>
                <w:rPr>
                  <w:rStyle w:val="InternetLink"/>
                  <w:rFonts w:ascii="Times New Roman;serif" w:hAnsi="Times New Roman;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49">
              <w:r>
                <w:rPr>
                  <w:rStyle w:val="InternetLink"/>
                  <w:rFonts w:ascii="Times New Roman;serif" w:hAnsi="Times New Roman;serif"/>
                  <w:b w:val="false"/>
                  <w:color w:val="0000FF"/>
                  <w:sz w:val="20"/>
                  <w:u w:val="single"/>
                </w:rPr>
                <w:t>7. Commitments and Contingencies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49">
              <w:r>
                <w:rPr>
                  <w:rStyle w:val="InternetLink"/>
                  <w:rFonts w:ascii="Times New Roman;serif" w:hAnsi="Times New Roman;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52">
              <w:r>
                <w:rPr>
                  <w:rStyle w:val="InternetLink"/>
                  <w:rFonts w:ascii="Times New Roman;serif" w:hAnsi="Times New Roman;serif"/>
                  <w:b w:val="false"/>
                  <w:color w:val="0000FF"/>
                  <w:sz w:val="20"/>
                  <w:u w:val="single"/>
                </w:rPr>
                <w:t>8. Retirement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52">
              <w:r>
                <w:rPr>
                  <w:rStyle w:val="InternetLink"/>
                  <w:rFonts w:ascii="Times New Roman;serif" w:hAnsi="Times New Roman;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55">
              <w:r>
                <w:rPr>
                  <w:rStyle w:val="InternetLink"/>
                  <w:rFonts w:ascii="Times New Roman;serif" w:hAnsi="Times New Roman;serif"/>
                  <w:b w:val="false"/>
                  <w:color w:val="0000FF"/>
                  <w:sz w:val="20"/>
                  <w:u w:val="single"/>
                </w:rPr>
                <w:t>9. Stock Compensation Plans and Other Compensation Arrangements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55">
              <w:r>
                <w:rPr>
                  <w:rStyle w:val="InternetLink"/>
                  <w:rFonts w:ascii="Times New Roman;serif" w:hAnsi="Times New Roman;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61">
              <w:r>
                <w:rPr>
                  <w:rStyle w:val="InternetLink"/>
                  <w:rFonts w:ascii="Times New Roman;serif" w:hAnsi="Times New Roman;serif"/>
                  <w:b w:val="false"/>
                  <w:color w:val="0000FF"/>
                  <w:sz w:val="20"/>
                  <w:u w:val="single"/>
                </w:rPr>
                <w:t>10. Segment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61">
              <w:r>
                <w:rPr>
                  <w:rStyle w:val="InternetLink"/>
                  <w:rFonts w:ascii="Times New Roman;serif" w:hAnsi="Times New Roman;serif"/>
                  <w:b w:val="false"/>
                  <w:color w:val="0000FF"/>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64">
              <w:r>
                <w:rPr>
                  <w:rStyle w:val="InternetLink"/>
                  <w:rFonts w:ascii="Times New Roman;serif" w:hAnsi="Times New Roman;serif"/>
                  <w:b w:val="false"/>
                  <w:color w:val="0000FF"/>
                  <w:sz w:val="20"/>
                  <w:u w:val="single"/>
                </w:rPr>
                <w:t>Report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64">
              <w:r>
                <w:rPr>
                  <w:rStyle w:val="InternetLink"/>
                  <w:rFonts w:ascii="Times New Roman;serif" w:hAnsi="Times New Roman;serif"/>
                  <w:b w:val="false"/>
                  <w:color w:val="0000FF"/>
                  <w:sz w:val="20"/>
                  <w:u w:val="singl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70">
              <w:r>
                <w:rPr>
                  <w:rStyle w:val="InternetLink"/>
                  <w:rFonts w:ascii="Times New Roman;serif" w:hAnsi="Times New Roman;serif"/>
                  <w:b w:val="false"/>
                  <w:color w:val="0000FF"/>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70">
              <w:r>
                <w:rPr>
                  <w:rStyle w:val="InternetLink"/>
                  <w:rFonts w:ascii="Times New Roman;serif" w:hAnsi="Times New Roman;serif"/>
                  <w:b w:val="false"/>
                  <w:color w:val="0000FF"/>
                  <w:sz w:val="20"/>
                  <w:u w:val="single"/>
                </w:rPr>
                <w:t>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73">
              <w:r>
                <w:rPr>
                  <w:rStyle w:val="InternetLink"/>
                  <w:rFonts w:ascii="Times New Roman;serif" w:hAnsi="Times New Roman;serif"/>
                  <w:b w:val="false"/>
                  <w:color w:val="0000FF"/>
                  <w:sz w:val="20"/>
                  <w:u w:val="single"/>
                </w:rPr>
                <w:t>Consolidated Operating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73">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76">
              <w:r>
                <w:rPr>
                  <w:rStyle w:val="InternetLink"/>
                  <w:rFonts w:ascii="Times New Roman;serif" w:hAnsi="Times New Roman;serif"/>
                  <w:b w:val="false"/>
                  <w:color w:val="0000FF"/>
                  <w:sz w:val="20"/>
                  <w:u w:val="single"/>
                </w:rPr>
                <w:t>Segment Operating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76">
              <w:r>
                <w:rPr>
                  <w:rStyle w:val="InternetLink"/>
                  <w:rFonts w:ascii="Times New Roman;serif" w:hAnsi="Times New Roman;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79">
              <w:r>
                <w:rPr>
                  <w:rStyle w:val="InternetLink"/>
                  <w:rFonts w:ascii="Times New Roman;serif" w:hAnsi="Times New Roman;serif"/>
                  <w:b w:val="false"/>
                  <w:color w:val="0000FF"/>
                  <w:sz w:val="20"/>
                  <w:u w:val="single"/>
                </w:rPr>
                <w:t>Product and Service Analysis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79">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82">
              <w:r>
                <w:rPr>
                  <w:rStyle w:val="InternetLink"/>
                  <w:rFonts w:ascii="Times New Roman;serif" w:hAnsi="Times New Roman;serif"/>
                  <w:b w:val="false"/>
                  <w:color w:val="0000FF"/>
                  <w:sz w:val="20"/>
                  <w:u w:val="single"/>
                </w:rPr>
                <w:t>Backlog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82">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85">
              <w:r>
                <w:rPr>
                  <w:rStyle w:val="InternetLink"/>
                  <w:rFonts w:ascii="Times New Roman;serif" w:hAnsi="Times New Roman;serif"/>
                  <w:b w:val="false"/>
                  <w:color w:val="0000FF"/>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85">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88">
              <w:r>
                <w:rPr>
                  <w:rStyle w:val="InternetLink"/>
                  <w:rFonts w:ascii="Times New Roman;serif" w:hAnsi="Times New Roman;serif"/>
                  <w:b w:val="false"/>
                  <w:color w:val="0000FF"/>
                  <w:sz w:val="20"/>
                  <w:u w:val="single"/>
                </w:rPr>
                <w:t>Critical Accounting Policies, Estimates and Judgments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88">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88">
              <w:r>
                <w:rPr>
                  <w:rStyle w:val="InternetLink"/>
                  <w:rFonts w:ascii="Times New Roman;serif" w:hAnsi="Times New Roman;serif"/>
                  <w:b w:val="false"/>
                  <w:color w:val="0000FF"/>
                  <w:sz w:val="20"/>
                  <w:u w:val="single"/>
                </w:rPr>
                <w:t>Accounting Standards Updates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88">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91">
              <w:r>
                <w:rPr>
                  <w:rStyle w:val="InternetLink"/>
                  <w:rFonts w:ascii="Times New Roman;serif" w:hAnsi="Times New Roman;serif"/>
                  <w:b w:val="false"/>
                  <w:color w:val="0000FF"/>
                  <w:sz w:val="20"/>
                  <w:u w:val="single"/>
                </w:rPr>
                <w:t>Forward-Looking Statements and Projections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91">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94">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94">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97">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97">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a9c92f1f8a943f4a2bb2166d988b3e7_100">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03">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03">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0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06">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0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09">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12">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12">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15">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15">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9c92f1f8a943f4a2bb2166d988b3e7_118">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92f1f8a943f4a2bb2166d988b3e7_118">
              <w:r>
                <w:rPr>
                  <w:rStyle w:val="InternetLink"/>
                  <w:rFonts w:ascii="Times New Roman;serif" w:hAnsi="Times New Roman;serif"/>
                  <w:b w:val="false"/>
                  <w:color w:val="0000FF"/>
                  <w:sz w:val="20"/>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EARNINGS AND COMPREHENSIVE INCOME (Unaudited)</w:t>
      </w:r>
    </w:p>
    <w:tbl>
      <w:tblPr>
        <w:tblW w:w="10171" w:type="dxa"/>
        <w:jc w:val="left"/>
        <w:tblInd w:w="0" w:type="dxa"/>
        <w:tblLayout w:type="fixed"/>
        <w:tblCellMar>
          <w:top w:w="28" w:type="dxa"/>
          <w:left w:w="28" w:type="dxa"/>
          <w:bottom w:w="28" w:type="dxa"/>
          <w:right w:w="28" w:type="dxa"/>
        </w:tblCellMar>
      </w:tblPr>
      <w:tblGrid>
        <w:gridCol w:w="1769"/>
        <w:gridCol w:w="1557"/>
        <w:gridCol w:w="1563"/>
        <w:gridCol w:w="237"/>
        <w:gridCol w:w="709"/>
        <w:gridCol w:w="122"/>
        <w:gridCol w:w="122"/>
        <w:gridCol w:w="122"/>
        <w:gridCol w:w="122"/>
        <w:gridCol w:w="237"/>
        <w:gridCol w:w="693"/>
        <w:gridCol w:w="122"/>
        <w:gridCol w:w="109"/>
        <w:gridCol w:w="109"/>
        <w:gridCol w:w="109"/>
        <w:gridCol w:w="211"/>
        <w:gridCol w:w="736"/>
        <w:gridCol w:w="109"/>
        <w:gridCol w:w="109"/>
        <w:gridCol w:w="109"/>
        <w:gridCol w:w="109"/>
        <w:gridCol w:w="211"/>
        <w:gridCol w:w="721"/>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8,808</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9,780</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FAS pension benefit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foreign income tax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in millions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37"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w:t>
            </w:r>
            <w:r>
              <w:rPr>
                <w:color w:val="000000"/>
              </w:rPr>
              <w:t> </w:t>
            </w:r>
          </w:p>
        </w:tc>
        <w:tc>
          <w:tcPr>
            <w:tcW w:w="12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2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13.83</w:t>
            </w: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diluted shares outstanding, in millions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above)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cumulative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1,091</w:t>
            </w:r>
            <w:r>
              <w:rPr>
                <w:color w:val="000000"/>
              </w:rPr>
              <w:t>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FINANCIAL POSITION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37"/>
        <w:gridCol w:w="2230"/>
        <w:gridCol w:w="2238"/>
        <w:gridCol w:w="237"/>
        <w:gridCol w:w="830"/>
        <w:gridCol w:w="122"/>
        <w:gridCol w:w="109"/>
        <w:gridCol w:w="109"/>
        <w:gridCol w:w="109"/>
        <w:gridCol w:w="287"/>
        <w:gridCol w:w="983"/>
        <w:gridCol w:w="214"/>
      </w:tblGrid>
      <w:tr>
        <w:trPr/>
        <w:tc>
          <w:tcPr>
            <w:tcW w:w="2737"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par value</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15,590</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$10,061 for 2026 and $9,648 for 2025</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17,439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50,763</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billings in excess of costs incurred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4,636</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13,345</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 of $763 for 2026 and $534 for 2025</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14,428</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32,879</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7)</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 par value; 10,000,000 shares authorized; no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 par value; 800,000,000 shares authorized; issued and outstanding: 2026—142,062,680 and 2025—141,997,194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17,884</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50,763</w:t>
            </w:r>
            <w:r>
              <w:rPr>
                <w:color w:val="000000"/>
              </w:rPr>
              <w:t>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51,377 </w:t>
            </w:r>
          </w:p>
        </w:tc>
        <w:tc>
          <w:tcPr>
            <w:tcW w:w="2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ind w:left="0" w:right="0" w:firstLine="72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(Unaudited)</w:t>
      </w:r>
    </w:p>
    <w:tbl>
      <w:tblPr>
        <w:tblW w:w="7703" w:type="dxa"/>
        <w:jc w:val="left"/>
        <w:tblInd w:w="0" w:type="dxa"/>
        <w:tblLayout w:type="fixed"/>
        <w:tblCellMar>
          <w:top w:w="28" w:type="dxa"/>
          <w:left w:w="28" w:type="dxa"/>
          <w:bottom w:w="28" w:type="dxa"/>
          <w:right w:w="28" w:type="dxa"/>
        </w:tblCellMar>
      </w:tblPr>
      <w:tblGrid>
        <w:gridCol w:w="1946"/>
        <w:gridCol w:w="1704"/>
        <w:gridCol w:w="1719"/>
        <w:gridCol w:w="218"/>
        <w:gridCol w:w="653"/>
        <w:gridCol w:w="112"/>
        <w:gridCol w:w="112"/>
        <w:gridCol w:w="112"/>
        <w:gridCol w:w="112"/>
        <w:gridCol w:w="218"/>
        <w:gridCol w:w="638"/>
        <w:gridCol w:w="159"/>
      </w:tblGrid>
      <w:tr>
        <w:trPr/>
        <w:tc>
          <w:tcPr>
            <w:tcW w:w="194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 used in operating activities: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B-21 loss provision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OPB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OPB contributions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payments and billings in excess of costs incurred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training services business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on commercial paper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employee taxes withheld from share-based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and cash equivalents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1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(Unaudited)</w:t>
      </w:r>
    </w:p>
    <w:tbl>
      <w:tblPr>
        <w:tblW w:w="9108" w:type="dxa"/>
        <w:jc w:val="left"/>
        <w:tblInd w:w="0" w:type="dxa"/>
        <w:tblLayout w:type="fixed"/>
        <w:tblCellMar>
          <w:top w:w="28" w:type="dxa"/>
          <w:left w:w="28" w:type="dxa"/>
          <w:bottom w:w="28" w:type="dxa"/>
          <w:right w:w="28" w:type="dxa"/>
        </w:tblCellMar>
      </w:tblPr>
      <w:tblGrid>
        <w:gridCol w:w="1384"/>
        <w:gridCol w:w="1218"/>
        <w:gridCol w:w="1222"/>
        <w:gridCol w:w="216"/>
        <w:gridCol w:w="756"/>
        <w:gridCol w:w="112"/>
        <w:gridCol w:w="112"/>
        <w:gridCol w:w="112"/>
        <w:gridCol w:w="112"/>
        <w:gridCol w:w="216"/>
        <w:gridCol w:w="740"/>
        <w:gridCol w:w="112"/>
        <w:gridCol w:w="109"/>
        <w:gridCol w:w="109"/>
        <w:gridCol w:w="109"/>
        <w:gridCol w:w="211"/>
        <w:gridCol w:w="736"/>
        <w:gridCol w:w="109"/>
        <w:gridCol w:w="109"/>
        <w:gridCol w:w="109"/>
        <w:gridCol w:w="109"/>
        <w:gridCol w:w="211"/>
        <w:gridCol w:w="72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Paid-in capital</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share</w:t>
            </w:r>
          </w:p>
        </w:tc>
        <w:tc>
          <w:tcPr>
            <w:tcW w:w="21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11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Principles of Consolidation and Reporting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2025 operating results include sales and operating income for the training services business prior to the Divestiture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modified our presentation of the changes in liabilities in the operating cash flow section of the consolidated statement of cash flows by disaggregating Accounts payable and other liabilities into three separate line items: Accounts payable, Advance payments and billings in excess of costs incurred, and Other liabilities. Prior period amounts have been conformed to the current period presentation. The modified presentation does not impact previously reported cash provided by operating activities.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Results reported in the financial statements are not necessarily indicative of results that may be expected for the entire year. The financial statements should be read in conjunction with the information contained in the company’s 2025 Annual Report on Form 10-K.</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Estimates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obligation, the entire amount of the estimable future loss, including an allocation of general and administrative (G&amp;A) cost, is charged against income in the period the loss is identified.</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B-21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has previously recognized and disclosed cumulative losses of approximately $2.0 billion on the low-rate initial production (LRIP) phase of the B-21 program. As of June 30, 2026, the remaining loss accrual totaled $1.0 billion, which is included in Other current liabilities.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EAC Adjustments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aggregate net EAC adjustments:</w:t>
      </w:r>
    </w:p>
    <w:tbl>
      <w:tblPr>
        <w:tblW w:w="8134" w:type="dxa"/>
        <w:jc w:val="left"/>
        <w:tblInd w:w="0" w:type="dxa"/>
        <w:tblLayout w:type="fixed"/>
        <w:tblCellMar>
          <w:top w:w="28" w:type="dxa"/>
          <w:left w:w="28" w:type="dxa"/>
          <w:bottom w:w="28" w:type="dxa"/>
          <w:right w:w="28" w:type="dxa"/>
        </w:tblCellMar>
      </w:tblPr>
      <w:tblGrid>
        <w:gridCol w:w="1080"/>
        <w:gridCol w:w="950"/>
        <w:gridCol w:w="954"/>
        <w:gridCol w:w="274"/>
        <w:gridCol w:w="626"/>
        <w:gridCol w:w="141"/>
        <w:gridCol w:w="141"/>
        <w:gridCol w:w="141"/>
        <w:gridCol w:w="141"/>
        <w:gridCol w:w="274"/>
        <w:gridCol w:w="606"/>
        <w:gridCol w:w="141"/>
        <w:gridCol w:w="109"/>
        <w:gridCol w:w="109"/>
        <w:gridCol w:w="109"/>
        <w:gridCol w:w="252"/>
        <w:gridCol w:w="574"/>
        <w:gridCol w:w="130"/>
        <w:gridCol w:w="130"/>
        <w:gridCol w:w="130"/>
        <w:gridCol w:w="130"/>
        <w:gridCol w:w="252"/>
        <w:gridCol w:w="556"/>
        <w:gridCol w:w="18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earnings</w:t>
            </w:r>
            <w:r>
              <w:rPr>
                <w:rFonts w:ascii="Times New Roman;serif" w:hAnsi="Times New Roman;serif"/>
                <w:b w:val="false"/>
                <w:color w:val="000000"/>
                <w:sz w:val="13"/>
              </w:rPr>
              <w:t>(1)</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earnings per share</w:t>
            </w:r>
            <w:r>
              <w:rPr>
                <w:rFonts w:ascii="Times New Roman;serif" w:hAnsi="Times New Roman;serif"/>
                <w:b w:val="false"/>
                <w:color w:val="000000"/>
                <w:sz w:val="13"/>
              </w:rPr>
              <w:t>(1)</w:t>
            </w:r>
          </w:p>
        </w:tc>
        <w:tc>
          <w:tcPr>
            <w:tcW w:w="9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0.08</w:t>
            </w:r>
            <w:r>
              <w:rPr>
                <w:color w:val="000000"/>
              </w:rPr>
              <w:t> </w:t>
            </w:r>
          </w:p>
        </w:tc>
        <w:tc>
          <w:tcPr>
            <w:tcW w:w="1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color w:val="000000"/>
          <w:sz w:val="12"/>
        </w:rPr>
        <w:t>(1)</w:t>
      </w:r>
      <w:r>
        <w:rPr>
          <w:rFonts w:ascii="Times New Roman;serif" w:hAnsi="Times New Roman;serif"/>
          <w:b w:val="false"/>
          <w:color w:val="000000"/>
          <w:sz w:val="18"/>
        </w:rPr>
        <w:t>Based on a 21 percent federal statutory tax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EAC adjustments can have a significant effect on the company’s financial statements. When such adjustments occur, we generally disclose the nature, underlying conditions and financial impact of the adjustments. In most cases, EAC adjustments have an equal impact on both revenue and operating income. However, for contracts in a forward loss position, the impact of EAC adjustments on revenue is different than the impact on operating income because changes in forward losses also impact cost of sales.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2026 – The company recorded the following significant EAC adjustments during 2026:</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u w:val="single"/>
        </w:rPr>
        <w:t>Graphite Epoxy Motor (GEM) 63XL</w:t>
      </w:r>
      <w:r>
        <w:rPr>
          <w:color w:val="000000"/>
        </w:rPr>
        <w:t xml:space="preserve"> – </w:t>
      </w:r>
      <w:r>
        <w:rPr>
          <w:rFonts w:ascii="Times New Roman;serif" w:hAnsi="Times New Roman;serif"/>
          <w:b w:val="false"/>
          <w:color w:val="000000"/>
          <w:sz w:val="20"/>
        </w:rPr>
        <w:t>During the second quarter of 2026, the company recorded a $91 million unfavorable EAC adjustment on the GEM 63XL program at Space Systems largely related to increases in the projected cost and quantity of material needed to complete the program. During the first quarter of 2026, the company recorded a $71 million unfavorable EAC adjustment on the program associated with the evaluation and implementation of corrective actions for a solid rocket motor anomaly that occurred during a Q1 2026 launch.</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u w:val="single"/>
        </w:rPr>
        <w:t>Stand-in Attack Weapon (SiAW)</w:t>
      </w:r>
      <w:r>
        <w:rPr>
          <w:color w:val="000000"/>
        </w:rPr>
        <w:t xml:space="preserve"> – </w:t>
      </w:r>
      <w:r>
        <w:rPr>
          <w:rFonts w:ascii="Times New Roman;serif" w:hAnsi="Times New Roman;serif"/>
          <w:b w:val="false"/>
          <w:color w:val="000000"/>
          <w:sz w:val="20"/>
        </w:rPr>
        <w:t>During the second quarter of 2026, the company recorded a $68 million unfavorable EAC adjustment on the SiAW program at Defense Systems driven by increases in the projected costs to support the design and qualification of system software and hardware architecture for the U.S. Air Force.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u w:val="single"/>
        </w:rPr>
        <w:t>B-21</w:t>
      </w:r>
      <w:r>
        <w:rPr>
          <w:color w:val="000000"/>
        </w:rPr>
        <w:t xml:space="preserve"> – </w:t>
      </w:r>
      <w:r>
        <w:rPr>
          <w:rFonts w:ascii="Times New Roman;serif" w:hAnsi="Times New Roman;serif"/>
          <w:b w:val="false"/>
          <w:color w:val="000000"/>
          <w:sz w:val="20"/>
        </w:rPr>
        <w:t xml:space="preserve">During the first quarter of 2026, the company reached an agreement with the U.S. Air Force to expand production capacity and increase the aircraft production rate for the B-21 program at Aeronautics Systems. We made no significant changes to the previously recognized loss on the program; however, impacts from the agreement and higher estimated production costs resulted in a $157 million net unfavorable EAC adjustment on the first four LRIP lots, which was offset by a net reduction in the loss contingency accrual on the remainder of the program.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2025 – The company recorded the following significant EAC adjustments during 2025:</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u w:val="single"/>
        </w:rPr>
        <w:t>B-21</w:t>
      </w:r>
      <w:r>
        <w:rPr>
          <w:color w:val="000000"/>
        </w:rPr>
        <w:t xml:space="preserve"> – </w:t>
      </w:r>
      <w:r>
        <w:rPr>
          <w:rFonts w:ascii="Times New Roman;serif" w:hAnsi="Times New Roman;serif"/>
          <w:b w:val="false"/>
          <w:color w:val="000000"/>
          <w:sz w:val="20"/>
        </w:rPr>
        <w:t xml:space="preserve">During the first quarter of 2025, the company recorded a $226 million unfavorable EAC adjustment on the first and second LRIP lots of the B-21 program at Aeronautics Systems.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u w:val="single"/>
        </w:rPr>
        <w:t>Sentinel</w:t>
      </w:r>
      <w:r>
        <w:rPr>
          <w:color w:val="000000"/>
        </w:rPr>
        <w:t xml:space="preserve"> – </w:t>
      </w:r>
      <w:r>
        <w:rPr>
          <w:rFonts w:ascii="Times New Roman;serif" w:hAnsi="Times New Roman;serif"/>
          <w:b w:val="false"/>
          <w:color w:val="000000"/>
          <w:sz w:val="20"/>
        </w:rPr>
        <w:t>During the second quarter of 2025, the company recorded a $76 million favorable EAC adjustment on the engineering and manufacturing development (EMD) phase of the Sentinel program at Defense Systems.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Company backlog as of June 30, 2026 was $104.7 billion. Of our June 30, 2026 backlog, we expect to recognize approximately 35 percent as revenue over the next 12 months and 55 percent as revenue over the next 24 months, with the remainder to be recognized thereafter.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2026 that was included in the December 31, 2025 contract liability balance was $784 million and $2.6 billion, respectively. The amount of revenue recognized for the three and six months ended June 30, 2025 that was included in the December 31, 2024 contract liability balance was $780 million and $2.7 billion, respectively.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Plant, and Equipment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first quarter 2026 agreement with the U.S. Air Force to expand production capacity and increase the aircraft production rate for the B-21 program, we agreed to sell an aircraft to the U.S. Air Force that we had previously planned to utilize as a company-owned test asset. While the sale of this asset accelerates the LRIP aircraft delivery schedule, it does not change the number of aircraft we expect to deliver under the LRIP phase of the program. The test asset was under construction at the time of sale, and our construction costs prior to the agreement were recognized as capital expenditures and included in property, plant and equipment. The agreement to sell the asset resulted in a reduction of PP&amp;E during the first quarter of 2026; we had no material cash inflows related to the sale during the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 for the six months ended June 30, 2026 and 2025 include capital expenditures incurred but not yet paid of $102 million and $134 million, respectively.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Accumulated Other Comprehensive Loss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net of tax, are as follows:</w:t>
      </w:r>
    </w:p>
    <w:tbl>
      <w:tblPr>
        <w:tblW w:w="7061" w:type="dxa"/>
        <w:jc w:val="left"/>
        <w:tblInd w:w="0" w:type="dxa"/>
        <w:tblLayout w:type="fixed"/>
        <w:tblCellMar>
          <w:top w:w="28" w:type="dxa"/>
          <w:left w:w="28" w:type="dxa"/>
          <w:bottom w:w="28" w:type="dxa"/>
          <w:right w:w="28" w:type="dxa"/>
        </w:tblCellMar>
      </w:tblPr>
      <w:tblGrid>
        <w:gridCol w:w="1353"/>
        <w:gridCol w:w="1186"/>
        <w:gridCol w:w="1196"/>
        <w:gridCol w:w="312"/>
        <w:gridCol w:w="801"/>
        <w:gridCol w:w="161"/>
        <w:gridCol w:w="109"/>
        <w:gridCol w:w="109"/>
        <w:gridCol w:w="109"/>
        <w:gridCol w:w="429"/>
        <w:gridCol w:w="980"/>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w:t>
            </w:r>
          </w:p>
        </w:tc>
        <w:tc>
          <w:tcPr>
            <w:tcW w:w="3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all periods presented, the company had no material related party transactions.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00"/>
        <w:jc w:val="left"/>
        <w:rPr/>
      </w:pPr>
      <w:r>
        <w:rPr>
          <w:rFonts w:ascii="Times New Roman;serif" w:hAnsi="Times New Roman;serif"/>
          <w:b w:val="false"/>
          <w:color w:val="000000"/>
          <w:sz w:val="20"/>
        </w:rPr>
        <w:t xml:space="preserve">On November 4, 2024, the Financial Accounting Standards Board (FASB) issued Accounting Standards Update (ASU) No. 2024-03 </w:t>
      </w:r>
      <w:r>
        <w:rPr>
          <w:rFonts w:ascii="Times New Roman;serif" w:hAnsi="Times New Roman;serif"/>
          <w:b w:val="false"/>
          <w:i/>
          <w:color w:val="000000"/>
          <w:sz w:val="20"/>
        </w:rPr>
        <w:t>Disaggregation of Income Statement Expenses (Subtopic 220-40).</w:t>
      </w:r>
      <w:r>
        <w:rPr>
          <w:color w:val="000000"/>
        </w:rPr>
        <w:t xml:space="preserve"> </w:t>
      </w:r>
      <w:r>
        <w:rPr>
          <w:rFonts w:ascii="Times New Roman;serif" w:hAnsi="Times New Roman;serif"/>
          <w:b w:val="false"/>
          <w:color w:val="000000"/>
          <w:sz w:val="20"/>
        </w:rPr>
        <w:t>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2024-03; however, the standard will not have an impact on the company’s consolidated financial position, results of operations or cash flows.</w:t>
      </w:r>
    </w:p>
    <w:p>
      <w:pPr>
        <w:pStyle w:val="TextBody"/>
        <w:bidi w:val="0"/>
        <w:spacing w:lineRule="auto" w:line="288" w:before="0" w:after="100"/>
        <w:jc w:val="left"/>
        <w:rPr/>
      </w:pPr>
      <w:r>
        <w:rPr>
          <w:rFonts w:ascii="Times New Roman;serif" w:hAnsi="Times New Roman;serif"/>
          <w:b w:val="false"/>
          <w:color w:val="000000"/>
          <w:sz w:val="20"/>
        </w:rPr>
        <w:t xml:space="preserve">On September 18, 2025, the FASB issued ASU No. 2025-06 </w:t>
      </w:r>
      <w:r>
        <w:rPr>
          <w:rFonts w:ascii="Times New Roman;serif" w:hAnsi="Times New Roman;serif"/>
          <w:b w:val="false"/>
          <w:i/>
          <w:color w:val="000000"/>
          <w:sz w:val="20"/>
        </w:rPr>
        <w:t>Targeted Improvements to the Accounting for Internal-Use Software (Subtopic 350-40)</w:t>
      </w:r>
      <w:r>
        <w:rPr>
          <w:rFonts w:ascii="Times New Roman;serif" w:hAnsi="Times New Roman;serif"/>
          <w:b w:val="false"/>
          <w:color w:val="000000"/>
          <w:sz w:val="20"/>
        </w:rPr>
        <w:t xml:space="preserve">. ASU 2025-06 removes references to prescriptive and sequential software development stages, requiring companies to capitalize internal-use software costs when management commits to funding the software project and it is probable the project will be completed. ASU 2025-06 will be effective for annual and interim periods beginning January 1, 2028, and can be applied on a prospective, modified prospective,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retrospective basis. We do not currently expect the standard will have a material impact on the company’s consolidated financial position, results of operations or cash flows.</w:t>
      </w:r>
    </w:p>
    <w:p>
      <w:pPr>
        <w:pStyle w:val="TextBody"/>
        <w:bidi w:val="0"/>
        <w:spacing w:lineRule="auto" w:line="288" w:before="0" w:after="100"/>
        <w:jc w:val="left"/>
        <w:rPr/>
      </w:pPr>
      <w:r>
        <w:rPr>
          <w:rFonts w:ascii="Times New Roman;serif" w:hAnsi="Times New Roman;serif"/>
          <w:b w:val="false"/>
          <w:color w:val="000000"/>
          <w:sz w:val="20"/>
        </w:rPr>
        <w:t xml:space="preserve">On December 8, 2025, the FASB issued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ASU 2025-11 clarifies the applicability of Topic 270 and the form and content of interim financial statements. In addition, ASU 2025-11 requires entities to disclose material events occurring since the last annual reporting period. ASU 2025-11 will be effective for interim periods beginning January 1, 2028, and can be applied on a prospective or retrospective basis. We are evaluating the disclosure impact of ASU 2025-11; however, the standard will not have an impact on the company’s consolidated financial position,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accounting standards updates adopted and/or issued, but not effective until after June 30, 2026, are not expected to have a material effect on the company’s consolidated financial position, results of operations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2.    EARNINGS PER SHARE, SHARE REPURCHASES AND DIVIDENDS ON COMMON STOCK</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Basic Earnings Per Share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calculate basic earnings per share by dividing net earnings by the weighted-average number of shares of common stock outstanding during each period.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include the dilutive effect of awards granted to employees under stock-based compensation plans. The dilutive effect of these securities totaled 0.3 million shares for each of the three and six months ended June 30, 2026. The dilutive effect of these securities totaled 0.3 million shares for each of the three and six months ended June 30,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had no repurchases of common stock during the three months ended June 30, 2026.</w:t>
      </w:r>
    </w:p>
    <w:p>
      <w:pPr>
        <w:pStyle w:val="TextBody"/>
        <w:bidi w:val="0"/>
        <w:spacing w:lineRule="auto" w:line="288" w:before="0" w:after="100"/>
        <w:jc w:val="left"/>
        <w:rPr/>
      </w:pPr>
      <w:r>
        <w:rPr>
          <w:rFonts w:ascii="Times New Roman;serif" w:hAnsi="Times New Roman;serif"/>
          <w:b w:val="false"/>
          <w:color w:val="000000"/>
          <w:sz w:val="20"/>
        </w:rPr>
        <w:t>On December 11, 2024, the company’s board of directors authorized a share repurchase program of up to $3.0 billion in share repurchases of the company’s common stock. Repurchases under the p</w:t>
      </w:r>
      <w:r>
        <w:rPr>
          <w:rFonts w:ascii="Times New Roman;serif" w:hAnsi="Times New Roman;serif"/>
          <w:b w:val="false"/>
          <w:color w:val="000000"/>
          <w:sz w:val="20"/>
          <w:shd w:fill="FFFFFF" w:val="clear"/>
        </w:rPr>
        <w:t xml:space="preserve">rogram commenced in September 2025 </w:t>
      </w:r>
      <w:r>
        <w:rPr>
          <w:rFonts w:ascii="Times New Roman;serif" w:hAnsi="Times New Roman;serif"/>
          <w:b w:val="false"/>
          <w:color w:val="000000"/>
          <w:sz w:val="20"/>
        </w:rPr>
        <w:t xml:space="preserve">and $2.5 billion of the share repurchase authorization remained as of June 30, 2026.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on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2026, the company increased the quarterly common stock dividend 7 percent to $2.47 per share from the previous amount of $2.31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3.    INVENTORIED COSTS,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 net consisted of the following:</w:t>
      </w:r>
    </w:p>
    <w:tbl>
      <w:tblPr>
        <w:tblW w:w="5557"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283"/>
        <w:gridCol w:w="846"/>
        <w:gridCol w:w="146"/>
        <w:gridCol w:w="109"/>
        <w:gridCol w:w="109"/>
        <w:gridCol w:w="109"/>
        <w:gridCol w:w="371"/>
        <w:gridCol w:w="1083"/>
        <w:gridCol w:w="27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Inventoried costs, net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w:t>
            </w:r>
            <w:r>
              <w:rPr>
                <w:color w:val="000000"/>
              </w:rPr>
              <w:t>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4.    INCOME TAXES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As part of the enactment of the OBBBA, the company became subject to the corporate alternative minimum tax (CAMT) and recorded CAMT credit carryforwards of $187 million during 2025. In February 2026, the Internal Revenue Service (IRS) issued Notice 2026-7, providing interim relief for the CAMT through a favorable adjustment related to the amortization of research and development expenditures under IRC Section 174. The company recognized the impacts of Notice 2026-7 during the first quarter of 2026, resulting in a $187 million decrease in CAMT credit carryforwards and a corresponding increase in Taxes receivable, as well as a $19 million reduction to federal income tax expense.</w:t>
      </w:r>
    </w:p>
    <w:tbl>
      <w:tblPr>
        <w:tblW w:w="8494" w:type="dxa"/>
        <w:jc w:val="left"/>
        <w:tblInd w:w="0" w:type="dxa"/>
        <w:tblLayout w:type="fixed"/>
        <w:tblCellMar>
          <w:top w:w="28" w:type="dxa"/>
          <w:left w:w="28" w:type="dxa"/>
          <w:bottom w:w="28" w:type="dxa"/>
          <w:right w:w="28" w:type="dxa"/>
        </w:tblCellMar>
      </w:tblPr>
      <w:tblGrid>
        <w:gridCol w:w="1212"/>
        <w:gridCol w:w="1062"/>
        <w:gridCol w:w="1071"/>
        <w:gridCol w:w="242"/>
        <w:gridCol w:w="433"/>
        <w:gridCol w:w="346"/>
        <w:gridCol w:w="125"/>
        <w:gridCol w:w="125"/>
        <w:gridCol w:w="125"/>
        <w:gridCol w:w="242"/>
        <w:gridCol w:w="536"/>
        <w:gridCol w:w="312"/>
        <w:gridCol w:w="109"/>
        <w:gridCol w:w="109"/>
        <w:gridCol w:w="109"/>
        <w:gridCol w:w="213"/>
        <w:gridCol w:w="486"/>
        <w:gridCol w:w="304"/>
        <w:gridCol w:w="110"/>
        <w:gridCol w:w="110"/>
        <w:gridCol w:w="110"/>
        <w:gridCol w:w="213"/>
        <w:gridCol w:w="471"/>
        <w:gridCol w:w="319"/>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foreign income tax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income tax rate</w:t>
            </w:r>
          </w:p>
        </w:tc>
        <w:tc>
          <w:tcPr>
            <w:tcW w:w="6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3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3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income tax expense decreased $179 million, or 71 percent, due to a lower effective tax rate (ETR) and $259 million of lower earnings before income taxes. The second quarter 2026 ETR decreased to 6.3 percent from 17.7 percent principally due to the remeasurement of uncertain tax positions (UTPs) given recent developments with the IRS towards resolving our previously filed federal income tax returns and refund claims. The second quarter 2026 ETR includes benefits of $176 million for research credits, inclusive of the UTP remeasurement of $115 million, and $10 million for foreign-derived deduction-eligible income (FDDEI). The second quarter 2025 ETR included benefits of $68 million for research credits and $12 million for foreign derived intangible income (FDII), partially offset by $18 million of interest expense on unrecognized tax benefits and $17 million of tax expense related to nondeductible goodwill in the divested business.</w:t>
      </w:r>
    </w:p>
    <w:p>
      <w:pPr>
        <w:pStyle w:val="TextBody"/>
        <w:bidi w:val="0"/>
        <w:spacing w:lineRule="auto" w:line="288" w:before="0" w:after="100"/>
        <w:jc w:val="left"/>
        <w:rPr/>
      </w:pPr>
      <w:r>
        <w:rPr>
          <w:rFonts w:ascii="Times New Roman;serif" w:hAnsi="Times New Roman;serif"/>
          <w:b w:val="false"/>
          <w:i/>
          <w:color w:val="000000"/>
          <w:sz w:val="20"/>
        </w:rPr>
        <w:t>Year to Date</w:t>
        <w:br/>
      </w:r>
      <w:r>
        <w:rPr>
          <w:rFonts w:ascii="Times New Roman;serif" w:hAnsi="Times New Roman;serif"/>
          <w:b w:val="false"/>
          <w:color w:val="000000"/>
          <w:sz w:val="20"/>
        </w:rPr>
        <w:t>Year to date 2026 income tax expense decreased $121 million, or 35 percent, due to a lower ETR, partially offset by $193 million of higher earnings before income taxes. The year to date 2026 ETR decreased to 10.4 percent from 17.5 percent primarily due to the remeasurement of UTPs described above, as well as higher research credits, including a $19 million benefit related to the CAMT guidance discussed above. The year to date 2026 ETR includes benefits of $244 million for research credits, inclusive of the UTP remeasurement, and $19 million for FDDEI, partially offset by $25 million of interest expense on unrecognized tax benefits. The year to date 2025 ETR included benefits of $103 million for research credits and $18 million for FDII, partially offset by $34 million of interest expense on unrecognized tax benefits and $17 million of tax expense related to nondeductible goodwill in the divested business.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file income tax returns in the U.S. federal jurisdiction and in various state and foreign jurisdictions. Certain matters related to the company’s 2018-2024 federal income tax returns are currently under IRS examination. Certain matters related to the company’s 2014-2017 federal income tax returns and refund claims related to its 2007-2016 federal tax returns are currently under review by the IRS Appeals Office.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Current unrecognized tax benefits, which are included in Other current liabilities, were $831 million and $436 million as of June 30, 2026 and December 31, 2025, respectively. Non-current unrecognized tax benefits, which are included in Other non-current liabilities, were $1.2 billion and $1.6 billion as of June 30, 2026 and December 31,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Taxes receivable, which are included in Prepaid expenses and other current assets in the unaudited condensed consolidated statements of financial position, were $962 million as of June 30, 2026 and $924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5.    FAIR VALUE OF FINANCIAL INSTRUMENTS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a portfolio of marketable securities including investments to partially fund non-qualified employee benefit plans as well as investments in companies that are advancing or developing technologies applicable to our business. A portion of these securities are held in common/collective trust funds and are measured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financial assets and liabilities the company records at fair value identified by the level of inputs used to determine fair value: </w:t>
      </w:r>
    </w:p>
    <w:tbl>
      <w:tblPr>
        <w:tblW w:w="10205" w:type="dxa"/>
        <w:jc w:val="left"/>
        <w:tblInd w:w="0" w:type="dxa"/>
        <w:tblLayout w:type="fixed"/>
        <w:tblCellMar>
          <w:top w:w="28" w:type="dxa"/>
          <w:left w:w="28" w:type="dxa"/>
          <w:bottom w:w="28" w:type="dxa"/>
          <w:right w:w="28" w:type="dxa"/>
        </w:tblCellMar>
      </w:tblPr>
      <w:tblGrid>
        <w:gridCol w:w="673"/>
        <w:gridCol w:w="431"/>
        <w:gridCol w:w="418"/>
        <w:gridCol w:w="109"/>
        <w:gridCol w:w="109"/>
        <w:gridCol w:w="109"/>
        <w:gridCol w:w="211"/>
        <w:gridCol w:w="481"/>
        <w:gridCol w:w="109"/>
        <w:gridCol w:w="109"/>
        <w:gridCol w:w="109"/>
        <w:gridCol w:w="109"/>
        <w:gridCol w:w="211"/>
        <w:gridCol w:w="407"/>
        <w:gridCol w:w="109"/>
        <w:gridCol w:w="109"/>
        <w:gridCol w:w="109"/>
        <w:gridCol w:w="109"/>
        <w:gridCol w:w="213"/>
        <w:gridCol w:w="380"/>
        <w:gridCol w:w="110"/>
        <w:gridCol w:w="109"/>
        <w:gridCol w:w="109"/>
        <w:gridCol w:w="109"/>
        <w:gridCol w:w="211"/>
        <w:gridCol w:w="481"/>
        <w:gridCol w:w="109"/>
        <w:gridCol w:w="109"/>
        <w:gridCol w:w="109"/>
        <w:gridCol w:w="109"/>
        <w:gridCol w:w="211"/>
        <w:gridCol w:w="466"/>
        <w:gridCol w:w="109"/>
        <w:gridCol w:w="109"/>
        <w:gridCol w:w="109"/>
        <w:gridCol w:w="109"/>
        <w:gridCol w:w="211"/>
        <w:gridCol w:w="406"/>
        <w:gridCol w:w="109"/>
        <w:gridCol w:w="109"/>
        <w:gridCol w:w="109"/>
        <w:gridCol w:w="109"/>
        <w:gridCol w:w="213"/>
        <w:gridCol w:w="365"/>
        <w:gridCol w:w="110"/>
        <w:gridCol w:w="109"/>
        <w:gridCol w:w="109"/>
        <w:gridCol w:w="109"/>
        <w:gridCol w:w="211"/>
        <w:gridCol w:w="466"/>
        <w:gridCol w:w="158"/>
      </w:tblGrid>
      <w:tr>
        <w:trPr/>
        <w:tc>
          <w:tcPr>
            <w:tcW w:w="67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valued using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sold its investment in a public company for $107 million and recognized a related gain of $35 million. There were no transfers of financial instruments into or out of Level 3 of the fair value hierarchy during the six months ended June 30, 2026.</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Unrealized gains and losses from marketable securities, which are reflected in Other, net on the unaudited condensed consolidated statement of earnings and comprehensive income, were not material for the three and six months ended June 30, 2026 and 2025.</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notional value of the company’s foreign currency forward contracts at June 30, 2026 and December 31, 2025 was $280 million and $308 million, respectively. The portion of notional value designated as a cash flow hedge at June 30, 2026 and December 31, 2025 was $129 million and $167 million, respectively.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derivative fair values and related unrealized gains/losses at June 30, 2026 and December 31, 2025 were not material.</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carrying value of cash and cash equivalents approximates fair value.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long-term debt was $14.4 billion and $15.1 billion as of June 30, 2026 and December 31, 2025,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Issuance of Senior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no unsecured senior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May 2025, the company issued $1.0 billion of unsecured senior notes for general corporate purposes, including debt repayment, share repurchases, and working capital, as follows: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$500 million of 4.65% senior notes due 2030 (the “2030 Notes”) and</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$500 million of 5.25% senior notes due 2035 (the “2035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refer to the 2030 Notes and 2035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Repayment of Senior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March 2026, the company repaid $270 million of 7.875% unsecured senior notes and $257 million of 7.75% unsecured senior notes upon maturity.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repaid $1.5 billion of 2.93% unsecured senior notes upon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6.    INVESTIGATIONS, CLAIMS AND LITIGATION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had previously stayed the filed individual lawsuits and, at an April 24 hearing, denied plaintiffs’ motion to lift that stay as to a subset of plaintiffs. The parties have submitted supplemental briefing on pending class certification and expert motions in the putative class action. The parties remain engaged in a mediation.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received from the U.S. Department of Justice (DOJ) a criminal subpoena on December 9, 2022, and a civil investigative demand (CID) on February 2, 2023, both seeking information regarding financial and cost accounting and controls focused on the interest rate assumptions the company used to determine our U.S. Government Cost Accounting Standards (CAS) pension expense, which are the subject of the DCMA inquiry we discuss in Note 7 below. On May 20, 2026, DOJ confirmed that, based on the information it has learned to date, the Criminal Division has closed its inquiry into this matter. The company continues to engage with the government in relation to the CID and the DCMA inquiry. We cannot at this point predict the outcome of these remaining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2026, or its annual results of operations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Government Cost Claims and Contingencies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accrued for disputed amounts that are probable and reasonably estimable, and that the outcome of any such matters would not have a material adverse effect on its unaudited condensed consolidated financial position as of June 30, 2026, or its annual results of operations and/or cash flows.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addition, as noted in Note 6 above, the company received from the DOJ a criminal subpoena on December 9, 2022 and a CID on February 2, 2023, both seeking information related to the interest rate assumptions at issue in our discussions with DCMA. On May 20, 2026, DOJ confirmed that, based on the information it has learned to date, the Criminal Division has closed its inquiry into this matter. The company continues to engage with the government in relation to the CID and the DCMA inquiry. We cannot at this point predict the outcome of these remaining matters. The sensitivity to changes in interest rate assumptions makes it reasonably possible the outcome of these matters could have a material adverse effect on our financial position, results of operations and/or cash flows, although we are not currently able to estimate a range of any potential loss.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amount of accrued and deferred costs associated with the company’s environmental remediation liabilities as of June 30, 2026 and December 31, 2025:</w:t>
      </w:r>
    </w:p>
    <w:tbl>
      <w:tblPr>
        <w:tblW w:w="5079" w:type="dxa"/>
        <w:jc w:val="left"/>
        <w:tblInd w:w="0" w:type="dxa"/>
        <w:tblLayout w:type="fixed"/>
        <w:tblCellMar>
          <w:top w:w="28" w:type="dxa"/>
          <w:left w:w="28" w:type="dxa"/>
          <w:bottom w:w="28" w:type="dxa"/>
          <w:right w:w="28" w:type="dxa"/>
        </w:tblCellMar>
      </w:tblPr>
      <w:tblGrid>
        <w:gridCol w:w="516"/>
        <w:gridCol w:w="453"/>
        <w:gridCol w:w="456"/>
        <w:gridCol w:w="109"/>
        <w:gridCol w:w="109"/>
        <w:gridCol w:w="109"/>
        <w:gridCol w:w="336"/>
        <w:gridCol w:w="766"/>
        <w:gridCol w:w="173"/>
        <w:gridCol w:w="109"/>
        <w:gridCol w:w="109"/>
        <w:gridCol w:w="109"/>
        <w:gridCol w:w="438"/>
        <w:gridCol w:w="966"/>
        <w:gridCol w:w="32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costs</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costs</w:t>
            </w:r>
            <w:r>
              <w:rPr>
                <w:rFonts w:ascii="Times New Roman;serif" w:hAnsi="Times New Roman;serif"/>
                <w:b w:val="false"/>
                <w:color w:val="000000"/>
                <w:sz w:val="13"/>
              </w:rPr>
              <w:t>(2)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As of June 30, 2026, $215 million is recorded in Other current liabilities and $337 million is recorded in Other non-current liabilities in the unaudited condensed consolidated statements of financial position. Estimated remediation costs are not discounted to present value.</w:t>
      </w:r>
    </w:p>
    <w:p>
      <w:pPr>
        <w:pStyle w:val="TextBody"/>
        <w:bidi w:val="0"/>
        <w:spacing w:lineRule="auto" w:line="288" w:before="0" w:after="10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The company defers the portion of environmental remediation costs we expect to be recoverable through overhead charges on U.S. government contracts. As of June 30, 2026, $200 million is deferred in Prepaid expenses and other current assets and $308 million is deferred in Other non-current assets in the unaudited condensed consolidated statements of financial position. These amounts are routinely evaluated for recoverability.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Reasonably possible future costs in excess of accrued costs were $402 million and $380 million as of June 30, 2026 and December 31, 2025, respectively. We currently expect any such future costs would be recoverable through overhead charges on our U.S. government contracts in a similar proportion as the amounts deferred in the table above.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Although we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June 30, 2026, or its annual results of operations and/or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Arrangements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uses standby letters of credit and guarantees issued by commercial banks and surety bonds issued principally by insurance companies to guarantee the performance on certain obligations. At June 30, 2026, there were $611 million of stand-by letters of credit and guarantees and $271 million of surety bonds outstanding.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Commercial Paper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maintains a commercial paper program that serves as a source of short-term financing with capacity to issue unsecured commercial paper notes up to $3.0 billion. At June 30, 2026, there were no commercial paper borrowings outstanding.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maintains a five-year senior unsecured revolving credit facility in an aggregate principal amount of $3.0 billion (the “2025 Credit Agreement”) that matures in September 2030 and is intended to support the company's commercial paper program and other general corporate purposes. Commercial paper borrowings reduce the amount available for borrowing under the 2025 Credit Agreement. At June 30, 2026, there were no borrowings outstanding under this facility.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2025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covenants under its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8.    RETIREMENT BENEFITS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cost to the company of its pension and other postretirement benefit (OPB) plans is shown in the following table:</w:t>
      </w:r>
    </w:p>
    <w:tbl>
      <w:tblPr>
        <w:tblW w:w="10205" w:type="dxa"/>
        <w:jc w:val="left"/>
        <w:tblInd w:w="0" w:type="dxa"/>
        <w:tblLayout w:type="fixed"/>
        <w:tblCellMar>
          <w:top w:w="28" w:type="dxa"/>
          <w:left w:w="28" w:type="dxa"/>
          <w:bottom w:w="28" w:type="dxa"/>
          <w:right w:w="28" w:type="dxa"/>
        </w:tblCellMar>
      </w:tblPr>
      <w:tblGrid>
        <w:gridCol w:w="758"/>
        <w:gridCol w:w="645"/>
        <w:gridCol w:w="654"/>
        <w:gridCol w:w="211"/>
        <w:gridCol w:w="498"/>
        <w:gridCol w:w="109"/>
        <w:gridCol w:w="109"/>
        <w:gridCol w:w="109"/>
        <w:gridCol w:w="109"/>
        <w:gridCol w:w="211"/>
        <w:gridCol w:w="393"/>
        <w:gridCol w:w="109"/>
        <w:gridCol w:w="109"/>
        <w:gridCol w:w="109"/>
        <w:gridCol w:w="109"/>
        <w:gridCol w:w="211"/>
        <w:gridCol w:w="288"/>
        <w:gridCol w:w="109"/>
        <w:gridCol w:w="109"/>
        <w:gridCol w:w="109"/>
        <w:gridCol w:w="109"/>
        <w:gridCol w:w="211"/>
        <w:gridCol w:w="288"/>
        <w:gridCol w:w="109"/>
        <w:gridCol w:w="109"/>
        <w:gridCol w:w="109"/>
        <w:gridCol w:w="109"/>
        <w:gridCol w:w="211"/>
        <w:gridCol w:w="498"/>
        <w:gridCol w:w="109"/>
        <w:gridCol w:w="109"/>
        <w:gridCol w:w="109"/>
        <w:gridCol w:w="109"/>
        <w:gridCol w:w="211"/>
        <w:gridCol w:w="498"/>
        <w:gridCol w:w="109"/>
        <w:gridCol w:w="109"/>
        <w:gridCol w:w="109"/>
        <w:gridCol w:w="109"/>
        <w:gridCol w:w="211"/>
        <w:gridCol w:w="393"/>
        <w:gridCol w:w="109"/>
        <w:gridCol w:w="109"/>
        <w:gridCol w:w="109"/>
        <w:gridCol w:w="109"/>
        <w:gridCol w:w="211"/>
        <w:gridCol w:w="393"/>
        <w:gridCol w:w="159"/>
      </w:tblGrid>
      <w:tr>
        <w:trPr/>
        <w:tc>
          <w:tcPr>
            <w:tcW w:w="7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OPB</w:t>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 (benefit)</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benefit cost (benefit)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Employer Contributions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Contributions made by the company to its retirement plans are as follows:</w:t>
      </w:r>
    </w:p>
    <w:tbl>
      <w:tblPr>
        <w:tblW w:w="7700" w:type="dxa"/>
        <w:jc w:val="left"/>
        <w:tblInd w:w="0" w:type="dxa"/>
        <w:tblLayout w:type="fixed"/>
        <w:tblCellMar>
          <w:top w:w="28" w:type="dxa"/>
          <w:left w:w="28" w:type="dxa"/>
          <w:bottom w:w="28" w:type="dxa"/>
          <w:right w:w="28" w:type="dxa"/>
        </w:tblCellMar>
      </w:tblPr>
      <w:tblGrid>
        <w:gridCol w:w="924"/>
        <w:gridCol w:w="810"/>
        <w:gridCol w:w="816"/>
        <w:gridCol w:w="308"/>
        <w:gridCol w:w="549"/>
        <w:gridCol w:w="159"/>
        <w:gridCol w:w="159"/>
        <w:gridCol w:w="159"/>
        <w:gridCol w:w="159"/>
        <w:gridCol w:w="308"/>
        <w:gridCol w:w="527"/>
        <w:gridCol w:w="159"/>
        <w:gridCol w:w="109"/>
        <w:gridCol w:w="109"/>
        <w:gridCol w:w="109"/>
        <w:gridCol w:w="282"/>
        <w:gridCol w:w="503"/>
        <w:gridCol w:w="145"/>
        <w:gridCol w:w="145"/>
        <w:gridCol w:w="145"/>
        <w:gridCol w:w="145"/>
        <w:gridCol w:w="282"/>
        <w:gridCol w:w="483"/>
        <w:gridCol w:w="206"/>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OPB plans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plans</w:t>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1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9.    STOCK COMPENSATION PLANS AND OTHER COMPENSATION ARRANGEMENTS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Awards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tbl>
      <w:tblPr>
        <w:tblW w:w="5274" w:type="dxa"/>
        <w:jc w:val="left"/>
        <w:tblInd w:w="0" w:type="dxa"/>
        <w:tblLayout w:type="fixed"/>
        <w:tblCellMar>
          <w:top w:w="28" w:type="dxa"/>
          <w:left w:w="28" w:type="dxa"/>
          <w:bottom w:w="28" w:type="dxa"/>
          <w:right w:w="28" w:type="dxa"/>
        </w:tblCellMar>
      </w:tblPr>
      <w:tblGrid>
        <w:gridCol w:w="947"/>
        <w:gridCol w:w="827"/>
        <w:gridCol w:w="835"/>
        <w:gridCol w:w="109"/>
        <w:gridCol w:w="109"/>
        <w:gridCol w:w="109"/>
        <w:gridCol w:w="252"/>
        <w:gridCol w:w="574"/>
        <w:gridCol w:w="130"/>
        <w:gridCol w:w="130"/>
        <w:gridCol w:w="130"/>
        <w:gridCol w:w="130"/>
        <w:gridCol w:w="252"/>
        <w:gridCol w:w="556"/>
        <w:gridCol w:w="184"/>
      </w:tblGrid>
      <w:tr>
        <w:trPr/>
        <w:tc>
          <w:tcPr>
            <w:tcW w:w="94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RSRs granted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RPSRs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aggregate fair value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RSRs typically vest on the third anniversary of the grant date, while RPSRs generally vest and pay out based on the achievement of certain performance metrics and market conditions over a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Awards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minimum and maximum aggregate payout amounts related to cash units (CUs) and cash performance units (CPUs) granted to employees in the periods presented:</w:t>
      </w:r>
    </w:p>
    <w:tbl>
      <w:tblPr>
        <w:tblW w:w="5738" w:type="dxa"/>
        <w:jc w:val="left"/>
        <w:tblInd w:w="0" w:type="dxa"/>
        <w:tblLayout w:type="fixed"/>
        <w:tblCellMar>
          <w:top w:w="28" w:type="dxa"/>
          <w:left w:w="28" w:type="dxa"/>
          <w:bottom w:w="28" w:type="dxa"/>
          <w:right w:w="28" w:type="dxa"/>
        </w:tblCellMar>
      </w:tblPr>
      <w:tblGrid>
        <w:gridCol w:w="1114"/>
        <w:gridCol w:w="976"/>
        <w:gridCol w:w="984"/>
        <w:gridCol w:w="109"/>
        <w:gridCol w:w="109"/>
        <w:gridCol w:w="109"/>
        <w:gridCol w:w="277"/>
        <w:gridCol w:w="534"/>
        <w:gridCol w:w="143"/>
        <w:gridCol w:w="143"/>
        <w:gridCol w:w="143"/>
        <w:gridCol w:w="143"/>
        <w:gridCol w:w="277"/>
        <w:gridCol w:w="475"/>
        <w:gridCol w:w="202"/>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aggregate payout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aggregate payout amount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CUs typically vest and settle in cash on the third anniversary of the grant date, while CPUs generally vest and pay out in cash based on the achievement of certain performance metrics over a three-year period. During the six months ended June 30, 2026, there were no CUs granted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aligned in four operating sectors, which also comprise our reportable segments: Aeronautics Systems, Defense Systems, Mission Systems and Space Systems. We generally organize our segments based on the nature of products and services offered.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sales, operating costs and expenses, and operating income by segment: </w:t>
      </w:r>
    </w:p>
    <w:tbl>
      <w:tblPr>
        <w:tblW w:w="8537" w:type="dxa"/>
        <w:jc w:val="left"/>
        <w:tblInd w:w="0" w:type="dxa"/>
        <w:tblLayout w:type="fixed"/>
        <w:tblCellMar>
          <w:top w:w="28" w:type="dxa"/>
          <w:left w:w="28" w:type="dxa"/>
          <w:bottom w:w="28" w:type="dxa"/>
          <w:right w:w="28" w:type="dxa"/>
        </w:tblCellMar>
      </w:tblPr>
      <w:tblGrid>
        <w:gridCol w:w="1227"/>
        <w:gridCol w:w="1076"/>
        <w:gridCol w:w="1087"/>
        <w:gridCol w:w="237"/>
        <w:gridCol w:w="709"/>
        <w:gridCol w:w="122"/>
        <w:gridCol w:w="122"/>
        <w:gridCol w:w="122"/>
        <w:gridCol w:w="122"/>
        <w:gridCol w:w="237"/>
        <w:gridCol w:w="693"/>
        <w:gridCol w:w="122"/>
        <w:gridCol w:w="109"/>
        <w:gridCol w:w="109"/>
        <w:gridCol w:w="109"/>
        <w:gridCol w:w="218"/>
        <w:gridCol w:w="653"/>
        <w:gridCol w:w="112"/>
        <w:gridCol w:w="112"/>
        <w:gridCol w:w="112"/>
        <w:gridCol w:w="112"/>
        <w:gridCol w:w="218"/>
        <w:gridCol w:w="638"/>
        <w:gridCol w:w="159"/>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operating income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3,992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2,951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Defense Systems operating income</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340</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3,250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6,111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Mission Systems operating income</w:t>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501</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934</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5,233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Space Systems operating income</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profit eliminations</w:t>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1,158</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2,230</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income</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income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FAS pension benefit</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33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w:t>
            </w:r>
            <w:r>
              <w:rPr>
                <w:color w:val="000000"/>
              </w:rPr>
              <w:t>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2,198</w:t>
            </w:r>
            <w:r>
              <w:rPr>
                <w:color w:val="000000"/>
              </w:rPr>
              <w:t> </w:t>
            </w:r>
          </w:p>
        </w:tc>
        <w:tc>
          <w:tcPr>
            <w:tcW w:w="1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FAS/CAS Operating Adjustment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Unallocated Corporate (Expense)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income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tbl>
      <w:tblPr>
        <w:tblW w:w="10205" w:type="dxa"/>
        <w:jc w:val="left"/>
        <w:tblInd w:w="0" w:type="dxa"/>
        <w:tblLayout w:type="fixed"/>
        <w:tblCellMar>
          <w:top w:w="28" w:type="dxa"/>
          <w:left w:w="28" w:type="dxa"/>
          <w:bottom w:w="28" w:type="dxa"/>
          <w:right w:w="28" w:type="dxa"/>
        </w:tblCellMar>
      </w:tblPr>
      <w:tblGrid>
        <w:gridCol w:w="805"/>
        <w:gridCol w:w="703"/>
        <w:gridCol w:w="707"/>
        <w:gridCol w:w="211"/>
        <w:gridCol w:w="736"/>
        <w:gridCol w:w="109"/>
        <w:gridCol w:w="203"/>
        <w:gridCol w:w="203"/>
        <w:gridCol w:w="301"/>
        <w:gridCol w:w="109"/>
        <w:gridCol w:w="109"/>
        <w:gridCol w:w="109"/>
        <w:gridCol w:w="211"/>
        <w:gridCol w:w="721"/>
        <w:gridCol w:w="109"/>
        <w:gridCol w:w="202"/>
        <w:gridCol w:w="204"/>
        <w:gridCol w:w="271"/>
        <w:gridCol w:w="109"/>
        <w:gridCol w:w="109"/>
        <w:gridCol w:w="109"/>
        <w:gridCol w:w="211"/>
        <w:gridCol w:w="736"/>
        <w:gridCol w:w="109"/>
        <w:gridCol w:w="203"/>
        <w:gridCol w:w="203"/>
        <w:gridCol w:w="301"/>
        <w:gridCol w:w="109"/>
        <w:gridCol w:w="109"/>
        <w:gridCol w:w="109"/>
        <w:gridCol w:w="211"/>
        <w:gridCol w:w="721"/>
        <w:gridCol w:w="109"/>
        <w:gridCol w:w="202"/>
        <w:gridCol w:w="204"/>
        <w:gridCol w:w="318"/>
      </w:tblGrid>
      <w:tr>
        <w:trPr/>
        <w:tc>
          <w:tcPr>
            <w:tcW w:w="80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by Customer Type</w:t>
            </w:r>
          </w:p>
        </w:tc>
        <w:tc>
          <w:tcPr>
            <w:tcW w:w="38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3"/>
              </w:rPr>
              <w:t>(3)</w:t>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pStyle w:val="TextBody"/>
        <w:bidi w:val="0"/>
        <w:spacing w:lineRule="auto" w:line="288" w:before="100" w:after="100"/>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International sales include sales from contracts for which we are the prime contractor, as well as those for which we are a subcontractor and the ultimate customer is an international customer to the extent that information is available to us or can be reasonably estimated. These sales include foreign military sales contracted through the U.S. government.</w:t>
      </w:r>
    </w:p>
    <w:p>
      <w:pPr>
        <w:pStyle w:val="TextBody"/>
        <w:bidi w:val="0"/>
        <w:spacing w:lineRule="auto" w:line="288" w:before="100" w:after="100"/>
        <w:ind w:left="0" w:right="0" w:hanging="18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10072" w:type="dxa"/>
        <w:jc w:val="left"/>
        <w:tblInd w:w="0" w:type="dxa"/>
        <w:tblLayout w:type="fixed"/>
        <w:tblCellMar>
          <w:top w:w="28" w:type="dxa"/>
          <w:left w:w="28" w:type="dxa"/>
          <w:bottom w:w="28" w:type="dxa"/>
          <w:right w:w="28" w:type="dxa"/>
        </w:tblCellMar>
      </w:tblPr>
      <w:tblGrid>
        <w:gridCol w:w="809"/>
        <w:gridCol w:w="710"/>
        <w:gridCol w:w="715"/>
        <w:gridCol w:w="211"/>
        <w:gridCol w:w="736"/>
        <w:gridCol w:w="109"/>
        <w:gridCol w:w="188"/>
        <w:gridCol w:w="188"/>
        <w:gridCol w:w="301"/>
        <w:gridCol w:w="109"/>
        <w:gridCol w:w="109"/>
        <w:gridCol w:w="109"/>
        <w:gridCol w:w="211"/>
        <w:gridCol w:w="721"/>
        <w:gridCol w:w="109"/>
        <w:gridCol w:w="180"/>
        <w:gridCol w:w="181"/>
        <w:gridCol w:w="271"/>
        <w:gridCol w:w="109"/>
        <w:gridCol w:w="109"/>
        <w:gridCol w:w="109"/>
        <w:gridCol w:w="211"/>
        <w:gridCol w:w="736"/>
        <w:gridCol w:w="109"/>
        <w:gridCol w:w="188"/>
        <w:gridCol w:w="188"/>
        <w:gridCol w:w="301"/>
        <w:gridCol w:w="109"/>
        <w:gridCol w:w="109"/>
        <w:gridCol w:w="109"/>
        <w:gridCol w:w="211"/>
        <w:gridCol w:w="721"/>
        <w:gridCol w:w="109"/>
        <w:gridCol w:w="180"/>
        <w:gridCol w:w="181"/>
        <w:gridCol w:w="316"/>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by Contract Type</w:t>
            </w:r>
          </w:p>
        </w:tc>
        <w:tc>
          <w:tcPr>
            <w:tcW w:w="37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(1)</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10205" w:type="dxa"/>
        <w:jc w:val="left"/>
        <w:tblInd w:w="0" w:type="dxa"/>
        <w:tblLayout w:type="fixed"/>
        <w:tblCellMar>
          <w:top w:w="28" w:type="dxa"/>
          <w:left w:w="28" w:type="dxa"/>
          <w:bottom w:w="28" w:type="dxa"/>
          <w:right w:w="28" w:type="dxa"/>
        </w:tblCellMar>
      </w:tblPr>
      <w:tblGrid>
        <w:gridCol w:w="816"/>
        <w:gridCol w:w="699"/>
        <w:gridCol w:w="701"/>
        <w:gridCol w:w="211"/>
        <w:gridCol w:w="736"/>
        <w:gridCol w:w="109"/>
        <w:gridCol w:w="203"/>
        <w:gridCol w:w="203"/>
        <w:gridCol w:w="301"/>
        <w:gridCol w:w="109"/>
        <w:gridCol w:w="109"/>
        <w:gridCol w:w="109"/>
        <w:gridCol w:w="211"/>
        <w:gridCol w:w="721"/>
        <w:gridCol w:w="109"/>
        <w:gridCol w:w="202"/>
        <w:gridCol w:w="204"/>
        <w:gridCol w:w="271"/>
        <w:gridCol w:w="109"/>
        <w:gridCol w:w="109"/>
        <w:gridCol w:w="109"/>
        <w:gridCol w:w="211"/>
        <w:gridCol w:w="736"/>
        <w:gridCol w:w="109"/>
        <w:gridCol w:w="203"/>
        <w:gridCol w:w="203"/>
        <w:gridCol w:w="301"/>
        <w:gridCol w:w="109"/>
        <w:gridCol w:w="109"/>
        <w:gridCol w:w="109"/>
        <w:gridCol w:w="211"/>
        <w:gridCol w:w="721"/>
        <w:gridCol w:w="109"/>
        <w:gridCol w:w="202"/>
        <w:gridCol w:w="204"/>
        <w:gridCol w:w="317"/>
      </w:tblGrid>
      <w:tr>
        <w:trPr/>
        <w:tc>
          <w:tcPr>
            <w:tcW w:w="8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Sales by Geographic Region</w:t>
            </w:r>
            <w:r>
              <w:rPr>
                <w:rFonts w:ascii="Times New Roman;serif" w:hAnsi="Times New Roman;serif"/>
                <w:b w:val="false"/>
                <w:i/>
                <w:color w:val="000000"/>
                <w:sz w:val="13"/>
              </w:rPr>
              <w:t>(1)</w:t>
            </w:r>
          </w:p>
        </w:tc>
        <w:tc>
          <w:tcPr>
            <w:tcW w:w="38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(3)</w:t>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geographic regions</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Sales are attributed to countries based on the ultimate customer’s location to the extent that information is available to us or can be reasonably estimated. No country other than the United States represents greater than 10 percent of total company sales.</w:t>
      </w:r>
      <w:r>
        <w:rPr>
          <w:color w:val="000000"/>
        </w:rPr>
        <w:t xml:space="preserve"> </w:t>
      </w:r>
    </w:p>
    <w:p>
      <w:pPr>
        <w:pStyle w:val="TextBody"/>
        <w:bidi w:val="0"/>
        <w:spacing w:lineRule="auto" w:line="288" w:before="100" w:after="100"/>
        <w:ind w:left="0" w:right="0" w:hanging="180"/>
        <w:jc w:val="left"/>
        <w:rPr/>
      </w:pPr>
      <w:r>
        <w:rPr>
          <w:rFonts w:ascii="Times New Roman;serif" w:hAnsi="Times New Roman;serif"/>
          <w:b w:val="false"/>
          <w:color w:val="000000"/>
          <w:sz w:val="12"/>
        </w:rPr>
        <w:t>(2)</w:t>
      </w:r>
      <w:r>
        <w:rPr>
          <w:rFonts w:ascii="Times New Roman;serif" w:hAnsi="Times New Roman;serif"/>
          <w:b w:val="false"/>
          <w:color w:val="000000"/>
          <w:sz w:val="18"/>
        </w:rPr>
        <w:t>Other geographic regions are principally comprised of the Middle East.</w:t>
      </w:r>
    </w:p>
    <w:p>
      <w:pPr>
        <w:pStyle w:val="TextBody"/>
        <w:bidi w:val="0"/>
        <w:spacing w:lineRule="auto" w:line="288" w:before="100" w:after="180"/>
        <w:ind w:left="0" w:right="0" w:hanging="180"/>
        <w:jc w:val="left"/>
        <w:rPr/>
      </w:pPr>
      <w:r>
        <w:rPr>
          <w:rFonts w:ascii="Times New Roman;serif" w:hAnsi="Times New Roman;serif"/>
          <w:b w:val="false"/>
          <w:color w:val="000000"/>
          <w:sz w:val="12"/>
        </w:rPr>
        <w:t>(3)</w:t>
      </w:r>
      <w:r>
        <w:rPr>
          <w:rFonts w:ascii="Times New Roman;serif" w:hAnsi="Times New Roman;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Capital Expenditures and Depreciation and Amortization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and depreciation and amortization for each of our reportable segments and for Corporate:</w:t>
      </w:r>
    </w:p>
    <w:tbl>
      <w:tblPr>
        <w:tblW w:w="8522" w:type="dxa"/>
        <w:jc w:val="left"/>
        <w:tblInd w:w="0" w:type="dxa"/>
        <w:tblLayout w:type="fixed"/>
        <w:tblCellMar>
          <w:top w:w="28" w:type="dxa"/>
          <w:left w:w="28" w:type="dxa"/>
          <w:bottom w:w="28" w:type="dxa"/>
          <w:right w:w="28" w:type="dxa"/>
        </w:tblCellMar>
      </w:tblPr>
      <w:tblGrid>
        <w:gridCol w:w="1104"/>
        <w:gridCol w:w="964"/>
        <w:gridCol w:w="977"/>
        <w:gridCol w:w="109"/>
        <w:gridCol w:w="109"/>
        <w:gridCol w:w="109"/>
        <w:gridCol w:w="274"/>
        <w:gridCol w:w="626"/>
        <w:gridCol w:w="141"/>
        <w:gridCol w:w="141"/>
        <w:gridCol w:w="141"/>
        <w:gridCol w:w="141"/>
        <w:gridCol w:w="274"/>
        <w:gridCol w:w="606"/>
        <w:gridCol w:w="141"/>
        <w:gridCol w:w="109"/>
        <w:gridCol w:w="109"/>
        <w:gridCol w:w="109"/>
        <w:gridCol w:w="252"/>
        <w:gridCol w:w="574"/>
        <w:gridCol w:w="130"/>
        <w:gridCol w:w="130"/>
        <w:gridCol w:w="130"/>
        <w:gridCol w:w="130"/>
        <w:gridCol w:w="252"/>
        <w:gridCol w:w="556"/>
        <w:gridCol w:w="184"/>
      </w:tblGrid>
      <w:tr>
        <w:trPr/>
        <w:tc>
          <w:tcPr>
            <w:tcW w:w="110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pStyle w:val="TextBody"/>
        <w:bidi w:val="0"/>
        <w:spacing w:lineRule="auto" w:line="288" w:before="100" w:after="100"/>
        <w:jc w:val="left"/>
        <w:rPr/>
      </w:pPr>
      <w:r>
        <w:rPr>
          <w:rFonts w:ascii="Times New Roman;serif" w:hAnsi="Times New Roman;serif"/>
          <w:b/>
          <w:color w:val="000000"/>
          <w:sz w:val="20"/>
        </w:rPr>
        <w:t>Assets</w:t>
        <w:br/>
      </w:r>
      <w:r>
        <w:rPr>
          <w:rFonts w:ascii="Times New Roman;serif" w:hAnsi="Times New Roman;serif"/>
          <w:b w:val="false"/>
          <w:color w:val="000000"/>
          <w:sz w:val="20"/>
        </w:rPr>
        <w:t>Our chief operating decision maker (“CODM”) does not use assets by segment to evaluate segment performance or allocate resources. Therefore,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Falls Church, Virginia</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Results of Review of Interim Financial Information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reviewed the accompanying condensed consolidated statement of financial position of Northrop Grumman Corporation and subsidiaries (the “Company”) as of June 30, 2026, and the related condensed consolidated statements of earnings and comprehensive income and changes in shareholders’ equity for the three-month and six-month periods ended June 30, 2026 and 2025, and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statement of financial position of Northrop Grumman Corporation and subsidiaries as of December 31, 2025, and the related consolidated statements of earnings and comprehensive income, changes in shareholders’ equity, and cash flows for the year then ended (not presented herein); and in our report dated January 26, 2026, we expressed an unqualified opinion on those consolidated financial statements. In our opinion, the information set forth in the accompanying condensed consolidated statement of financial position as of December 31, 2025, is fairly stated, in all material respects, in relation to the audited consolidated statement of financial position from which it has been derived.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80" w:after="283"/>
        <w:jc w:val="left"/>
        <w:rPr/>
      </w:pPr>
      <w:r>
        <w:rPr/>
      </w:r>
    </w:p>
    <w:tbl>
      <w:tblPr>
        <w:tblW w:w="2397" w:type="dxa"/>
        <w:jc w:val="left"/>
        <w:tblInd w:w="0" w:type="dxa"/>
        <w:tblLayout w:type="fixed"/>
        <w:tblCellMar>
          <w:top w:w="28" w:type="dxa"/>
          <w:left w:w="28" w:type="dxa"/>
          <w:bottom w:w="28" w:type="dxa"/>
          <w:right w:w="28" w:type="dxa"/>
        </w:tblCellMar>
      </w:tblPr>
      <w:tblGrid>
        <w:gridCol w:w="124"/>
        <w:gridCol w:w="109"/>
        <w:gridCol w:w="109"/>
        <w:gridCol w:w="602"/>
        <w:gridCol w:w="602"/>
        <w:gridCol w:w="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Deloitte &amp; Touche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McLean, 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20,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60" w:after="1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War (“DoW”) and intelligence community. Our broad portfolio is aligned to support national security priorities and our solutions equip our customers with capabilities they need to connect, protect and advance humanity.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2025 Annual Report on Form 10-K, which provides additional information on our business, the environment in which we operate and our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Divestiture of Training Services Business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2025 operating results include sales and operating income for the training services business prior to the Divestiture date.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Security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U.S. and its allies continue to face a dynamic global security environment of heightened tensions and instability, threats from state and non-state actors, including in particular major global powers, as well as terrorist organizations, increasing nuclear tensions, diverse regional security concerns, political instability and uncertainty concerning global strategic alliances. The market for defense products, services and solutions globally is driven by these complex and rapidly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ongoing conflicts in Ukraine and Iran and threats elsewhere, particularly in the Middle East and the Western Pacific region, have increased global tensions and instability and highlighted security requirements globally. These conflicts have resulted in and may continue to result in increased demand for defense products and services from allies and partner nations, particularly in those regions. We continue to monitor developments in these regions, but have not experienced, and do not anticipate experiencing, significant adverse financial impacts directly from these conflicts.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believe the current global security environment, characterized by significant national security threats to the U.S. and its allies, continues to highlight the need for strong deterrence and robust defense capabilities. We are actively evaluating both opportunities and risks associated with this environment and are moving with speed and at scale to deliver innovative solutions to our customers. We believe our capabilities, particularly in space, C4ISR, air and missile defense, battle management, solid rocket motors, advanced weapons, strategic deterrence, survivable aircraft, autonomous aircraft systems and mission systems should help our customers in the U.S. and globally defend against current and future threats and, as a result, continue to position us for long-term profitable business growth.</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Economic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the global economic environment has experienced challenges, including inflationary pressures; widespread delays and disruptions in supply chains; constraints on the availability of critical materials, including rare earth minerals and metals; business slowdowns or shutdowns; workforce challenges and labor shortfalls; and market volatility. These macroeconomic factors have contributed, and could continue to contribute, to increased costs, delays, disruptions and other performance challenges, as well as increased competing demands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limited resources to address such increased costs and other challenges, for our company, suppliers and partners, and customers.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addition, if interest rates increase or otherwise fluctuate, it could impact government spending priorities (in the U.S. and allied countries, in particular), including the demand for defense products. Economic tensions and changes in international trade policies, including, for example, widespread tariffs announced since last year by the U.S. on its major trading partners, higher tariffs on imported goods and materials and actions taken in response (such as retaliatory tariffs or other trade protectionist measures or the renegotiation of free trade agreements), could also further impact the global market for defense products, services and solutions. In addition, following the first quarter 2026 U.S. Supreme Court decision that invalidated tariffs imposed pursuant to the International Emergency Economic Powers Act (“IEEPA”), the U.S. announced tariffs under different statutory authorities, including a 10% global tariff. The full impact of these governmental actions on macroeconomic conditions and on our business is uncertain, difficult to predict and depends on a number of factors, including the extent and duration of tariffs, the availability of exemptions, changes in the amount and scope of tariffs, any reversal or temporary suspension of announced tariffs, the availability of refunds for tariffs paid under IEEPA, the imposition of new tariffs and other measures that target countries may take in response to U.S. trade policies, and possible resulting general inflationary pressures in the global economy. We are continuing to monitor the impact on our business, suppliers and customers, but do not believe that the tariffs, including the IEEPA tariffs, have had or will have a material adverse effect on our business.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Political, Budget and Regulatory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U.S. continues to face an uncertain and evolving political, budget and regulatory environment. In particular, it is difficult to predict the specific course of future defense budgets. Current and future requirements related to the conflicts in Ukraine and Iran and threats in the Middle East, the Western Pacific and Latin America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defense spending levels and the debt ceiling will continue to be subjects of considerable debate, with a potentially significant impact on our programs and the company.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July 4, 2025, the FY 2025 reconciliation bill titled the One Big Beautiful Bill Act (the “OBBBA”) was enacted. The OBBBA allocated approximately $150 billion in mandatory defense funding, including funding for air and missile defense, munitions, strategic deterrence, shipbuilding and supply chains and other military capabilities. The appropriated funds will remain available to be obligated until September 30, 2029 and expended through FY 2034. Funding from the OBBBA has allowed for increased investments by the DoW in defense modernization projects, homeland missile defense capabilities, and increased production capacity across a number of key programs. See Note 4 to the financial statements for additional information on key income tax provisions of the OBBBA.</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annual appropriations to fund a vast majority of the federal government for FY 2026, including approximately $859 billion for defense, were enacted. Appropriations to partially fund the Department of Homeland Security were enacted on April 30, 2026, with the remaining appropriations enacted on June 10, 2026. On April 3, 2026, the Trump Administration (the “Administration”) released its FY 2027 budget request. The request includes $1.45 trillion for defense, with $1.1 trillion in the base budget (discretionary funding) and $350 billion in reconciliation (mandatory) funding. The total defense budget request reflects an increase of 44% ($441 billion) above the FY 2026 enacted levels (including $153 billion in FY 2026 reconciliation funding). Congress is evaluating the Administration’s budget request as it drafts authorization and appropriations legislation for FY 2027. Additionally, the Administration recently transmitted an $88 billion supplemental funding request for FY 2026, of which $67 billion is intended to address the operational costs associated with the Iran conflict and other defense priorities. There is uncertainty as to when Congress will act on the reconciliation funding and supplemental request.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Administration has issued numerous executive orders, including orders to undertake a comprehensive overhaul of the Federal Acquisition Regulation, to reform the DoW defense acquisition process and, more recently, to promote the use of fixed price contracts where appropriate and to address underperformance and insufficient prioritization of government contracts, insufficient investment in production and production speed and incentive compensation metrics applicable to defense contractors. See “Risk factors” for further discussion regarding risks associated with executive orders and regulatory changes. Some of the Administration’s executive orders are subject to ongoing court challenges. Implementation of certain of these executive orders could adversely affect our business or create a more challenging or costly regulatory, operating and economic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light of the ongoing conflicts and heightened global instability as well as political tensions and related legal challenges, we expect continued uncertainty in the global security, U.S. political, budget and regulatory environment. Initiatives to reduce governmental spending, federal budget and debt ceiling action, and further changes in U.S. government policy positions, including trade and foreign policy, tax policy and DoW policies or priorities, could materially impact defense spending broadly and the company’s programs in particular.</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B-21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2015, the U.S. Air Force awarded Northrop Grumman the B-21 contract, which includes a base contract for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We have previously recognized and disclosed cumulative losses of approximately $2.0 billion on the LRIP phase of the program. Northrop Grumman and the U.S. Air Force have also established not to exceed (NTE) pricing for two additional lots. Final terms, quantity, and pricing for the NTE lots are not fully negotiated; however, the average value for these NTE lots is above the average unit price of the five LRIP lots, and the NTE lots include an economic price adjustment clause to help protect against certain inflationary pressures.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reached an agreement with the U.S. Air Force to expand production capacity for the B-21 program and increase the aircraft production rate. We continue to expect to invest approximately $2.5 billion over a multi-year period to expand production capacity; in return, we have the opportunity to earn improved returns on the LRIP and NTE phases of the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again reviewed our estimated profitability on the LRIP phase of the program and made no significant changes to the previously recognized loss. As we finalized certain details associated with the first quarter 2026 agreement with the U.S. Air Force described above, certain costs shifted between LRIP lots resulting in favorable EAC adjustments on the first four LRIP lots and an increase in the loss contingency accrual on the remainder of the program. The company’s second quarter 2026 results reflect our current best estimate of cost to complete the LRIP and NTE aircraft, as well as the outcome of ongoing discussions with our suppliers. If our estimated cost to complete the aircraft changes, or if our assumptions regarding contract performance, quantities, or supplier negotiations are resolved more or less favorably than what we have estimated, our financial position, results of operations and/or cash flows could be materially affected.</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Sentinel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July 2024, the Sentinel program was certified for continuation by the DoW upon completion of the Nunn-McCurdy breach review. In connection with the certification, the DoW directed that the program be restructured, including plans for infrastructure related to the command and launch segment, which was the main driver of the increased cost estimates for the Production and Deployment phases.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partnered with the U.S. Air Force in defining the preliminary execution framework necessary for successful restructure of the program. The program restructure will include a revision to the acquisition strategy, joint establishment of a new program baseline, and other critical preparation activities necessary to re-accomplish Milestone B approval.</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continued to make progress on joint activities with the U.S. Air Force. These efforts, which included requirements and design maturation, risk reduction activities, and evaluation of options to accelerate fielding of initial capability, have resulted in further definition and authorization of elements of the program execution plan, resulting in a $7.6 billion increase in program backlog. We also reviewed our estimated profitability on the program and recognized a favorable earnings adjustment related to our recent achievement of certain contract incentives. If our estimated cost to complete the restructured EMD effort or our achievement of future contract incentives is more or less favorable than what we have estimated, our financial position, results of operations and/or cash flows could be materially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Performance Assessment and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 of contract type and/or life cycle (e.g., cost-type, fixed-price, development, production, and/or sustainment). Contract mix can also refer to differences in the profitability of the programs that drive changes in sales (e.g., sales growth or decreases on programs with accretive or dilutive margin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CONSOLIDATED OPERATING RESULTS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Selected financial highlights are presented in the table below:</w:t>
      </w:r>
    </w:p>
    <w:tbl>
      <w:tblPr>
        <w:tblW w:w="10205" w:type="dxa"/>
        <w:jc w:val="left"/>
        <w:tblInd w:w="0" w:type="dxa"/>
        <w:tblLayout w:type="fixed"/>
        <w:tblCellMar>
          <w:top w:w="28" w:type="dxa"/>
          <w:left w:w="28" w:type="dxa"/>
          <w:bottom w:w="28" w:type="dxa"/>
          <w:right w:w="28" w:type="dxa"/>
        </w:tblCellMar>
      </w:tblPr>
      <w:tblGrid>
        <w:gridCol w:w="779"/>
        <w:gridCol w:w="611"/>
        <w:gridCol w:w="613"/>
        <w:gridCol w:w="211"/>
        <w:gridCol w:w="736"/>
        <w:gridCol w:w="271"/>
        <w:gridCol w:w="109"/>
        <w:gridCol w:w="109"/>
        <w:gridCol w:w="109"/>
        <w:gridCol w:w="211"/>
        <w:gridCol w:w="721"/>
        <w:gridCol w:w="271"/>
        <w:gridCol w:w="109"/>
        <w:gridCol w:w="109"/>
        <w:gridCol w:w="109"/>
        <w:gridCol w:w="199"/>
        <w:gridCol w:w="199"/>
        <w:gridCol w:w="437"/>
        <w:gridCol w:w="109"/>
        <w:gridCol w:w="109"/>
        <w:gridCol w:w="109"/>
        <w:gridCol w:w="211"/>
        <w:gridCol w:w="736"/>
        <w:gridCol w:w="271"/>
        <w:gridCol w:w="109"/>
        <w:gridCol w:w="109"/>
        <w:gridCol w:w="109"/>
        <w:gridCol w:w="211"/>
        <w:gridCol w:w="721"/>
        <w:gridCol w:w="271"/>
        <w:gridCol w:w="109"/>
        <w:gridCol w:w="109"/>
        <w:gridCol w:w="109"/>
        <w:gridCol w:w="199"/>
        <w:gridCol w:w="199"/>
        <w:gridCol w:w="492"/>
      </w:tblGrid>
      <w:tr>
        <w:trPr/>
        <w:tc>
          <w:tcPr>
            <w:tcW w:w="77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costs and expenses as a % of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89.9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90.0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foreign income tax expense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income tax 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0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w:t>
            </w:r>
            <w:r>
              <w:rPr>
                <w:color w:val="000000"/>
              </w:rPr>
              <w:t>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4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13.83</w:t>
            </w:r>
            <w:r>
              <w:rPr>
                <w:color w:val="000000"/>
              </w:rPr>
              <w:t>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4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sales increased $525 million, or 5 percent, driven by higher sales at all four sectors, including a 13 percent increase at Aeronautics Systems.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$938 million, or 5 percent, primarily due to higher sales of $874 million at Aeronautics Systems, $196 million at Defense Systems and $147 million at Mission Systems. These increases were partially offset by $298 million of higher intercompany eliminations.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 and Margin Rate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operating income decreased $329 million, or 23 percent, primarily driven by the prior year $231 million gain on the training services divestiture, as well as $61 million of lower segment operating income and a $56 million decrease in the FAS/CAS operating adjustment. Operating margin rate declined to 10.1 percent from 13.8 percent reflecting the items above.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G&amp;A costs as a percentage of sales decreased to 9.4 percent from 9.8 percent in the prior year period primarily due to higher 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increased $87 million, or 4 percent, primarily due to $443 million of higher segment operating income largely driven by the prior year B-21 loss provision at Aeronautics Systems, partially offset by the prior year $231 million gain on the training services divestiture and a $112 million decrease in the FAS/CAS operating adjustment. Operating margin rate of 10.0 percent was comparable with the prior year.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G&amp;A costs as a percentage of sales decreased to 9.6 percent from 10.2 percent in the prior year period primarily due to higher sales.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“Segment Operating Results” below for further information by segment. For information regarding product and service operating costs and expenses, see “Product and Service Analysis” below.</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Federal and Foreign Income Taxes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76"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income tax expense decreased $179 million, or 71 percent, due to a lower ETR and $259 million of lower earnings before income taxes. The second quarter 2026 ETR decreased to 6.3 percent from 17.7 percent principally due to the remeasurement of UTPs given recent developments with the IRS towards resolving our previously filed federal income tax returns and refund claims.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income tax expense decreased $121 million, or 35 percent, due to a lower ETR, partially offset by $193 million of higher earnings before income taxes. The year to date 2026 ETR decreased to 10.4 percent from 17.5 percent primarily due to the remeasurement of UTPs described above, as well as higher research credits, including a benefit related to CAMT guidance recently issued by the IRS.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Note 4 to the financial statements for additional information.</w:t>
      </w:r>
    </w:p>
    <w:p>
      <w:pPr>
        <w:pStyle w:val="TextBody"/>
        <w:bidi w:val="0"/>
        <w:spacing w:lineRule="auto" w:line="288" w:before="0" w:after="0"/>
        <w:jc w:val="left"/>
        <w:rPr/>
      </w:pPr>
      <w:r>
        <w:rPr>
          <w:rFonts w:ascii="Times New Roman;serif" w:hAnsi="Times New Roman;serif"/>
          <w:b/>
          <w:color w:val="000000"/>
          <w:sz w:val="20"/>
        </w:rPr>
        <w:t>Net Earnings</w:t>
      </w:r>
      <w:r>
        <w:rPr>
          <w:rFonts w:ascii="Times New Roman;serif" w:hAnsi="Times New Roman;serif"/>
          <w:b w:val="false"/>
          <w:i/>
          <w:color w:val="000000"/>
          <w:sz w:val="20"/>
        </w:rPr>
        <w:b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net earnings decreased $80 million, or 7 percent, primarily due to the $329 million decrease in operating income described above, partially offset by a $179 million decrease in income tax expense, a $29 million increase in the non-operating FAS pension benefit and a $29 million increase in Other, net largely driven by favorable returns associated with an investment sold during the quarter.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net earnings increased $314 million, or 19 percent, primarily due to a $121 million decrease in income tax expense, an $87 million increase in operating income, a $65 million increase in the non-operating FAS pension benefit and a $35 million increase in Other, net largely driven by favorable returns associated with an investment sold during the second quarter.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diluted earnings per share decreased $0.47, or 6 percent, reflecting a 7 percent decrease in net earnings and a 1 percent reduction in weighted-average diluted shares outstanding.</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 to date 2026 diluted earnings per share increased $2.38, or 21 percent, reflecting a 19 percent increase in net earnings and a 1 percent reduction in weighted-average diluted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SEGMENT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aligned in four operating sectors, which also comprise our reportable segments: Aeronautics Systems, Defense Systems, Mission Systems and Space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purposes of the operating results discussion below, we assess our performance using certain financial measures that are not calculated in accordance with GAAP.</w:t>
      </w:r>
    </w:p>
    <w:p>
      <w:pPr>
        <w:pStyle w:val="TextBody"/>
        <w:bidi w:val="0"/>
        <w:spacing w:lineRule="auto" w:line="288" w:before="0" w:after="100"/>
        <w:jc w:val="left"/>
        <w:rPr/>
      </w:pPr>
      <w:r>
        <w:rPr>
          <w:rFonts w:ascii="Times New Roman;serif" w:hAnsi="Times New Roman;serif"/>
          <w:b/>
          <w:color w:val="000000"/>
          <w:sz w:val="20"/>
        </w:rPr>
        <w:t>Organic Sales</w:t>
        <w:br/>
      </w:r>
      <w:r>
        <w:rPr>
          <w:rFonts w:ascii="Times New Roman;serif" w:hAnsi="Times New Roman;serif"/>
          <w:b w:val="false"/>
          <w:color w:val="000000"/>
          <w:sz w:val="20"/>
        </w:rPr>
        <w:t>In the operating results discussion below, we present the performance of our Defense Systems sector using organic sales, a financial measure that is not calculated in accordance with GAAP. Organic sales is defined as 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 We reconcile this non-GAAP financial measure to its most directly comparable GAAP financial measure below. This non-GAAP measure may not be defined and calculated by other companies in the same manner and should not be considered in isolation or as an alternative to operating results presented in accordance with GAAP.</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Income and Margin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tbl>
      <w:tblPr>
        <w:tblW w:w="10205" w:type="dxa"/>
        <w:jc w:val="left"/>
        <w:tblInd w:w="0" w:type="dxa"/>
        <w:tblLayout w:type="fixed"/>
        <w:tblCellMar>
          <w:top w:w="28" w:type="dxa"/>
          <w:left w:w="28" w:type="dxa"/>
          <w:bottom w:w="28" w:type="dxa"/>
          <w:right w:w="28" w:type="dxa"/>
        </w:tblCellMar>
      </w:tblPr>
      <w:tblGrid>
        <w:gridCol w:w="1056"/>
        <w:gridCol w:w="745"/>
        <w:gridCol w:w="640"/>
        <w:gridCol w:w="211"/>
        <w:gridCol w:w="631"/>
        <w:gridCol w:w="271"/>
        <w:gridCol w:w="109"/>
        <w:gridCol w:w="109"/>
        <w:gridCol w:w="109"/>
        <w:gridCol w:w="211"/>
        <w:gridCol w:w="616"/>
        <w:gridCol w:w="271"/>
        <w:gridCol w:w="109"/>
        <w:gridCol w:w="109"/>
        <w:gridCol w:w="109"/>
        <w:gridCol w:w="194"/>
        <w:gridCol w:w="194"/>
        <w:gridCol w:w="437"/>
        <w:gridCol w:w="109"/>
        <w:gridCol w:w="109"/>
        <w:gridCol w:w="109"/>
        <w:gridCol w:w="211"/>
        <w:gridCol w:w="631"/>
        <w:gridCol w:w="271"/>
        <w:gridCol w:w="109"/>
        <w:gridCol w:w="109"/>
        <w:gridCol w:w="109"/>
        <w:gridCol w:w="211"/>
        <w:gridCol w:w="616"/>
        <w:gridCol w:w="271"/>
        <w:gridCol w:w="109"/>
        <w:gridCol w:w="109"/>
        <w:gridCol w:w="109"/>
        <w:gridCol w:w="194"/>
        <w:gridCol w:w="194"/>
        <w:gridCol w:w="494"/>
      </w:tblGrid>
      <w:tr>
        <w:trPr/>
        <w:tc>
          <w:tcPr>
            <w:tcW w:w="105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segment operating income: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 pension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 pension service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Training services divestiture – unallowable state taxes and transaction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and PP&amp;E step-up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2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operating margin rate</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10.6</w:t>
            </w:r>
            <w:r>
              <w:rPr>
                <w:color w:val="000000"/>
              </w:rPr>
              <w:t>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11.8 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10.7</w:t>
            </w:r>
            <w:r>
              <w:rPr>
                <w:color w:val="000000"/>
              </w:rPr>
              <w:t>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segment operating income decreased $61 million, or 5 percent, primarily due to $97 million of lower operating income at Defense Systems and $44 million of lower operating income at Space Systems, partially offset by $60 million of higher operating income at Mission Systems and $41 million of higher operating income at Aeronautics Systems. Segment operating margin rate decreased to 10.6 percent from 11.8 percent primarily due to a lower operating margin rate at Defense Systems and Space Systems, partially offset by a higher operating margin rate at Mission Systems.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segment operating income increased $443 million, or 25 percent, primarily due to $529 million of higher operating income at Aeronautics Systems and $132 million of higher operating income at Mission Systems, partially offset by $92 million of lower operating income at both Defense Systems and Space Systems. Segment operating margin rate increased to 10.7 percent from 9.0 percent primarily due to a higher operating margin rate at Aeronautics Systems and Mission Systems, partially offset by a lower operating margin rate at Defense Systems and Space Systems.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FAS/CAS Operating Adjustment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second quarter 2026 and year to date 2026 FAS/CAS operating adjustment reflects lower CAS pension expense largely driven by favorable plan asset returns in prior years.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Unallocated Corporate Expense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change in second quarter 2026 unallocated corporate expense (income) is primarily driven by the prior year $231 million gain on the training services divestiture and $19 million of unallowable state taxes and transaction costs associated with the divestiture.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change in year to date 2026 unallocated corporate expense (income) is primarily due to the prior year $231 million gain on the training services divestiture and $20 million of unallowable state taxes and transaction costs associated with the divestiture.</w:t>
      </w:r>
    </w:p>
    <w:p>
      <w:pPr>
        <w:pStyle w:val="TextBody"/>
        <w:bidi w:val="0"/>
        <w:spacing w:lineRule="auto" w:line="288" w:before="0" w:after="100"/>
        <w:jc w:val="left"/>
        <w:rPr/>
      </w:pPr>
      <w:r>
        <w:rPr>
          <w:rFonts w:ascii="Times New Roman;serif" w:hAnsi="Times New Roman;serif"/>
          <w:b w:val="false"/>
          <w:i/>
          <w:color w:val="000000"/>
          <w:sz w:val="20"/>
        </w:rPr>
        <w:t>Net EAC Adjustments</w:t>
      </w:r>
      <w:r>
        <w:rPr>
          <w:color w:val="000000"/>
        </w:rPr>
        <w:t xml:space="preserve"> </w:t>
      </w:r>
      <w:r>
        <w:rPr>
          <w:rFonts w:ascii="Times New Roman;serif" w:hAnsi="Times New Roman;serif"/>
          <w:b w:val="false"/>
          <w:color w:val="000000"/>
          <w:sz w:val="20"/>
        </w:rPr>
        <w:t>- We record changes in estimated contract earnings at completion (net EAC adjustments) using the cumulative catch-up method of accounting. Net EAC adjustments can have a significant effect on segment operating income and margin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aggregate favorable and unfavorable EAC adjustments are presented in the table below:</w:t>
      </w:r>
    </w:p>
    <w:tbl>
      <w:tblPr>
        <w:tblW w:w="7727" w:type="dxa"/>
        <w:jc w:val="center"/>
        <w:tblInd w:w="0" w:type="dxa"/>
        <w:tblLayout w:type="fixed"/>
        <w:tblCellMar>
          <w:top w:w="28" w:type="dxa"/>
          <w:left w:w="28" w:type="dxa"/>
          <w:bottom w:w="28" w:type="dxa"/>
          <w:right w:w="28" w:type="dxa"/>
        </w:tblCellMar>
      </w:tblPr>
      <w:tblGrid>
        <w:gridCol w:w="935"/>
        <w:gridCol w:w="819"/>
        <w:gridCol w:w="826"/>
        <w:gridCol w:w="274"/>
        <w:gridCol w:w="626"/>
        <w:gridCol w:w="141"/>
        <w:gridCol w:w="141"/>
        <w:gridCol w:w="141"/>
        <w:gridCol w:w="141"/>
        <w:gridCol w:w="274"/>
        <w:gridCol w:w="606"/>
        <w:gridCol w:w="141"/>
        <w:gridCol w:w="109"/>
        <w:gridCol w:w="109"/>
        <w:gridCol w:w="109"/>
        <w:gridCol w:w="234"/>
        <w:gridCol w:w="700"/>
        <w:gridCol w:w="120"/>
        <w:gridCol w:w="120"/>
        <w:gridCol w:w="120"/>
        <w:gridCol w:w="120"/>
        <w:gridCol w:w="234"/>
        <w:gridCol w:w="517"/>
        <w:gridCol w:w="170"/>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EAC adjustments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Unfavorable EAC adjustments</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w:t>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 by segment are presented in the table below:</w:t>
      </w:r>
    </w:p>
    <w:tbl>
      <w:tblPr>
        <w:tblW w:w="7009" w:type="dxa"/>
        <w:jc w:val="center"/>
        <w:tblInd w:w="0" w:type="dxa"/>
        <w:tblLayout w:type="fixed"/>
        <w:tblCellMar>
          <w:top w:w="28" w:type="dxa"/>
          <w:left w:w="28" w:type="dxa"/>
          <w:bottom w:w="28" w:type="dxa"/>
          <w:right w:w="28" w:type="dxa"/>
        </w:tblCellMar>
      </w:tblPr>
      <w:tblGrid>
        <w:gridCol w:w="674"/>
        <w:gridCol w:w="590"/>
        <w:gridCol w:w="595"/>
        <w:gridCol w:w="274"/>
        <w:gridCol w:w="626"/>
        <w:gridCol w:w="141"/>
        <w:gridCol w:w="141"/>
        <w:gridCol w:w="141"/>
        <w:gridCol w:w="141"/>
        <w:gridCol w:w="274"/>
        <w:gridCol w:w="606"/>
        <w:gridCol w:w="141"/>
        <w:gridCol w:w="109"/>
        <w:gridCol w:w="109"/>
        <w:gridCol w:w="109"/>
        <w:gridCol w:w="256"/>
        <w:gridCol w:w="456"/>
        <w:gridCol w:w="132"/>
        <w:gridCol w:w="132"/>
        <w:gridCol w:w="132"/>
        <w:gridCol w:w="132"/>
        <w:gridCol w:w="256"/>
        <w:gridCol w:w="656"/>
        <w:gridCol w:w="186"/>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w:t>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10205" w:type="dxa"/>
        <w:jc w:val="left"/>
        <w:tblInd w:w="0" w:type="dxa"/>
        <w:tblLayout w:type="fixed"/>
        <w:tblCellMar>
          <w:top w:w="28" w:type="dxa"/>
          <w:left w:w="28" w:type="dxa"/>
          <w:bottom w:w="28" w:type="dxa"/>
          <w:right w:w="28" w:type="dxa"/>
        </w:tblCellMar>
      </w:tblPr>
      <w:tblGrid>
        <w:gridCol w:w="857"/>
        <w:gridCol w:w="752"/>
        <w:gridCol w:w="754"/>
        <w:gridCol w:w="211"/>
        <w:gridCol w:w="631"/>
        <w:gridCol w:w="271"/>
        <w:gridCol w:w="109"/>
        <w:gridCol w:w="109"/>
        <w:gridCol w:w="109"/>
        <w:gridCol w:w="211"/>
        <w:gridCol w:w="616"/>
        <w:gridCol w:w="271"/>
        <w:gridCol w:w="109"/>
        <w:gridCol w:w="109"/>
        <w:gridCol w:w="109"/>
        <w:gridCol w:w="188"/>
        <w:gridCol w:w="188"/>
        <w:gridCol w:w="437"/>
        <w:gridCol w:w="109"/>
        <w:gridCol w:w="109"/>
        <w:gridCol w:w="109"/>
        <w:gridCol w:w="211"/>
        <w:gridCol w:w="631"/>
        <w:gridCol w:w="271"/>
        <w:gridCol w:w="109"/>
        <w:gridCol w:w="109"/>
        <w:gridCol w:w="109"/>
        <w:gridCol w:w="211"/>
        <w:gridCol w:w="616"/>
        <w:gridCol w:w="271"/>
        <w:gridCol w:w="109"/>
        <w:gridCol w:w="109"/>
        <w:gridCol w:w="109"/>
        <w:gridCol w:w="240"/>
        <w:gridCol w:w="241"/>
        <w:gridCol w:w="491"/>
      </w:tblGrid>
      <w:tr>
        <w:trPr/>
        <w:tc>
          <w:tcPr>
            <w:tcW w:w="8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36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10.3 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9.8</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sales increased $405 million, or 13 percent, primarily due to higher volume on B-21 and other restricted programs, a $106 million increase on the E-130J TACAMO (“TACAMO”) program as it ramps up, and higher volume on the B-2, F-35 and E-2 programs. These increases were partially offset by a decrease on F/A-18 as final production deliveries have completed.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$874 million, or 15 percent, primarily due to higher sales on B-21 and other restricted programs, a $193 million increase on the TACAMO program as it ramps up, as well as higher volume on the B-2 and F-35 programs. The higher B-21 sales reflect the company’s first quarter 2026 agreement with the U.S. Air Force to expand production capacity and increase the aircraft production rate, including the sale of a company-owned test asset. The sales increases were partially offset by a decrease on F/A-18 as final production deliveries have completed.</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operating income increased $41 million, or 13 percent, due to higher sales. Operating margin rate of 10.3 percent was comparable with the prior year period.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increased $529 million, or 383 percent, primarily due to a higher operating margin rate. Operating margin rate increased to 9.8 percent primarily due to the absence of the prior year B-21 loss provision.</w:t>
      </w:r>
    </w:p>
    <w:tbl>
      <w:tblPr>
        <w:tblW w:w="10205" w:type="dxa"/>
        <w:jc w:val="left"/>
        <w:tblInd w:w="0" w:type="dxa"/>
        <w:tblLayout w:type="fixed"/>
        <w:tblCellMar>
          <w:top w:w="28" w:type="dxa"/>
          <w:left w:w="28" w:type="dxa"/>
          <w:bottom w:w="28" w:type="dxa"/>
          <w:right w:w="28" w:type="dxa"/>
        </w:tblCellMar>
      </w:tblPr>
      <w:tblGrid>
        <w:gridCol w:w="853"/>
        <w:gridCol w:w="748"/>
        <w:gridCol w:w="751"/>
        <w:gridCol w:w="211"/>
        <w:gridCol w:w="631"/>
        <w:gridCol w:w="271"/>
        <w:gridCol w:w="109"/>
        <w:gridCol w:w="109"/>
        <w:gridCol w:w="109"/>
        <w:gridCol w:w="211"/>
        <w:gridCol w:w="616"/>
        <w:gridCol w:w="271"/>
        <w:gridCol w:w="109"/>
        <w:gridCol w:w="109"/>
        <w:gridCol w:w="109"/>
        <w:gridCol w:w="216"/>
        <w:gridCol w:w="216"/>
        <w:gridCol w:w="437"/>
        <w:gridCol w:w="109"/>
        <w:gridCol w:w="109"/>
        <w:gridCol w:w="109"/>
        <w:gridCol w:w="211"/>
        <w:gridCol w:w="631"/>
        <w:gridCol w:w="271"/>
        <w:gridCol w:w="109"/>
        <w:gridCol w:w="109"/>
        <w:gridCol w:w="109"/>
        <w:gridCol w:w="211"/>
        <w:gridCol w:w="616"/>
        <w:gridCol w:w="271"/>
        <w:gridCol w:w="109"/>
        <w:gridCol w:w="109"/>
        <w:gridCol w:w="109"/>
        <w:gridCol w:w="216"/>
        <w:gridCol w:w="216"/>
        <w:gridCol w:w="49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DEFENSE SYSTEMS</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Training services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35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7.5</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8.5</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11.4 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sales increased $102 million, or 5 percent, primarily due to higher volume on Sentinel as the program continues to ramp and higher volume across the Integrated Battle Command System (IBCS) portfolio. These increases were partially offset by a $40 million reduction in sales related to the divested training services business.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$196 million, or 5 percent, primarily due to a $176 million increase on Sentinel as the program continues to ramp, as well as higher volume on tactical solid rocket motor programs and across the IBCS portfolio. These increases were partially offset by a $112 million reduction in sales related to the divested training services business as well as lower volume on armament programs, including certain military ammunition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operating income decreased $97 million, or 38 percent, primarily due to a lower operating margin rate, partially offset by higher sales. Operating margin rate decreased to 7.5 percent from 12.7 percent primarily due to lower net EAC adjustments, including the absence of a prior year $76 million favorable adjustment on Sentinel. In the current quarter, we continued to invest in our missile prime business. We are projecting higher costs to mature production on the Extended Range version of the Advanced Anti-Radiation Guided Missile (AARGM-ER) and to develop and qualify the Stand-in Attack Weapon (SiAW), which resulted in a $68 million unfavorable EAC adjustment on SiAW. These investments were partially offset by a favorable EAC adjustment on Sentinel related to our recent achievement of certain contract incentives.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decreased $92 million, or 21 percent, primarily due to a lower operating margin rate, partially offset by higher sales. Operating margin rate decreased to 8.5 percent from 11.4 percent principally due to lower net EAC adjustments, reflecting the SiAW and prior year Sentinel adjustments described above.</w:t>
      </w:r>
    </w:p>
    <w:tbl>
      <w:tblPr>
        <w:tblW w:w="9700" w:type="dxa"/>
        <w:jc w:val="left"/>
        <w:tblInd w:w="0" w:type="dxa"/>
        <w:tblLayout w:type="fixed"/>
        <w:tblCellMar>
          <w:top w:w="28" w:type="dxa"/>
          <w:left w:w="28" w:type="dxa"/>
          <w:bottom w:w="28" w:type="dxa"/>
          <w:right w:w="28" w:type="dxa"/>
        </w:tblCellMar>
      </w:tblPr>
      <w:tblGrid>
        <w:gridCol w:w="712"/>
        <w:gridCol w:w="625"/>
        <w:gridCol w:w="627"/>
        <w:gridCol w:w="211"/>
        <w:gridCol w:w="631"/>
        <w:gridCol w:w="271"/>
        <w:gridCol w:w="109"/>
        <w:gridCol w:w="109"/>
        <w:gridCol w:w="109"/>
        <w:gridCol w:w="211"/>
        <w:gridCol w:w="616"/>
        <w:gridCol w:w="271"/>
        <w:gridCol w:w="109"/>
        <w:gridCol w:w="109"/>
        <w:gridCol w:w="109"/>
        <w:gridCol w:w="188"/>
        <w:gridCol w:w="188"/>
        <w:gridCol w:w="437"/>
        <w:gridCol w:w="109"/>
        <w:gridCol w:w="109"/>
        <w:gridCol w:w="109"/>
        <w:gridCol w:w="211"/>
        <w:gridCol w:w="631"/>
        <w:gridCol w:w="271"/>
        <w:gridCol w:w="109"/>
        <w:gridCol w:w="109"/>
        <w:gridCol w:w="109"/>
        <w:gridCol w:w="211"/>
        <w:gridCol w:w="616"/>
        <w:gridCol w:w="271"/>
        <w:gridCol w:w="109"/>
        <w:gridCol w:w="109"/>
        <w:gridCol w:w="109"/>
        <w:gridCol w:w="188"/>
        <w:gridCol w:w="188"/>
        <w:gridCol w:w="49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MISSION SYSTEMS</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15.4</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13.4 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sales increased $93 million, or 3 percent, primarily due to a $130 million increase on marine systems programs, the timing of materials on F-35 and ramp-up on restricted airborne radar programs. These increases were partially offset by lower volume on restricted advanced microelectronics programs.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$147 million, or 2 percent, primarily due to ramp-up on restricted airborne radar programs, higher sales of $163 million on marine systems programs, and the timing of materials on F-35. These increases were partially offset by a $106 million decrease on the Scalable Agile Beam Radar program and lower volume on restricted advanced microelectronics programs.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operating income increased $60 million, or 14 percent, due to a higher operating margin rate and higher sales. Operating margin rate increased to 15.4 percent from 14.0 percent, primarily due to higher net EAC adjustments driven by improved performance.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increased $132 million, or 16 percent, due to a higher operating margin rate and higher sales. Operating margin rate increased to 15.3 percent from 13.4 percent, primarily due to higher net EAC adjustments driven by improved performance, as well as prior year investments made by the sector in connection with restricted business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9820" w:type="dxa"/>
        <w:jc w:val="left"/>
        <w:tblInd w:w="0" w:type="dxa"/>
        <w:tblLayout w:type="fixed"/>
        <w:tblCellMar>
          <w:top w:w="28" w:type="dxa"/>
          <w:left w:w="28" w:type="dxa"/>
          <w:bottom w:w="28" w:type="dxa"/>
          <w:right w:w="28" w:type="dxa"/>
        </w:tblCellMar>
      </w:tblPr>
      <w:tblGrid>
        <w:gridCol w:w="712"/>
        <w:gridCol w:w="625"/>
        <w:gridCol w:w="627"/>
        <w:gridCol w:w="211"/>
        <w:gridCol w:w="631"/>
        <w:gridCol w:w="271"/>
        <w:gridCol w:w="109"/>
        <w:gridCol w:w="109"/>
        <w:gridCol w:w="109"/>
        <w:gridCol w:w="211"/>
        <w:gridCol w:w="616"/>
        <w:gridCol w:w="271"/>
        <w:gridCol w:w="109"/>
        <w:gridCol w:w="109"/>
        <w:gridCol w:w="109"/>
        <w:gridCol w:w="218"/>
        <w:gridCol w:w="218"/>
        <w:gridCol w:w="437"/>
        <w:gridCol w:w="109"/>
        <w:gridCol w:w="109"/>
        <w:gridCol w:w="109"/>
        <w:gridCol w:w="211"/>
        <w:gridCol w:w="631"/>
        <w:gridCol w:w="271"/>
        <w:gridCol w:w="109"/>
        <w:gridCol w:w="109"/>
        <w:gridCol w:w="109"/>
        <w:gridCol w:w="211"/>
        <w:gridCol w:w="616"/>
        <w:gridCol w:w="271"/>
        <w:gridCol w:w="109"/>
        <w:gridCol w:w="109"/>
        <w:gridCol w:w="109"/>
        <w:gridCol w:w="218"/>
        <w:gridCol w:w="218"/>
        <w:gridCol w:w="49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SPACE SYSTEMS</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8.6</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9.0</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10.8 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sales increased $107 million, or 4 percent, primarily due to a $139 million increase for Commercial Resupply Service (CRS) missions as well as higher volume on the Glide Phase Interceptor (GPI) and Ground-based Midcourse Defense Weapon System (GMD WS) programs. These increases were partially offset by lower sales on the Graphite Epoxy Motor (GEM) 63XL program related to the unfavorable EAC adjustment described below and lower volume on the Habitation and Logistics Outpost (HALO) program.</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were comparable to the prior period and reflect a $141 million increase for CRS missions offset by a $139 million decrease on the GEM 63XL program largely related to the unfavorable EAC adjustments described below.</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operating income decreased $44 million, or 16 percent, primarily due to a lower operating margin rate, partially offset by higher sales. Operating margin rate decreased to 8.6 percent from 10.6 percent, primarily due to lower net EAC adjustments, including a $91 million unfavorable adjustment on GEM 63XL largely related to increases in the projected cost to complete the program, partially offset by favorable changes in contract mix.</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decreased $92 million, or 16 percent, due to a lower operating margin rate. Operating margin rate decreased to 9.0 percent from 10.8 percent, largely due to lower net EAC adjustments, including $162 million of unfavorable adjustments on GEM 63XL, partially offset by favorable changes in contract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PRODUCT AND SERVICE ANALYSIS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product and service sales and operating costs and expenses by segment:</w:t>
      </w:r>
    </w:p>
    <w:tbl>
      <w:tblPr>
        <w:tblW w:w="10205" w:type="dxa"/>
        <w:jc w:val="left"/>
        <w:tblInd w:w="0" w:type="dxa"/>
        <w:tblLayout w:type="fixed"/>
        <w:tblCellMar>
          <w:top w:w="28" w:type="dxa"/>
          <w:left w:w="28" w:type="dxa"/>
          <w:bottom w:w="28" w:type="dxa"/>
          <w:right w:w="28" w:type="dxa"/>
        </w:tblCellMar>
      </w:tblPr>
      <w:tblGrid>
        <w:gridCol w:w="456"/>
        <w:gridCol w:w="388"/>
        <w:gridCol w:w="392"/>
        <w:gridCol w:w="211"/>
        <w:gridCol w:w="736"/>
        <w:gridCol w:w="109"/>
        <w:gridCol w:w="238"/>
        <w:gridCol w:w="714"/>
        <w:gridCol w:w="124"/>
        <w:gridCol w:w="211"/>
        <w:gridCol w:w="721"/>
        <w:gridCol w:w="109"/>
        <w:gridCol w:w="233"/>
        <w:gridCol w:w="681"/>
        <w:gridCol w:w="120"/>
        <w:gridCol w:w="109"/>
        <w:gridCol w:w="109"/>
        <w:gridCol w:w="109"/>
        <w:gridCol w:w="211"/>
        <w:gridCol w:w="736"/>
        <w:gridCol w:w="109"/>
        <w:gridCol w:w="230"/>
        <w:gridCol w:w="803"/>
        <w:gridCol w:w="119"/>
        <w:gridCol w:w="211"/>
        <w:gridCol w:w="721"/>
        <w:gridCol w:w="109"/>
        <w:gridCol w:w="229"/>
        <w:gridCol w:w="782"/>
        <w:gridCol w:w="175"/>
      </w:tblGrid>
      <w:tr>
        <w:trPr/>
        <w:tc>
          <w:tcPr>
            <w:tcW w:w="4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21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20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22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Information:</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Aeronautics Systems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3,157</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eliminations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Defense Systems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Mission Systems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Space Systems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Totals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15,111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Segment</w:t>
            </w:r>
            <w:r>
              <w:rPr>
                <w:rFonts w:ascii="Times New Roman;serif" w:hAnsi="Times New Roman;serif"/>
                <w:b/>
                <w:color w:val="000000"/>
                <w:sz w:val="13"/>
              </w:rPr>
              <w:t>(1)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9,718</w:t>
            </w:r>
            <w:r>
              <w:rPr>
                <w:color w:val="000000"/>
              </w:rPr>
              <w:t>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18,527</w:t>
            </w:r>
            <w:r>
              <w:rPr>
                <w:color w:val="000000"/>
              </w:rPr>
              <w:t>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18,032 </w:t>
            </w:r>
          </w:p>
        </w:tc>
        <w:tc>
          <w:tcPr>
            <w:tcW w:w="1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 reconciliation of segment operating income to total operating income is included in “Segment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Sales and Costs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product sales increased $550 million, or 7 percent, primarily due to higher sales on B-21 and TACAMO at Aeronautics Systems, higher volume on Sentinel and across the IBCS portfolio at Defense Systems, and increased sales for CRS missions, GPI and GMD WS at Space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product costs increased $630 million, or 9 percent, reflecting a lower operating margin rate primarily due to lower net EAC adjustments on product programs at Defense Systems and Space Systems.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product sales increased $987 million, or 6 percent, primarily due to higher sales on B-21 and TACAMO at Aeronautics Systems, as well as higher volume on Sentinel, tactical solid rocket motor programs and across the IBCS portfolio at Defense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product costs increased $613 million, or 4 percent, reflecting a higher operating margin rate principally due to the absence of the prior year B-21 loss provision at Aeronautics Systems, partially offset by lower net EAC adjustments on product programs at Defense Systems and Space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Service Sales and Costs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service sales decreased $25 million, or 1 percent, primarily due to lower restricted sales at Space Systems and lower volume on airborne electronic warfare programs at Mission Systems, partially offset by higher restricted sales at Aeronautics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Second quarter 2026 service costs decreased $44 million, or 2 percent, reflecting a higher operating margin rate principally driven by higher net EAC adjustments on service programs at Aeronautics Systems and higher service margins in our commercial space business at Space Systems.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service sales decreased $49 million, or 1 percent, primarily due to lower restricted sales at Space Systems and lower service volume at Defense Systems due to the training services divestiture, partially offset by higher restricted sales at Aeronautics Systems.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 to date 2026 service costs decreased $118 million, or 3 percent, reflecting a higher operating margin rate principally driven by higher net EAC adjustments on service programs at Aeronautics Systems and Space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Backlog consisted of the following as of June 30, 2026 and December 31, 2025:</w:t>
      </w:r>
    </w:p>
    <w:tbl>
      <w:tblPr>
        <w:tblW w:w="10052" w:type="dxa"/>
        <w:jc w:val="left"/>
        <w:tblInd w:w="0" w:type="dxa"/>
        <w:tblLayout w:type="fixed"/>
        <w:tblCellMar>
          <w:top w:w="28" w:type="dxa"/>
          <w:left w:w="28" w:type="dxa"/>
          <w:bottom w:w="28" w:type="dxa"/>
          <w:right w:w="28" w:type="dxa"/>
        </w:tblCellMar>
      </w:tblPr>
      <w:tblGrid>
        <w:gridCol w:w="652"/>
        <w:gridCol w:w="571"/>
        <w:gridCol w:w="576"/>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340"/>
        <w:gridCol w:w="1164"/>
        <w:gridCol w:w="176"/>
        <w:gridCol w:w="109"/>
        <w:gridCol w:w="109"/>
        <w:gridCol w:w="109"/>
        <w:gridCol w:w="321"/>
        <w:gridCol w:w="321"/>
        <w:gridCol w:w="1023"/>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in 2026</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58,747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104,692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95,681 </w:t>
            </w:r>
          </w:p>
        </w:tc>
        <w:tc>
          <w:tcPr>
            <w:tcW w:w="1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Second quarter and year to date 2026 net awards totaled $20.0 billion and $29.8 billion, respectively. Backlog totaled $104.7 billion. Significant second quarter new awards include $7.6 billion for Sentinel, $4.3 billion for restricted programs (primarily at Aeronautics Systems and Space Systems), $1.0 billion for F-35 (at Aeronautics Systems and Mission Systems), $0.8 billion for Glide Phase Interceptor (GPI), and $0.7 billion for Multi-role Electronically Scanned Array (MESA).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At June 30, 2026, we had $2.3 billion in cash and cash equivalents. We expect cash and cash equivalents and cash generated from operating activities, supplemented by borrowings under credit facilities, commercial paper and/or in the capital markets, if needed, to be sufficient to provide liquidity to the company in the short-term and long-term. The company has a five-year senior unsecured revolving credit facility in an aggregate principal amount of $3.0 billion, and in April 2026, we renewed our one-year $500 million uncommitted credit facility. At June 30, 2026, there were no borrowings outstanding under these credit facilities.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Measures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addition to our cash position, we consider various cash flow measures in capital deployment decision-making, including cash provided by operating activities and adjusted free cash flow, a non-GAAP measure described in more detail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Cash Flow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key components of cash used in operating activities:</w:t>
      </w:r>
    </w:p>
    <w:tbl>
      <w:tblPr>
        <w:tblW w:w="6545" w:type="dxa"/>
        <w:jc w:val="left"/>
        <w:tblInd w:w="0" w:type="dxa"/>
        <w:tblLayout w:type="fixed"/>
        <w:tblCellMar>
          <w:top w:w="28" w:type="dxa"/>
          <w:left w:w="28" w:type="dxa"/>
          <w:bottom w:w="28" w:type="dxa"/>
          <w:right w:w="28" w:type="dxa"/>
        </w:tblCellMar>
      </w:tblPr>
      <w:tblGrid>
        <w:gridCol w:w="1108"/>
        <w:gridCol w:w="971"/>
        <w:gridCol w:w="980"/>
        <w:gridCol w:w="218"/>
        <w:gridCol w:w="654"/>
        <w:gridCol w:w="113"/>
        <w:gridCol w:w="113"/>
        <w:gridCol w:w="113"/>
        <w:gridCol w:w="113"/>
        <w:gridCol w:w="218"/>
        <w:gridCol w:w="638"/>
        <w:gridCol w:w="113"/>
        <w:gridCol w:w="109"/>
        <w:gridCol w:w="109"/>
        <w:gridCol w:w="109"/>
        <w:gridCol w:w="188"/>
        <w:gridCol w:w="188"/>
        <w:gridCol w:w="490"/>
      </w:tblGrid>
      <w:tr>
        <w:trPr/>
        <w:tc>
          <w:tcPr>
            <w:tcW w:w="11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trade working capital</w:t>
            </w:r>
            <w:r>
              <w:rPr>
                <w:rFonts w:ascii="Times New Roman;serif" w:hAnsi="Times New Roman;serif"/>
                <w:b w:val="false"/>
                <w:color w:val="000000"/>
                <w:sz w:val="13"/>
              </w:rPr>
              <w:t>(1)</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w:t>
            </w:r>
          </w:p>
        </w:tc>
        <w:tc>
          <w:tcPr>
            <w:tcW w:w="1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4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Beginning in the fourth quarter of 2025, the company redefined trade working capital presented in this table to include accounts receivable, unbilled receivables, inventoried costs, trade accounts payable and advance payments and billings in excess of costs incurred. Prior period amounts and disclosures have been recast to conform to the current period presentation.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net cash used in operating activities decreased $321 million as compared with the same period in 2025, primarily due to lower net cash tax payments.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Free Cash Flow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if any, as such proceeds were generated in a customer sales transaction. It also includes the after-tax impact of discretionary pension contributions, if any,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During the six months ended June 30, 2026 and 2025, the company received no proceeds from the sale of equipment to a customer and made no discretionary pension contributions.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net cash used in operating activities to adjusted free cash flow:</w:t>
      </w:r>
    </w:p>
    <w:tbl>
      <w:tblPr>
        <w:tblW w:w="6543" w:type="dxa"/>
        <w:jc w:val="left"/>
        <w:tblInd w:w="0" w:type="dxa"/>
        <w:tblLayout w:type="fixed"/>
        <w:tblCellMar>
          <w:top w:w="28" w:type="dxa"/>
          <w:left w:w="28" w:type="dxa"/>
          <w:bottom w:w="28" w:type="dxa"/>
          <w:right w:w="28" w:type="dxa"/>
        </w:tblCellMar>
      </w:tblPr>
      <w:tblGrid>
        <w:gridCol w:w="1108"/>
        <w:gridCol w:w="972"/>
        <w:gridCol w:w="980"/>
        <w:gridCol w:w="220"/>
        <w:gridCol w:w="564"/>
        <w:gridCol w:w="113"/>
        <w:gridCol w:w="113"/>
        <w:gridCol w:w="113"/>
        <w:gridCol w:w="113"/>
        <w:gridCol w:w="220"/>
        <w:gridCol w:w="721"/>
        <w:gridCol w:w="113"/>
        <w:gridCol w:w="109"/>
        <w:gridCol w:w="109"/>
        <w:gridCol w:w="109"/>
        <w:gridCol w:w="188"/>
        <w:gridCol w:w="188"/>
        <w:gridCol w:w="490"/>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6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2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(845)</w:t>
            </w:r>
          </w:p>
        </w:tc>
        <w:tc>
          <w:tcPr>
            <w:tcW w:w="11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1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49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adjusted free cash flow increased $339 million, or 29 percent, as compared with the same period in 2025, primarily due to an increase in net cash from operating activities.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Cash Flow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to date 2026 net cash used in investing activities increased $173 million, or 91 percent, as compared with the same period in 2025, principally due to $333 million of proceeds from the training services divestiture in the prior year, partially offset by $107 million of proceeds from the sale of an investment in the current year.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Financing Cash Flow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net cash used in financing activities decreased $210 million, or 13 percent, as compared with the same period in 2025, primarily due to an $823 million decrease in share repurchases, partially offset by $566 million in net borrowings on commercial paper in the prior year.</w:t>
      </w:r>
    </w:p>
    <w:p>
      <w:pPr>
        <w:pStyle w:val="TextBody"/>
        <w:bidi w:val="0"/>
        <w:spacing w:lineRule="auto" w:line="288" w:before="0" w:after="100"/>
        <w:jc w:val="left"/>
        <w:rPr/>
      </w:pPr>
      <w:r>
        <w:rPr>
          <w:rFonts w:ascii="Times New Roman;serif" w:hAnsi="Times New Roman;serif"/>
          <w:b w:val="false"/>
          <w:i/>
          <w:color w:val="000000"/>
          <w:sz w:val="20"/>
        </w:rPr>
        <w:t xml:space="preserve">Credit Facilities, Commercial Paper and Financial Arrangements - </w:t>
      </w:r>
      <w:r>
        <w:rPr>
          <w:rFonts w:ascii="Times New Roman;serif" w:hAnsi="Times New Roman;serif"/>
          <w:b w:val="false"/>
          <w:color w:val="000000"/>
          <w:sz w:val="20"/>
        </w:rPr>
        <w:t>See Note 7 to the financial statements for further information on our credit facilities, commercial paper and our use of standby letters of credit and guarantees.</w:t>
      </w:r>
    </w:p>
    <w:p>
      <w:pPr>
        <w:pStyle w:val="TextBody"/>
        <w:bidi w:val="0"/>
        <w:spacing w:lineRule="auto" w:line="288" w:before="0" w:after="100"/>
        <w:jc w:val="left"/>
        <w:rPr/>
      </w:pPr>
      <w:r>
        <w:rPr>
          <w:rFonts w:ascii="Times New Roman;serif" w:hAnsi="Times New Roman;serif"/>
          <w:b w:val="false"/>
          <w:i/>
          <w:color w:val="000000"/>
          <w:sz w:val="20"/>
        </w:rPr>
        <w:t>Share Repurchases</w:t>
      </w:r>
      <w:r>
        <w:rPr>
          <w:color w:val="000000"/>
        </w:rPr>
        <w:t xml:space="preserve"> </w:t>
      </w:r>
      <w:r>
        <w:rPr>
          <w:rFonts w:ascii="Times New Roman;serif" w:hAnsi="Times New Roman;serif"/>
          <w:b w:val="false"/>
          <w:color w:val="000000"/>
          <w:sz w:val="20"/>
        </w:rPr>
        <w:t>- See Note 2 to the financial statements for further information on our share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80"/>
        <w:jc w:val="left"/>
        <w:rPr/>
      </w:pP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See Note 5 to the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discussed in our 2025 Annual Report on Form 10-K.</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1 to our financial statements for further information on accounting standards updates.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FORWARD-LOOKING STATEMENTS AND PROJECTIONS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2025 Annual Report on Form 10-K and from time to time in our other filings with the SEC. They include: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Industry and Economic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dependence on the U.S. government for a substantial portion of our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delays or reductions in payments as a result of or related to a breach of the debt ceiling or a prolonged government shutdown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to management’s judgments and assumptions in estimating and/or projecting contract revenue and performance which may be inaccurate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increased competition within our markets and bid protests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continued pressures from macroeconomic trends, including on costs, schedules, performance and ability to meet expectations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Legal and Regulatory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investigations, claims, disputes, enforcement actions, litigation (including criminal, civil and administrative) and/or other legal proceedings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changes in procurement and other laws, SEC,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improper conduct of employees, agents, subcontractors, suppliers, business partners or joint ventures in which we participate, including the impact on our reputation and our ability to do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environmental matters, unforeseen environmental costs and government and third-party claims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unanticipated changes in our tax provisions or exposure to additional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Business and Operational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cyber and other security threats or disruptions faced by us, our customers or our suppliers and other partners, and changes in related regulations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performance and viability of our subcontractors and suppliers and the availability and pricing of raw materials, critical minerals and metals, chemicals, parts and components, particularly with inflationary pressures, increased costs, pricing changes, shortages in labor and financial resources, supply chain disruptions, and extended material lead times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to attract and retain a qualified and talented workforce with the necessary security clearances to meet our performance obligations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exposure to additional risks as a result of our international business, including risks related to global security and strategic alliances, geopolitical and economic factors, misconduct, suppliers, laws and regulations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to innovate, develop new products and technologies, progress and benefit from digital transformation and maintain technologies to meet the needs of our customers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natural disasters, epidemics, pandemics and similar outbreaks and other significant disruptions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products and services we provide related to hazardous and high risk operations, including the production and use of such products, which subject us to various environmental, regulatory, financial, reputational and other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appropriately to protect and exploit intellectual property rights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General and Other Risk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adequacy and availability of, and ability to obtain, insurance coverage, customer indemnifications or other liability protections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changes in business conditions that could impact business investments and/or recorded goodwill or the value of other long-lived assets, and other potential future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56"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risks from those discussed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2026,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changes occurred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provided information about certain legal proceedings in which we are involved in Notes 6 and 7 to the financial statements.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2025 Annual Report on Form 10-K.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a discussion of our risk factors please see the section entitled “Risk Factors”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had no repurchases of common stock during the three months ended June 30, 2026. The approximate dollar value of shares that may yet be purchased under the company’s share repurchase authorization is $2.5 billion as of June 30, 2026.</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Share repurchases take place from time to time, subject to market and regulatory conditions and management’s discretion, in the open market or in privately negotiated transactions. The company retires its common stock upon repurchase.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2 to the financial statements for further information on our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June 30, 2026.</w:t>
      </w:r>
    </w:p>
    <w:tbl>
      <w:tblPr>
        <w:tblW w:w="10205" w:type="dxa"/>
        <w:jc w:val="left"/>
        <w:tblInd w:w="0" w:type="dxa"/>
        <w:tblLayout w:type="fixed"/>
        <w:tblCellMar>
          <w:top w:w="28" w:type="dxa"/>
          <w:left w:w="28" w:type="dxa"/>
          <w:bottom w:w="28" w:type="dxa"/>
          <w:right w:w="28" w:type="dxa"/>
        </w:tblCellMar>
      </w:tblPr>
      <w:tblGrid>
        <w:gridCol w:w="680"/>
        <w:gridCol w:w="483"/>
        <w:gridCol w:w="489"/>
        <w:gridCol w:w="536"/>
        <w:gridCol w:w="536"/>
        <w:gridCol w:w="538"/>
        <w:gridCol w:w="345"/>
        <w:gridCol w:w="345"/>
        <w:gridCol w:w="346"/>
        <w:gridCol w:w="1272"/>
        <w:gridCol w:w="1272"/>
        <w:gridCol w:w="1275"/>
        <w:gridCol w:w="608"/>
        <w:gridCol w:w="608"/>
        <w:gridCol w:w="872"/>
      </w:tblGrid>
      <w:tr>
        <w:trPr/>
        <w:tc>
          <w:tcPr>
            <w:tcW w:w="6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br/>
              <w:t>(Title)</w:t>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Date of Adoption </w:t>
            </w:r>
          </w:p>
        </w:tc>
        <w:tc>
          <w:tcPr>
            <w:tcW w:w="3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Expiration Date of Trading Arrangement</w:t>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or Sold</w:t>
            </w:r>
          </w:p>
        </w:tc>
      </w:tr>
      <w:tr>
        <w:trPr/>
        <w:tc>
          <w:tcPr>
            <w:tcW w:w="1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G. Simpson</w:t>
            </w:r>
          </w:p>
        </w:tc>
        <w:tc>
          <w:tcPr>
            <w:tcW w:w="1610"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036"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27, 2026</w:t>
            </w:r>
          </w:p>
        </w:tc>
        <w:tc>
          <w:tcPr>
            <w:tcW w:w="3819"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2027 or such earlier date upon the completion of all trades under the plan or the occurrence of such other termination events as specified in the plan.</w:t>
            </w:r>
          </w:p>
        </w:tc>
        <w:tc>
          <w:tcPr>
            <w:tcW w:w="2088" w:type="dxa"/>
            <w:gridSpan w:val="3"/>
            <w:vMerge w:val="restart"/>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 of shares to be received upon payout of 2024 RSRs and RPSRs</w:t>
            </w:r>
            <w:r>
              <w:rPr>
                <w:rFonts w:ascii="Times New Roman;serif" w:hAnsi="Times New Roman;serif"/>
                <w:b w:val="false"/>
                <w:color w:val="000000"/>
                <w:sz w:val="13"/>
              </w:rPr>
              <w:t>(1)</w:t>
            </w:r>
          </w:p>
        </w:tc>
      </w:tr>
      <w:tr>
        <w:trPr/>
        <w:tc>
          <w:tcPr>
            <w:tcW w:w="165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Vice President and General Counsel)</w:t>
            </w:r>
          </w:p>
        </w:tc>
        <w:tc>
          <w:tcPr>
            <w:tcW w:w="1610"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036" w:type="dxa"/>
            <w:gridSpan w:val="3"/>
            <w:vMerge w:val="continue"/>
            <w:tcBorders>
              <w:top w:val="single" w:sz="8" w:space="0" w:color="000000"/>
              <w:bottom w:val="single" w:sz="8" w:space="0" w:color="000000"/>
            </w:tcBorders>
            <w:shd w:fill="CCEEFF" w:val="clear"/>
            <w:tcMar>
              <w:top w:w="30" w:type="dxa"/>
              <w:left w:w="0" w:type="dxa"/>
              <w:bottom w:w="30" w:type="dxa"/>
              <w:right w:w="0" w:type="dxa"/>
            </w:tcMar>
            <w:vAlign w:val="center"/>
          </w:tcPr>
          <w:p>
            <w:pPr>
              <w:pStyle w:val="Normal"/>
              <w:bidi w:val="0"/>
              <w:jc w:val="left"/>
              <w:rPr/>
            </w:pPr>
            <w:r>
              <w:rPr/>
            </w:r>
          </w:p>
        </w:tc>
        <w:tc>
          <w:tcPr>
            <w:tcW w:w="3819"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2088" w:type="dxa"/>
            <w:gridSpan w:val="3"/>
            <w:vMerge w:val="continue"/>
            <w:tcBorders>
              <w:top w:val="single" w:sz="8" w:space="0" w:color="000000"/>
              <w:bottom w:val="single" w:sz="8" w:space="0" w:color="000000"/>
            </w:tcBorders>
            <w:shd w:fill="CCEEFF" w:val="clear"/>
            <w:tcMar>
              <w:top w:w="30" w:type="dxa"/>
              <w:left w:w="0" w:type="dxa"/>
              <w:bottom w:w="30" w:type="dxa"/>
              <w:right w:w="0" w:type="dxa"/>
            </w:tcMar>
            <w:vAlign w:val="center"/>
          </w:tcPr>
          <w:p>
            <w:pPr>
              <w:pStyle w:val="Normal"/>
              <w:bidi w:val="0"/>
              <w:jc w:val="left"/>
              <w:rPr/>
            </w:pPr>
            <w:r>
              <w:rPr/>
            </w:r>
          </w:p>
        </w:tc>
      </w:tr>
    </w:tbl>
    <w:p>
      <w:pPr>
        <w:pStyle w:val="TextBody"/>
        <w:bidi w:val="0"/>
        <w:spacing w:lineRule="auto" w:line="288" w:before="100" w:after="10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aggregate number of shares to be sold will depend, in part, on future company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0"/>
        <w:gridCol w:w="220"/>
        <w:gridCol w:w="221"/>
        <w:gridCol w:w="2810"/>
        <w:gridCol w:w="2771"/>
        <w:gridCol w:w="393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x101.htm">
              <w:r>
                <w:rPr>
                  <w:rStyle w:val="InternetLink"/>
                  <w:rFonts w:ascii="Times New Roman;serif" w:hAnsi="Times New Roman;serif"/>
                  <w:b w:val="false"/>
                  <w:color w:val="0000FF"/>
                  <w:sz w:val="20"/>
                  <w:u w:val="single"/>
                </w:rPr>
                <w:t>Non-Employee Director Compensation Term Sheet, effective May 20, 2026</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x15.htm">
              <w:r>
                <w:rPr>
                  <w:rStyle w:val="InternetLink"/>
                  <w:rFonts w:ascii="Times New Roman;serif" w:hAnsi="Times New Roman;serif"/>
                  <w:b w:val="false"/>
                  <w:color w:val="0000FF"/>
                  <w:sz w:val="20"/>
                  <w:u w:val="single"/>
                </w:rPr>
                <w:t>Letter from Independent Registered Public Accounting Firm</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x311.htm">
              <w:r>
                <w:rPr>
                  <w:rStyle w:val="InternetLink"/>
                  <w:rFonts w:ascii="Times New Roman;serif" w:hAnsi="Times New Roman;serif"/>
                  <w:b w:val="false"/>
                  <w:color w:val="0000FF"/>
                  <w:sz w:val="20"/>
                  <w:u w:val="single"/>
                </w:rPr>
                <w:t>Certification of Kathy J. Warden pursuant to Section 302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x312.htm">
              <w:r>
                <w:rPr>
                  <w:rStyle w:val="InternetLink"/>
                  <w:rFonts w:ascii="Times New Roman;serif" w:hAnsi="Times New Roman;serif"/>
                  <w:b w:val="false"/>
                  <w:color w:val="0000FF"/>
                  <w:sz w:val="20"/>
                  <w:u w:val="single"/>
                </w:rPr>
                <w:t>Certification of John T. Greene pursuant to Section 302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x321.htm">
              <w:r>
                <w:rPr>
                  <w:rStyle w:val="InternetLink"/>
                  <w:rFonts w:ascii="Times New Roman;serif" w:hAnsi="Times New Roman;serif"/>
                  <w:b w:val="false"/>
                  <w:color w:val="0000FF"/>
                  <w:sz w:val="20"/>
                  <w:u w:val="single"/>
                </w:rPr>
                <w:t>Certification of Kathy J. Warden pursuant to Section 906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x322.htm">
              <w:r>
                <w:rPr>
                  <w:rStyle w:val="InternetLink"/>
                  <w:rFonts w:ascii="Times New Roman;serif" w:hAnsi="Times New Roman;serif"/>
                  <w:b w:val="false"/>
                  <w:color w:val="0000FF"/>
                  <w:sz w:val="20"/>
                  <w:u w:val="single"/>
                </w:rPr>
                <w:t>Certification of John T. Greene pursuant to Section 906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 Quarterly Report on Form 10-Q for the quarter ended June 30, 2026, formatted as inline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(vi) Notes to Condensed Consolidated Financial Statements, and (vii) Other Information. The instance document does not appear in the Interactive Data File because its XBRL tags are embedded within the Inline XBRL document.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a9c92f1f8a943f4a2bb2166d988b3e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00"/>
        <w:jc w:val="left"/>
        <w:rPr/>
      </w:pPr>
      <w:r>
        <w:rPr/>
      </w:r>
    </w:p>
    <w:tbl>
      <w:tblPr>
        <w:tblW w:w="5812" w:type="dxa"/>
        <w:jc w:val="right"/>
        <w:tblInd w:w="0" w:type="dxa"/>
        <w:tblLayout w:type="fixed"/>
        <w:tblCellMar>
          <w:top w:w="28" w:type="dxa"/>
          <w:left w:w="28" w:type="dxa"/>
          <w:bottom w:w="28" w:type="dxa"/>
          <w:right w:w="28" w:type="dxa"/>
        </w:tblCellMar>
      </w:tblPr>
      <w:tblGrid>
        <w:gridCol w:w="438"/>
        <w:gridCol w:w="385"/>
        <w:gridCol w:w="385"/>
        <w:gridCol w:w="385"/>
        <w:gridCol w:w="385"/>
        <w:gridCol w:w="385"/>
        <w:gridCol w:w="1004"/>
        <w:gridCol w:w="1004"/>
        <w:gridCol w:w="1441"/>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8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w:t>
              <w:br/>
              <w:t>(Registrant)</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p>
            <w:pPr>
              <w:pStyle w:val="TableContents"/>
              <w:bidi w:val="0"/>
              <w:spacing w:lineRule="auto" w:line="240" w:before="0" w:after="0"/>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Michael A. Hardesty</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A. Hardesty</w:t>
              <w:br/>
              <w:t>Corporate Vice President, Controller and</w:t>
              <w:br/>
              <w:t>Chief Accounting Officer</w:t>
              <w:br/>
              <w:t>(Principal Accounting Officer)</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Date: July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jc w:val="center"/>
        <w:rPr>
          <w:rFonts w:ascii="Times New Roman;serif" w:hAnsi="Times New Roman;serif"/>
          <w:b/>
          <w:i/>
          <w:color w:val="000000"/>
          <w:sz w:val="24"/>
          <w:u w:val="single"/>
        </w:rPr>
      </w:pPr>
      <w:r>
        <w:rPr>
          <w:rFonts w:ascii="Times New Roman;serif" w:hAnsi="Times New Roman;serif"/>
          <w:b/>
          <w:i/>
          <w:color w:val="000000"/>
          <w:sz w:val="24"/>
          <w:u w:val="single"/>
        </w:rPr>
        <w:t>Fees and Expenses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(effective as of May 20,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1"/>
        <w:gridCol w:w="371"/>
        <w:gridCol w:w="373"/>
        <w:gridCol w:w="2194"/>
        <w:gridCol w:w="1999"/>
        <w:gridCol w:w="1565"/>
        <w:gridCol w:w="1117"/>
        <w:gridCol w:w="797"/>
        <w:gridCol w:w="1158"/>
      </w:tblGrid>
      <w:tr>
        <w:trPr/>
        <w:tc>
          <w:tcPr>
            <w:tcW w:w="6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Retainer:</w:t>
            </w:r>
          </w:p>
        </w:tc>
        <w:tc>
          <w:tcPr>
            <w:tcW w:w="8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Retainer fees are paid quarterly, at the end of each quarter. </w:t>
              <w:br/>
              <w:t>Fees are as follows:</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Annual cash retainer: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Additional retainer for: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Lead Independent Director: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Audit and Risk Committee:</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Audit and Risk Committee chair: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Compensation and Human Capital Committee chair: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Nominating and Corporate Governance Committee chair: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Policy Committee chair:     </w:t>
            </w:r>
          </w:p>
        </w:tc>
        <w:tc>
          <w:tcPr>
            <w:tcW w:w="307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$145,000</w:t>
            </w:r>
          </w:p>
          <w:p>
            <w:pPr>
              <w:pStyle w:val="TableContents"/>
              <w:bidi w:val="0"/>
              <w:spacing w:before="0" w:after="0"/>
              <w:ind w:left="0" w:right="0" w:hanging="1800"/>
              <w:jc w:val="left"/>
              <w:rPr/>
            </w:pPr>
            <w:r>
              <w:rPr/>
            </w:r>
          </w:p>
          <w:p>
            <w:pPr>
              <w:pStyle w:val="TableContents"/>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$50,000</w:t>
            </w:r>
          </w:p>
          <w:p>
            <w:pPr>
              <w:pStyle w:val="TableContents"/>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$15,000</w:t>
            </w:r>
          </w:p>
          <w:p>
            <w:pPr>
              <w:pStyle w:val="TableContents"/>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$25,000</w:t>
            </w:r>
          </w:p>
          <w:p>
            <w:pPr>
              <w:pStyle w:val="TableContents"/>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$25,000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$25,000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$25,000</w:t>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Equity Grant:</w:t>
            </w:r>
          </w:p>
        </w:tc>
        <w:tc>
          <w:tcPr>
            <w:tcW w:w="8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Directors are awarded an annual equity grant of $192,500 in deferred stock units (“Automatic Stock Units”), awarded annually on the day of the Company’s Annual Meeting of Shareholders. The Automatic Stock Units will vest on the one year anniversary of the grant date. Directors may elect to have all or any portion of their Automatic Stock Units paid on (A) the earlier of (i) the beginning of a specified calendar year after the vesting date or (ii) their separation from service as a member of the Board or (B) the vesting date.</w:t>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Deferral of Cash Retainer:</w:t>
            </w:r>
          </w:p>
        </w:tc>
        <w:tc>
          <w:tcPr>
            <w:tcW w:w="8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Directors may elect to defer payment of all or a portion of their cash retainer fees and any other committee retainer fees into a deferred stock unit account (“Elective Stock Units”). Elective Stock Units are awarded on a calendar quarterly basis. Directors may elect to have all or a portion of their Elective Stock Units paid on the earlier of (i) the beginning of a specified calendar year or (ii) their separation from service as a member of the Board.</w:t>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Elective Deferral Program:</w:t>
            </w:r>
          </w:p>
        </w:tc>
        <w:tc>
          <w:tcPr>
            <w:tcW w:w="8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Directors may elect to defer to a later year all or a portion of their annual cash retainer and any other fees payable for their Board service into alternative investment options similar to the options available under Northrop Grumman’s Savings Excess Plan.</w:t>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Stock Ownership:</w:t>
            </w:r>
          </w:p>
        </w:tc>
        <w:tc>
          <w:tcPr>
            <w:tcW w:w="8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All directors are required to own Company stock in an amount equal to five times the annual cash retainer, with such ownership to be achieved within five years of the director’s election to the Board. Deferred stock units and Company stock owned outright by the director will count towards this requirement.</w:t>
            </w:r>
          </w:p>
        </w:tc>
      </w:tr>
    </w:tbl>
    <w:p>
      <w:pPr>
        <w:pStyle w:val="TextBody"/>
        <w:bidi w:val="0"/>
        <w:spacing w:before="0" w:after="0"/>
        <w:jc w:val="left"/>
        <w:rPr/>
      </w:pPr>
      <w:r>
        <w:rPr/>
      </w:r>
    </w:p>
    <w:p>
      <w:pPr>
        <w:pStyle w:val="TextBody"/>
        <w:bidi w:val="0"/>
        <w:spacing w:lineRule="auto" w:line="288"/>
        <w:ind w:left="0" w:right="0" w:hanging="180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NORTHROP GRUMMAN CORPORATION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15</w:t>
      </w:r>
    </w:p>
    <w:p>
      <w:pPr>
        <w:pStyle w:val="TextBody"/>
        <w:bidi w:val="0"/>
        <w:spacing w:before="100" w:after="100"/>
        <w:jc w:val="left"/>
        <w:rPr/>
      </w:pPr>
      <w:r>
        <w:rPr/>
      </w:r>
    </w:p>
    <w:p>
      <w:pPr>
        <w:pStyle w:val="TextBody"/>
        <w:bidi w:val="0"/>
        <w:spacing w:lineRule="auto" w:line="288" w:before="0" w:after="100"/>
        <w:ind w:left="0" w:right="0" w:hanging="225"/>
        <w:jc w:val="left"/>
        <w:rPr>
          <w:rFonts w:ascii="Times New Roman;serif" w:hAnsi="Times New Roman;serif"/>
          <w:b/>
          <w:color w:val="000000"/>
          <w:sz w:val="20"/>
        </w:rPr>
      </w:pPr>
      <w:r>
        <w:rPr>
          <w:rFonts w:ascii="Times New Roman;serif" w:hAnsi="Times New Roman;serif"/>
          <w:b/>
          <w:color w:val="000000"/>
          <w:sz w:val="20"/>
        </w:rPr>
        <w:t xml:space="preserve">LETTER FROM INDEPENDENT REGISTERED PUBLIC ACCOUNTING FIRM </w:t>
      </w:r>
    </w:p>
    <w:p>
      <w:pPr>
        <w:pStyle w:val="TextBody"/>
        <w:bidi w:val="0"/>
        <w:spacing w:before="0" w:after="100"/>
        <w:ind w:left="0" w:right="0" w:hanging="225"/>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July 20, 2026</w:t>
      </w:r>
    </w:p>
    <w:p>
      <w:pPr>
        <w:pStyle w:val="TextBody"/>
        <w:bidi w:val="0"/>
        <w:spacing w:before="0" w:after="100"/>
        <w:ind w:left="0" w:right="0" w:hanging="225"/>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The Board of Directors and Shareholders of Northrop Grumman Corporation</w:t>
      </w:r>
    </w:p>
    <w:p>
      <w:pPr>
        <w:pStyle w:val="TextBody"/>
        <w:bidi w:val="0"/>
        <w:spacing w:before="0" w:after="100"/>
        <w:ind w:left="0" w:right="0" w:hanging="225"/>
        <w:jc w:val="left"/>
        <w:rPr/>
      </w:pPr>
      <w:r>
        <w:rPr/>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Northrop Grumman Corporation </w:t>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2980 Fairview Park Drive </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Falls Church, Virginia 22042 </w:t>
      </w:r>
    </w:p>
    <w:p>
      <w:pPr>
        <w:pStyle w:val="TextBody"/>
        <w:bidi w:val="0"/>
        <w:spacing w:before="0" w:after="1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aware that our report dated July 20, 2026, on our review of the interim financial information of Northrop Grumman Corporation and subsidiaries appearing in this Quarterly Report on Form 10-Q for the quarter ended June 30, 2026, is incorporated by reference in Registration Statement Nos. 033-59815, 033-59853, 333-67266, 333-100179, 333-107734, 333-121104, 333-125120, 333-127317, 333-175798, 333-273482, and 333-281008 on Form S-8, 333-295222 on Form S-3, and 333-264549 on Form S-4. </w:t>
      </w:r>
    </w:p>
    <w:p>
      <w:pPr>
        <w:pStyle w:val="TextBody"/>
        <w:bidi w:val="0"/>
        <w:spacing w:before="0" w:after="100"/>
        <w:jc w:val="left"/>
        <w:rPr/>
      </w:pPr>
      <w:r>
        <w:rPr/>
      </w:r>
    </w:p>
    <w:p>
      <w:pPr>
        <w:pStyle w:val="TextBody"/>
        <w:bidi w:val="0"/>
        <w:spacing w:before="0" w:after="0"/>
        <w:ind w:left="0" w:right="0" w:hanging="225"/>
        <w:jc w:val="left"/>
        <w:rPr/>
      </w:pPr>
      <w:r>
        <w:rPr/>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lineRule="auto" w:line="288"/>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McLean, Virginia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I, Kathy J. Warden, certify that: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of Northrop Grumman Corporation (“company”); </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July 20, 2026</w:t>
      </w:r>
    </w:p>
    <w:p>
      <w:pPr>
        <w:pStyle w:val="TextBody"/>
        <w:bidi w:val="0"/>
        <w:spacing w:before="0" w:after="0"/>
        <w:jc w:val="right"/>
        <w:rPr/>
      </w:pPr>
      <w:r>
        <w:rPr/>
      </w:r>
    </w:p>
    <w:tbl>
      <w:tblPr>
        <w:tblW w:w="3765" w:type="dxa"/>
        <w:jc w:val="righ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Kathy J. Warden</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Kathy J. Warden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I, John T. Greene, certify that: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Northrop Grumman Corporation (“company”);</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July 20, 2026</w:t>
      </w:r>
    </w:p>
    <w:p>
      <w:pPr>
        <w:pStyle w:val="TextBody"/>
        <w:bidi w:val="0"/>
        <w:spacing w:lineRule="auto" w:line="288" w:before="0" w:after="0"/>
        <w:ind w:left="0" w:right="0" w:hanging="225"/>
        <w:jc w:val="right"/>
        <w:rPr>
          <w:color w:val="000000"/>
        </w:rPr>
      </w:pPr>
      <w:r>
        <w:rPr>
          <w:color w:val="000000"/>
        </w:rPr>
        <w:t> </w:t>
      </w:r>
    </w:p>
    <w:tbl>
      <w:tblPr>
        <w:tblW w:w="4439" w:type="dxa"/>
        <w:jc w:val="right"/>
        <w:tblInd w:w="0" w:type="dxa"/>
        <w:tblLayout w:type="fixed"/>
        <w:tblCellMar>
          <w:top w:w="28" w:type="dxa"/>
          <w:left w:w="28" w:type="dxa"/>
          <w:bottom w:w="28" w:type="dxa"/>
          <w:right w:w="28" w:type="dxa"/>
        </w:tblCellMar>
      </w:tblPr>
      <w:tblGrid>
        <w:gridCol w:w="1421"/>
        <w:gridCol w:w="1244"/>
        <w:gridCol w:w="1774"/>
      </w:tblGrid>
      <w:tr>
        <w:trPr/>
        <w:tc>
          <w:tcPr>
            <w:tcW w:w="142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John T. Greene</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hanging="225"/>
              <w:jc w:val="center"/>
              <w:rPr>
                <w:rFonts w:ascii="Times New Roman;serif" w:hAnsi="Times New Roman;serif"/>
                <w:b w:val="false"/>
                <w:color w:val="000000"/>
                <w:sz w:val="20"/>
              </w:rPr>
            </w:pPr>
            <w:r>
              <w:rPr>
                <w:rFonts w:ascii="Times New Roman;serif" w:hAnsi="Times New Roman;serif"/>
                <w:b w:val="false"/>
                <w:color w:val="000000"/>
                <w:sz w:val="20"/>
              </w:rPr>
              <w:t>John T. Greene</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Vice President and Chief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Northrop Grumman Corporation (the “company”) on Form 10-Q for the period ended June 30, 2026, as filed with the Securities and Exchange Commission on the date hereof (the “Report”), I, Kathy J. Warden, Chair, Chief Executive Officer and President of the company, certify, pursuant to 18 U.S.C. § 1350, as adopted pursuant to § 906 of the Sarbanes-Oxley Act of 2002, that: </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July 20, 2026</w:t>
      </w:r>
    </w:p>
    <w:p>
      <w:pPr>
        <w:pStyle w:val="TextBody"/>
        <w:bidi w:val="0"/>
        <w:spacing w:before="0" w:after="0"/>
        <w:jc w:val="right"/>
        <w:rPr/>
      </w:pPr>
      <w:r>
        <w:rPr/>
      </w:r>
    </w:p>
    <w:tbl>
      <w:tblPr>
        <w:tblW w:w="3765" w:type="dxa"/>
        <w:jc w:val="righ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Kathy J. Warden</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Kathy J. Warden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Chief Executive Officer and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Northrop Grumman Corporation (the “company”) on Form 10-Q for the period ended June 30, 2026, as filed with the Securities and Exchange Commission on the date hereof (the “Report”), I, John T. Greene, Corporate Vice President and Chief Financial Officer of the company, certify, pursuant to 18 U.S.C. § 1350, as adopted pursuant to § 906 of the Sarbanes-Oxley Act of 2002, that: </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July 20, 2026</w:t>
      </w:r>
    </w:p>
    <w:p>
      <w:pPr>
        <w:pStyle w:val="TextBody"/>
        <w:bidi w:val="0"/>
        <w:spacing w:before="0" w:after="0"/>
        <w:jc w:val="right"/>
        <w:rPr/>
      </w:pPr>
      <w:r>
        <w:rPr/>
      </w:r>
    </w:p>
    <w:tbl>
      <w:tblPr>
        <w:tblW w:w="4439" w:type="dxa"/>
        <w:jc w:val="right"/>
        <w:tblInd w:w="0" w:type="dxa"/>
        <w:tblLayout w:type="fixed"/>
        <w:tblCellMar>
          <w:top w:w="28" w:type="dxa"/>
          <w:left w:w="28" w:type="dxa"/>
          <w:bottom w:w="28" w:type="dxa"/>
          <w:right w:w="28" w:type="dxa"/>
        </w:tblCellMar>
      </w:tblPr>
      <w:tblGrid>
        <w:gridCol w:w="1421"/>
        <w:gridCol w:w="1244"/>
        <w:gridCol w:w="1774"/>
      </w:tblGrid>
      <w:tr>
        <w:trPr/>
        <w:tc>
          <w:tcPr>
            <w:tcW w:w="142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John T. Greene</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hanging="225"/>
              <w:jc w:val="center"/>
              <w:rPr>
                <w:rFonts w:ascii="Times New Roman;serif" w:hAnsi="Times New Roman;serif"/>
                <w:b w:val="false"/>
                <w:color w:val="000000"/>
                <w:sz w:val="20"/>
              </w:rPr>
            </w:pPr>
            <w:r>
              <w:rPr>
                <w:rFonts w:ascii="Times New Roman;serif" w:hAnsi="Times New Roman;serif"/>
                <w:b w:val="false"/>
                <w:color w:val="000000"/>
                <w:sz w:val="20"/>
              </w:rPr>
              <w:t>John T. Greene</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Vice President and 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20904</Words>
  <Characters>113258</Characters>
  <CharactersWithSpaces>133189</CharactersWithSpaces>
  <Paragraphs>3468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