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86360</wp:posOffset>
            </wp:positionV>
            <wp:extent cx="25114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34290</wp:posOffset>
            </wp:positionV>
            <wp:extent cx="2511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88" w:lineRule="exact"/>
        <w:rPr>
          <w:sz w:val="24"/>
          <w:szCs w:val="24"/>
          <w:color w:val="auto"/>
        </w:rPr>
      </w:pPr>
    </w:p>
    <w:p>
      <w:pPr>
        <w:ind w:left="1400" w:right="2000" w:hanging="845"/>
        <w:spacing w:after="0" w:line="250" w:lineRule="auto"/>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362585</wp:posOffset>
            </wp:positionH>
            <wp:positionV relativeFrom="paragraph">
              <wp:posOffset>-305435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June 30, 2020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44" w:lineRule="exact"/>
        <w:rPr>
          <w:sz w:val="24"/>
          <w:szCs w:val="24"/>
          <w:color w:val="auto"/>
        </w:rPr>
      </w:pPr>
    </w:p>
    <w:p>
      <w:pPr>
        <w:ind w:left="1400" w:right="1980" w:hanging="845"/>
        <w:spacing w:after="0" w:line="250" w:lineRule="auto"/>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30"/>
              <w:spacing w:after="0"/>
              <w:rPr>
                <w:sz w:val="20"/>
                <w:szCs w:val="20"/>
                <w:color w:val="auto"/>
              </w:rPr>
            </w:pPr>
            <w:r>
              <w:rPr>
                <w:rFonts w:ascii="Arial" w:cs="Arial" w:eastAsia="Arial" w:hAnsi="Arial"/>
                <w:sz w:val="18"/>
                <w:szCs w:val="18"/>
                <w:b w:val="1"/>
                <w:bCs w:val="1"/>
                <w:color w:val="auto"/>
              </w:rPr>
              <w:t>80-0640649</w:t>
            </w:r>
          </w:p>
        </w:tc>
      </w:tr>
      <w:tr>
        <w:trPr>
          <w:trHeight w:val="256"/>
        </w:trPr>
        <w:tc>
          <w:tcPr>
            <w:tcW w:w="1480" w:type="dxa"/>
            <w:vAlign w:val="bottom"/>
          </w:tcPr>
          <w:p>
            <w:pPr>
              <w:spacing w:after="0"/>
              <w:rPr>
                <w:sz w:val="22"/>
                <w:szCs w:val="22"/>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1480" w:type="dxa"/>
            <w:vAlign w:val="bottom"/>
          </w:tcPr>
          <w:p>
            <w:pPr>
              <w:spacing w:after="0"/>
              <w:rPr>
                <w:sz w:val="24"/>
                <w:szCs w:val="24"/>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3"/>
              </w:rPr>
              <w:t>2980 Fairview Park Drive</w:t>
            </w:r>
          </w:p>
        </w:tc>
        <w:tc>
          <w:tcPr>
            <w:tcW w:w="4140" w:type="dxa"/>
            <w:vAlign w:val="bottom"/>
          </w:tcPr>
          <w:p>
            <w:pPr>
              <w:spacing w:after="0"/>
              <w:rPr>
                <w:sz w:val="24"/>
                <w:szCs w:val="24"/>
                <w:color w:val="auto"/>
              </w:rPr>
            </w:pPr>
          </w:p>
        </w:tc>
      </w:tr>
      <w:tr>
        <w:trPr>
          <w:trHeight w:val="270"/>
        </w:trPr>
        <w:tc>
          <w:tcPr>
            <w:tcW w:w="1480" w:type="dxa"/>
            <w:vAlign w:val="bottom"/>
          </w:tcPr>
          <w:p>
            <w:pPr>
              <w:spacing w:after="0"/>
              <w:rPr>
                <w:sz w:val="23"/>
                <w:szCs w:val="23"/>
                <w:color w:val="auto"/>
              </w:rPr>
            </w:pPr>
          </w:p>
        </w:tc>
        <w:tc>
          <w:tcPr>
            <w:tcW w:w="5640" w:type="dxa"/>
            <w:vAlign w:val="bottom"/>
            <w:gridSpan w:val="2"/>
          </w:tcPr>
          <w:p>
            <w:pPr>
              <w:ind w:left="380"/>
              <w:spacing w:after="0"/>
              <w:rPr>
                <w:sz w:val="20"/>
                <w:szCs w:val="20"/>
                <w:color w:val="auto"/>
              </w:rPr>
            </w:pPr>
            <w:r>
              <w:rPr>
                <w:rFonts w:ascii="Arial" w:cs="Arial" w:eastAsia="Arial" w:hAnsi="Arial"/>
                <w:sz w:val="18"/>
                <w:szCs w:val="18"/>
                <w:b w:val="1"/>
                <w:bCs w:val="1"/>
                <w:color w:val="auto"/>
              </w:rPr>
              <w:t>Falls Church, Virginia</w:t>
            </w:r>
          </w:p>
        </w:tc>
        <w:tc>
          <w:tcPr>
            <w:tcW w:w="4140" w:type="dxa"/>
            <w:vAlign w:val="bottom"/>
          </w:tcPr>
          <w:p>
            <w:pPr>
              <w:jc w:val="right"/>
              <w:ind w:right="2430"/>
              <w:spacing w:after="0"/>
              <w:rPr>
                <w:sz w:val="20"/>
                <w:szCs w:val="20"/>
                <w:color w:val="auto"/>
              </w:rPr>
            </w:pPr>
            <w:r>
              <w:rPr>
                <w:rFonts w:ascii="Arial" w:cs="Arial" w:eastAsia="Arial" w:hAnsi="Arial"/>
                <w:sz w:val="18"/>
                <w:szCs w:val="18"/>
                <w:b w:val="1"/>
                <w:bCs w:val="1"/>
                <w:color w:val="auto"/>
              </w:rPr>
              <w:t>22042</w:t>
            </w:r>
          </w:p>
        </w:tc>
      </w:tr>
      <w:tr>
        <w:trPr>
          <w:trHeight w:val="270"/>
        </w:trPr>
        <w:tc>
          <w:tcPr>
            <w:tcW w:w="7120" w:type="dxa"/>
            <w:vAlign w:val="bottom"/>
            <w:gridSpan w:val="3"/>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29"/>
        </w:trPr>
        <w:tc>
          <w:tcPr>
            <w:tcW w:w="1480" w:type="dxa"/>
            <w:vAlign w:val="bottom"/>
          </w:tcPr>
          <w:p>
            <w:pPr>
              <w:spacing w:after="0"/>
              <w:rPr>
                <w:sz w:val="19"/>
                <w:szCs w:val="19"/>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19"/>
                <w:szCs w:val="19"/>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97"/>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35"/>
        </w:trPr>
        <w:tc>
          <w:tcPr>
            <w:tcW w:w="148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r>
      <w:tr>
        <w:trPr>
          <w:trHeight w:val="237"/>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7"/>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ind w:right="3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4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July 27, 2020, 166,714,063 shares of common stock were outstanding.</w:t>
      </w:r>
    </w:p>
    <w:p>
      <w:pPr>
        <w:sectPr>
          <w:pgSz w:w="11900" w:h="16838" w:orient="portrait"/>
          <w:cols w:equalWidth="0" w:num="1">
            <w:col w:w="11260"/>
          </w:cols>
          <w:pgMar w:left="320" w:top="216" w:right="3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64"/>
        </w:trPr>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80" w:type="dxa"/>
            <w:vAlign w:val="bottom"/>
          </w:tcPr>
          <w:p>
            <w:pPr>
              <w:ind w:left="20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16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Earnings and Comprehensive Income</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Financial Position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Shareholders’ Equity</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7">
              <w:r>
                <w:rPr>
                  <w:rFonts w:ascii="Arial" w:cs="Arial" w:eastAsia="Arial" w:hAnsi="Arial"/>
                  <w:sz w:val="18"/>
                  <w:szCs w:val="18"/>
                  <w:u w:val="single" w:color="auto"/>
                  <w:color w:val="0000EE"/>
                  <w:w w:val="92"/>
                </w:rPr>
                <w:t>1.</w:t>
              </w:r>
            </w:hyperlink>
          </w:p>
        </w:tc>
        <w:tc>
          <w:tcPr>
            <w:tcW w:w="728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Basis of Presentation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9">
              <w:r>
                <w:rPr>
                  <w:rFonts w:ascii="Arial" w:cs="Arial" w:eastAsia="Arial" w:hAnsi="Arial"/>
                  <w:sz w:val="18"/>
                  <w:szCs w:val="18"/>
                  <w:u w:val="single" w:color="auto"/>
                  <w:color w:val="0000EE"/>
                  <w:w w:val="92"/>
                </w:rPr>
                <w:t>2.</w:t>
              </w:r>
            </w:hyperlink>
          </w:p>
        </w:tc>
        <w:tc>
          <w:tcPr>
            <w:tcW w:w="728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Earnings Per Share, Share Repurchases and Dividends on Common Stock</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0">
              <w:r>
                <w:rPr>
                  <w:rFonts w:ascii="Arial" w:cs="Arial" w:eastAsia="Arial" w:hAnsi="Arial"/>
                  <w:sz w:val="18"/>
                  <w:szCs w:val="18"/>
                  <w:u w:val="single" w:color="auto"/>
                  <w:color w:val="0000EE"/>
                  <w:w w:val="92"/>
                </w:rPr>
                <w:t>3.</w:t>
              </w:r>
            </w:hyperlink>
          </w:p>
        </w:tc>
        <w:tc>
          <w:tcPr>
            <w:tcW w:w="728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Income Taxes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0">
              <w:r>
                <w:rPr>
                  <w:rFonts w:ascii="Arial" w:cs="Arial" w:eastAsia="Arial" w:hAnsi="Arial"/>
                  <w:sz w:val="18"/>
                  <w:szCs w:val="18"/>
                  <w:u w:val="single" w:color="auto"/>
                  <w:color w:val="0000EE"/>
                  <w:w w:val="92"/>
                </w:rPr>
                <w:t>4.</w:t>
              </w:r>
            </w:hyperlink>
          </w:p>
        </w:tc>
        <w:tc>
          <w:tcPr>
            <w:tcW w:w="728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Fair Value of Financial Instruments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1">
              <w:r>
                <w:rPr>
                  <w:rFonts w:ascii="Arial" w:cs="Arial" w:eastAsia="Arial" w:hAnsi="Arial"/>
                  <w:sz w:val="18"/>
                  <w:szCs w:val="18"/>
                  <w:u w:val="single" w:color="auto"/>
                  <w:color w:val="0000EE"/>
                  <w:w w:val="92"/>
                </w:rPr>
                <w:t>5.</w:t>
              </w:r>
            </w:hyperlink>
          </w:p>
        </w:tc>
        <w:tc>
          <w:tcPr>
            <w:tcW w:w="7280" w:type="dxa"/>
            <w:vAlign w:val="bottom"/>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Investigations, Claims and Litigation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3">
              <w:r>
                <w:rPr>
                  <w:rFonts w:ascii="Arial" w:cs="Arial" w:eastAsia="Arial" w:hAnsi="Arial"/>
                  <w:sz w:val="18"/>
                  <w:szCs w:val="18"/>
                  <w:u w:val="single" w:color="auto"/>
                  <w:color w:val="0000EE"/>
                  <w:w w:val="92"/>
                </w:rPr>
                <w:t>6.</w:t>
              </w:r>
            </w:hyperlink>
          </w:p>
        </w:tc>
        <w:tc>
          <w:tcPr>
            <w:tcW w:w="728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Commitments and Contingencies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4">
              <w:r>
                <w:rPr>
                  <w:rFonts w:ascii="Arial" w:cs="Arial" w:eastAsia="Arial" w:hAnsi="Arial"/>
                  <w:sz w:val="18"/>
                  <w:szCs w:val="18"/>
                  <w:u w:val="single" w:color="auto"/>
                  <w:color w:val="0000EE"/>
                  <w:w w:val="92"/>
                </w:rPr>
                <w:t>7.</w:t>
              </w:r>
            </w:hyperlink>
          </w:p>
        </w:tc>
        <w:tc>
          <w:tcPr>
            <w:tcW w:w="728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Retirement Benefits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5">
              <w:r>
                <w:rPr>
                  <w:rFonts w:ascii="Arial" w:cs="Arial" w:eastAsia="Arial" w:hAnsi="Arial"/>
                  <w:sz w:val="18"/>
                  <w:szCs w:val="18"/>
                  <w:u w:val="single" w:color="auto"/>
                  <w:color w:val="0000EE"/>
                  <w:w w:val="92"/>
                </w:rPr>
                <w:t>8.</w:t>
              </w:r>
            </w:hyperlink>
          </w:p>
        </w:tc>
        <w:tc>
          <w:tcPr>
            <w:tcW w:w="7280" w:type="dxa"/>
            <w:vAlign w:val="bottom"/>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Stock Compensation Plans and Other Compensation Arrangements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6">
              <w:r>
                <w:rPr>
                  <w:rFonts w:ascii="Arial" w:cs="Arial" w:eastAsia="Arial" w:hAnsi="Arial"/>
                  <w:sz w:val="18"/>
                  <w:szCs w:val="18"/>
                  <w:u w:val="single" w:color="auto"/>
                  <w:color w:val="0000EE"/>
                  <w:w w:val="92"/>
                </w:rPr>
                <w:t>9.</w:t>
              </w:r>
            </w:hyperlink>
          </w:p>
        </w:tc>
        <w:tc>
          <w:tcPr>
            <w:tcW w:w="7280" w:type="dxa"/>
            <w:vAlign w:val="bottom"/>
          </w:tcPr>
          <w:p>
            <w:pPr>
              <w:ind w:left="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Segment Information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14</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Report of Independent Registered Public Accounting Firm</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18</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Overview</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19</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Consolidated Operating Results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Segment Operating Results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21</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Product and Service Analysis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Backlog</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Liquidity and Capital Resources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Critical Accounting Policies, Estimates and Judgments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Accounting Standards Updates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Forward-Looking Statements and Projections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Contractual Obligations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594"/>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80" w:type="dxa"/>
            <w:vAlign w:val="bottom"/>
          </w:tcPr>
          <w:p>
            <w:pPr>
              <w:ind w:left="220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 – OTHER INFORMATION</w:t>
              </w:r>
            </w:hyperlink>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Unregistered Sales of Equity Securities and Use of Proceeds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80" w:type="dxa"/>
            <w:vAlign w:val="bottom"/>
          </w:tcPr>
          <w:p>
            <w:pPr>
              <w:ind w:left="2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7280" w:type="dxa"/>
            <w:vAlign w:val="bottom"/>
          </w:tcPr>
          <w:p>
            <w:pPr>
              <w:spacing w:after="0"/>
              <w:rPr>
                <w:sz w:val="23"/>
                <w:szCs w:val="23"/>
                <w:color w:val="auto"/>
              </w:rPr>
            </w:pPr>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tc>
      </w:tr>
      <w:tr>
        <w:trPr>
          <w:trHeight w:val="270"/>
        </w:trPr>
        <w:tc>
          <w:tcPr>
            <w:tcW w:w="880" w:type="dxa"/>
            <w:vAlign w:val="bottom"/>
          </w:tcPr>
          <w:p>
            <w:pPr>
              <w:spacing w:after="0"/>
              <w:rPr>
                <w:sz w:val="23"/>
                <w:szCs w:val="23"/>
                <w:color w:val="auto"/>
              </w:rPr>
            </w:pPr>
          </w:p>
        </w:tc>
        <w:tc>
          <w:tcPr>
            <w:tcW w:w="1080" w:type="dxa"/>
            <w:vAlign w:val="bottom"/>
          </w:tcPr>
          <w:p>
            <w:pPr>
              <w:ind w:left="240"/>
              <w:spacing w:after="0"/>
              <w:rPr>
                <w:rFonts w:ascii="Arial" w:cs="Arial" w:eastAsia="Arial" w:hAnsi="Arial"/>
                <w:sz w:val="18"/>
                <w:szCs w:val="18"/>
                <w:u w:val="single" w:color="auto"/>
                <w:color w:val="0000EE"/>
                <w:w w:val="95"/>
              </w:rPr>
            </w:pPr>
            <w:hyperlink w:anchor="page38">
              <w:r>
                <w:rPr>
                  <w:rFonts w:ascii="Arial" w:cs="Arial" w:eastAsia="Arial" w:hAnsi="Arial"/>
                  <w:sz w:val="18"/>
                  <w:szCs w:val="18"/>
                  <w:u w:val="single" w:color="auto"/>
                  <w:color w:val="0000EE"/>
                  <w:w w:val="95"/>
                </w:rPr>
                <w:t>Signatures</w:t>
              </w:r>
            </w:hyperlink>
          </w:p>
        </w:tc>
        <w:tc>
          <w:tcPr>
            <w:tcW w:w="7280" w:type="dxa"/>
            <w:vAlign w:val="bottom"/>
          </w:tcPr>
          <w:p>
            <w:pPr>
              <w:spacing w:after="0"/>
              <w:rPr>
                <w:sz w:val="23"/>
                <w:szCs w:val="23"/>
                <w:color w:val="auto"/>
              </w:rPr>
            </w:pPr>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36</w:t>
              </w:r>
            </w:hyperlink>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7"/>
        </w:trPr>
        <w:tc>
          <w:tcPr>
            <w:tcW w:w="59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7380" w:type="dxa"/>
            <w:vAlign w:val="bottom"/>
            <w:gridSpan w:val="3"/>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59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0"/>
        </w:trPr>
        <w:tc>
          <w:tcPr>
            <w:tcW w:w="8780" w:type="dxa"/>
            <w:vAlign w:val="bottom"/>
            <w:gridSpan w:val="5"/>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13"/>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3"/>
          </w:tcPr>
          <w:p>
            <w:pPr>
              <w:jc w:val="right"/>
              <w:ind w:right="310"/>
              <w:spacing w:after="0"/>
              <w:rPr>
                <w:sz w:val="20"/>
                <w:szCs w:val="20"/>
                <w:color w:val="auto"/>
              </w:rPr>
            </w:pPr>
            <w:r>
              <w:rPr>
                <w:rFonts w:ascii="Arial" w:cs="Arial" w:eastAsia="Arial" w:hAnsi="Arial"/>
                <w:sz w:val="18"/>
                <w:szCs w:val="18"/>
                <w:color w:val="auto"/>
                <w:w w:val="91"/>
              </w:rPr>
              <w:t>Three Months Ended June 30</w:t>
            </w:r>
          </w:p>
        </w:tc>
        <w:tc>
          <w:tcPr>
            <w:tcW w:w="320" w:type="dxa"/>
            <w:vAlign w:val="bottom"/>
          </w:tcPr>
          <w:p>
            <w:pPr>
              <w:spacing w:after="0"/>
              <w:rPr>
                <w:sz w:val="24"/>
                <w:szCs w:val="24"/>
                <w:color w:val="auto"/>
              </w:rPr>
            </w:pPr>
          </w:p>
        </w:tc>
        <w:tc>
          <w:tcPr>
            <w:tcW w:w="2140" w:type="dxa"/>
            <w:vAlign w:val="bottom"/>
            <w:gridSpan w:val="3"/>
          </w:tcPr>
          <w:p>
            <w:pPr>
              <w:jc w:val="right"/>
              <w:ind w:right="7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Pr>
          <w:p>
            <w:pPr>
              <w:spacing w:after="0"/>
              <w:rPr>
                <w:sz w:val="20"/>
                <w:szCs w:val="20"/>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5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6,482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5,880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12,658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11,608</w:t>
            </w: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2,402</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2,576</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4,846</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8,884</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8,456</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17,504</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16,645</w:t>
            </w:r>
          </w:p>
        </w:tc>
      </w:tr>
      <w:tr>
        <w:trPr>
          <w:trHeight w:val="27"/>
        </w:trPr>
        <w:tc>
          <w:tcPr>
            <w:tcW w:w="5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5,127</w:t>
            </w: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4,661</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10,079</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9,178</w:t>
            </w: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1,931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2,065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3,877</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832</w:t>
            </w: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784</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1,620</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27"/>
        </w:trPr>
        <w:tc>
          <w:tcPr>
            <w:tcW w:w="5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994</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946</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1,928</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(154)</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FAS (non-service) pension benefit</w:t>
            </w:r>
          </w:p>
        </w:tc>
        <w:tc>
          <w:tcPr>
            <w:tcW w:w="200" w:type="dxa"/>
            <w:vAlign w:val="bottom"/>
          </w:tcPr>
          <w:p>
            <w:pPr>
              <w:spacing w:after="0"/>
              <w:rPr>
                <w:sz w:val="21"/>
                <w:szCs w:val="21"/>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303</w:t>
            </w: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60</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1,203</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1,028</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2,256</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2,062</w:t>
            </w: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198</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383</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1,005</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861</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1,873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1,724</w:t>
            </w:r>
          </w:p>
        </w:tc>
      </w:tr>
      <w:tr>
        <w:trPr>
          <w:trHeight w:val="34"/>
        </w:trPr>
        <w:tc>
          <w:tcPr>
            <w:tcW w:w="5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5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6.02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5.07</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11.20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10.15</w:t>
            </w: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166.9</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169.7</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167.3</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6.01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5.06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11.16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10.11</w:t>
            </w: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2"/>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167.3</w:t>
            </w:r>
          </w:p>
        </w:tc>
        <w:tc>
          <w:tcPr>
            <w:tcW w:w="4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170.3</w:t>
            </w:r>
          </w:p>
        </w:tc>
        <w:tc>
          <w:tcPr>
            <w:tcW w:w="3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167.9</w:t>
            </w: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70"/>
        </w:trPr>
        <w:tc>
          <w:tcPr>
            <w:tcW w:w="59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above)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1,005</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1,873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Change in unamortized prior service credit,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Change in cumulative translation adjustment and other, net</w:t>
            </w:r>
          </w:p>
        </w:tc>
        <w:tc>
          <w:tcPr>
            <w:tcW w:w="200" w:type="dxa"/>
            <w:vAlign w:val="bottom"/>
          </w:tcPr>
          <w:p>
            <w:pPr>
              <w:spacing w:after="0"/>
              <w:rPr>
                <w:sz w:val="21"/>
                <w:szCs w:val="21"/>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1,004</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845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1,853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w:t>
            </w:r>
          </w:p>
        </w:tc>
      </w:tr>
      <w:tr>
        <w:trPr>
          <w:trHeight w:val="34"/>
        </w:trPr>
        <w:tc>
          <w:tcPr>
            <w:tcW w:w="5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4"/>
        </w:trPr>
        <w:tc>
          <w:tcPr>
            <w:tcW w:w="81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par value</w:t>
            </w: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4,178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1,989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5,460</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832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720</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13,179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37"/>
        </w:trPr>
        <w:tc>
          <w:tcPr>
            <w:tcW w:w="81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6"/>
              </w:rPr>
              <w:t>Property, plant and equipment, net of accumulated depreciation of $6,103 for 2020 and $5,850 for 2019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7,063</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1,528</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18,707</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909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346</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1,743</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7"/>
        </w:trPr>
        <w:tc>
          <w:tcPr>
            <w:tcW w:w="8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43,475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34"/>
        </w:trPr>
        <w:tc>
          <w:tcPr>
            <w:tcW w:w="8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8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1,614</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billings in excess of costs incurred</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2,179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3,928</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9,727</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37"/>
        </w:trPr>
        <w:tc>
          <w:tcPr>
            <w:tcW w:w="81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$1,803 for 2020 and $1,109 for 2019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14,259</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12,770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6,582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1,333</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1,862</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37"/>
        </w:trPr>
        <w:tc>
          <w:tcPr>
            <w:tcW w:w="8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33,763</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32,270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6)</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Preferred stock, $1 par value; 10,000,000 shares authorized; no shares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w w:val="90"/>
              </w:rPr>
              <w:t>Common stock, $1 par value; 800,000,000 shares authorized; issued and outstanding: 2020—166,708,207 and</w:t>
            </w:r>
          </w:p>
        </w:tc>
        <w:tc>
          <w:tcPr>
            <w:tcW w:w="280" w:type="dxa"/>
            <w:vAlign w:val="bottom"/>
          </w:tcPr>
          <w:p>
            <w:pPr>
              <w:spacing w:after="0"/>
              <w:rPr>
                <w:sz w:val="19"/>
                <w:szCs w:val="19"/>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167</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2019—167,848,424</w:t>
            </w:r>
          </w:p>
        </w:tc>
        <w:tc>
          <w:tcPr>
            <w:tcW w:w="2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9,652</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6"/>
        </w:trPr>
        <w:tc>
          <w:tcPr>
            <w:tcW w:w="81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9,712</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43,475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230"/>
        </w:trPr>
        <w:tc>
          <w:tcPr>
            <w:tcW w:w="81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2"/>
              </w:rPr>
              <w:t>The accompanying notes are an integral part of these unaudited condensed consolidated financial statements.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80" w:type="dxa"/>
            <w:vAlign w:val="bottom"/>
          </w:tcPr>
          <w:p>
            <w:pPr>
              <w:ind w:left="55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8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1,873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1,724</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169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(663)</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Inventoried costs, net</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(374)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Retiree benefits</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(473)</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1,344</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r>
      <w:tr>
        <w:trPr>
          <w:trHeight w:val="27"/>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8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(541)</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(539)</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90"/>
        </w:trPr>
        <w:tc>
          <w:tcPr>
            <w:tcW w:w="89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Net proceeds from issuance of long-term debt</w:t>
            </w: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2,239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to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Net borrowings on commercial paper</w:t>
            </w:r>
          </w:p>
        </w:tc>
        <w:tc>
          <w:tcPr>
            <w:tcW w:w="1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repurchases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(469)</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employee taxes withheld from share-based awards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1,128</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1,933</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2,245</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4,178</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w:t>
            </w:r>
          </w:p>
        </w:tc>
      </w:tr>
      <w:tr>
        <w:trPr>
          <w:trHeight w:val="34"/>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352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240" w:type="dxa"/>
            <w:vAlign w:val="bottom"/>
          </w:tcPr>
          <w:p>
            <w:pPr>
              <w:spacing w:after="0"/>
              <w:rPr>
                <w:sz w:val="20"/>
                <w:szCs w:val="20"/>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167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4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167</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167</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9,011</w:t>
            </w:r>
          </w:p>
        </w:tc>
        <w:tc>
          <w:tcPr>
            <w:tcW w:w="3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8,628</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8,748</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8,068</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(479)</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1,005</w:t>
            </w:r>
          </w:p>
        </w:tc>
        <w:tc>
          <w:tcPr>
            <w:tcW w:w="3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1,873</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1,724</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declared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Stock compensation</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9</w:t>
            </w:r>
          </w:p>
        </w:tc>
        <w:tc>
          <w:tcPr>
            <w:tcW w:w="3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9,652</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9,120</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9,652</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9,120</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(97)</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64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9,712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9,712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9,214</w:t>
            </w:r>
          </w:p>
        </w:tc>
      </w:tr>
      <w:tr>
        <w:trPr>
          <w:trHeight w:val="243"/>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dividends declared per share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1.45</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2.77</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w:t>
            </w:r>
          </w:p>
        </w:tc>
      </w:tr>
      <w:tr>
        <w:trPr>
          <w:trHeight w:val="34"/>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Beginning in the second quarter of 2020, the company no longer considers certain unallowable costs and environmental matters that are principally managed at the corporate office as part of management’s evaluation of segment operating performance. As a result, certain unallowable compensation and other costs, which were previously included in segment operating results, are now reported in Unallocated corporate expense within operating income. In addition, certain accrued and deferred costs, as well as unallowable costs, if any, associated with certain environmental matters that were previously reflected in segment assets and operating results are now reflected in corporate assets and Unallocated corporate expense within operating income. The impact of these changes are reflected in the amounts in this Form 10-Q. See Note 9 and Part II, Item 5 for further information regarding the impact of these changes on the company’s current and prior period segment operating income.</w:t>
      </w:r>
    </w:p>
    <w:p>
      <w:pPr>
        <w:spacing w:after="0" w:line="4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results reported in these financial statements are not necessarily indicative of results that may be expected for the entire year. These financial statements should be read in conjunction with the information contained in the company’s 2019 Annual Report on Form 10-K, the Form 8-K that we filed with the SEC on April 29, 2020, which recasts the disclosures in certain portions of the 2019 Annual Report on Form 10-K to reflect changes in the company’s reportable segments, and the Quarterly Report on Form 10-Q for the quarter ended March 31, 2020.</w:t>
      </w:r>
    </w:p>
    <w:p>
      <w:pPr>
        <w:spacing w:after="0" w:line="3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majority of our sales are derived from long-term contracts with the U.S. government for the production of goods, the provision of services, or a combination of both. We recognize revenue as control is transferred to the customer, either over time or at a point in time. As control is effectively transferred while we perform on our contracts, we generally recognize revenue over time using the cost-to-cost method (cost incurred relative to total cost estimated at completion) as the company believes this represents the most appropriate measurement towards satisfaction of our performance obligations. Revenue for contracts in which the control of goods produced does not transfer until delivery to the customer is recognized at a point in time (i.e., typically upon delivery).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Use of the cost-to-cost method requires us to make reasonably dependable estimates regarding the revenue and cost associated with the design, manufacture and delivery of our products and services. The company estimates profit 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these contracts as the difference between total estimated sales and total estimated cost at completion and recognizes that profit as costs are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used to estimate total sales and cost at completion.</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Three Months Ended June 30</w:t>
            </w:r>
          </w:p>
        </w:tc>
        <w:tc>
          <w:tcPr>
            <w:tcW w:w="260" w:type="dxa"/>
            <w:vAlign w:val="bottom"/>
          </w:tcPr>
          <w:p>
            <w:pPr>
              <w:spacing w:after="0"/>
              <w:rPr>
                <w:sz w:val="20"/>
                <w:szCs w:val="20"/>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236</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70"/>
        </w:trPr>
        <w:tc>
          <w:tcPr>
            <w:tcW w:w="64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0.53</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0.73</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bl>
    <w:p>
      <w:pPr>
        <w:spacing w:after="0" w:line="1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Based on a 21 percent statutory tax rate.</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three months ended June 30, 2020 and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 backlog as of June 30, 2020 was $70.0 billion. We expect to recognize approximately 40 percent and 65 percent of our June 30, 2020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six months ended June 30, 2020 that was included in the December 31, 2019 contract liability balance was $442 million and $1.2 billion, respectively. The amount of revenue recognized for the three and six months ended June 30, 2019 that was included in the December 31, 2018 contract liability balance was $333 million and $1.0 billion,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7"/>
        </w:trPr>
        <w:tc>
          <w:tcPr>
            <w:tcW w:w="69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8"/>
        </w:trPr>
        <w:tc>
          <w:tcPr>
            <w:tcW w:w="69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1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69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w w:val="99"/>
              </w:rPr>
              <w:t>December 31,</w:t>
            </w:r>
          </w:p>
        </w:tc>
      </w:tr>
      <w:tr>
        <w:trPr>
          <w:trHeight w:val="234"/>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9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7"/>
        </w:trPr>
        <w:tc>
          <w:tcPr>
            <w:tcW w:w="6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credit, net of tax expense of $10 for 2020 and $17 for 2019</w:t>
            </w:r>
          </w:p>
        </w:tc>
        <w:tc>
          <w:tcPr>
            <w:tcW w:w="19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Cumulative translation adjustment and other, net</w:t>
            </w:r>
          </w:p>
        </w:tc>
        <w:tc>
          <w:tcPr>
            <w:tcW w:w="1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9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94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Accounting standards updates adopted and/or issued, but not effective until after June 30, 2020, are not expected to have a material effect on the company’s unaudited condensed consolidated financial position, annual results of operations and/or cash flows.</w:t>
      </w:r>
    </w:p>
    <w:p>
      <w:pPr>
        <w:spacing w:after="0" w:line="1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SHARE REPURCHASES AND DIVIDENDS ON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calculate basic earnings per share by dividing net earnings by the weighted-average number of shares of common stock outstanding during each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Diluted earnings per share include the dilutive effect of awards granted to employees under stock-based compensation plans. The dilutive effect of these securities totaled 0.4 million shares and 0.6 million shares for the three and six months ended June 30, 2020, respectively. The dilutive effect of these securities totaled 0.6 million shares for the three and six months ended June 30, 2019.</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On September 16, 2015, the company’s board of directors authorized a share repurchase program of up to $4.0 billion of the company’s common stock (the “2015 Repurchase Program”). Repurchases under the 2015 Repurchase Program commenced in March 2016 and were completed in March 2020.</w:t>
      </w:r>
    </w:p>
    <w:p>
      <w:pPr>
        <w:spacing w:after="0" w:line="3" w:lineRule="exact"/>
        <w:rPr>
          <w:sz w:val="20"/>
          <w:szCs w:val="20"/>
          <w:color w:val="auto"/>
        </w:rPr>
      </w:pPr>
    </w:p>
    <w:p>
      <w:pPr>
        <w:ind w:left="60" w:right="20"/>
        <w:spacing w:after="0" w:line="257" w:lineRule="auto"/>
        <w:rPr>
          <w:sz w:val="20"/>
          <w:szCs w:val="20"/>
          <w:color w:val="auto"/>
        </w:rPr>
      </w:pPr>
      <w:r>
        <w:rPr>
          <w:rFonts w:ascii="Arial" w:cs="Arial" w:eastAsia="Arial" w:hAnsi="Arial"/>
          <w:sz w:val="18"/>
          <w:szCs w:val="18"/>
          <w:color w:val="auto"/>
        </w:rPr>
        <w:t>On December 4, 2018, the company’s board of directors authorized a new share repurchase program of up to an additional $3.0 billion in share repurchases of the company’s common stock (the “2018 Repurchase Program”). Repurchases under the 2018 Repurchase Program commenced in March 2020 upon the completion of the company’s 2015 Repurchase Program. As of June 30, 2020, repurchases under the 2018 Repurchase Program totaled $0.2 billion; $2.8 billion remained under this share repurchase authorization. By its terms, the 2018 Repurchase Program is set to expire when all authorized funds for repurchases have been used.</w:t>
      </w:r>
    </w:p>
    <w:p>
      <w:pPr>
        <w:spacing w:after="0" w:line="5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Amount</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
                <w:szCs w:val="2"/>
                <w:color w:val="auto"/>
              </w:rPr>
            </w:pPr>
          </w:p>
        </w:tc>
        <w:tc>
          <w:tcPr>
            <w:tcW w:w="1320" w:type="dxa"/>
            <w:vAlign w:val="bottom"/>
            <w:vMerge w:val="restart"/>
          </w:tcPr>
          <w:p>
            <w:pPr>
              <w:jc w:val="center"/>
              <w:ind w:right="270"/>
              <w:spacing w:after="0"/>
              <w:rPr>
                <w:sz w:val="20"/>
                <w:szCs w:val="20"/>
                <w:color w:val="auto"/>
              </w:rPr>
            </w:pPr>
            <w:r>
              <w:rPr>
                <w:rFonts w:ascii="Arial" w:cs="Arial" w:eastAsia="Arial" w:hAnsi="Arial"/>
                <w:sz w:val="18"/>
                <w:szCs w:val="18"/>
                <w:color w:val="auto"/>
                <w:w w:val="89"/>
              </w:rPr>
              <w:t>Average</w:t>
            </w:r>
          </w:p>
        </w:tc>
        <w:tc>
          <w:tcPr>
            <w:tcW w:w="1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95"/>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7"/>
              </w:rPr>
              <w:t>Repurchase Program</w:t>
            </w:r>
          </w:p>
        </w:tc>
        <w:tc>
          <w:tcPr>
            <w:tcW w:w="380" w:type="dxa"/>
            <w:vAlign w:val="bottom"/>
          </w:tcPr>
          <w:p>
            <w:pPr>
              <w:spacing w:after="0"/>
              <w:rPr>
                <w:sz w:val="8"/>
                <w:szCs w:val="8"/>
                <w:color w:val="auto"/>
              </w:rPr>
            </w:pPr>
          </w:p>
        </w:tc>
        <w:tc>
          <w:tcPr>
            <w:tcW w:w="13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Authorized</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86"/>
              </w:rPr>
              <w:t>Shares Retired</w:t>
            </w:r>
          </w:p>
        </w:tc>
        <w:tc>
          <w:tcPr>
            <w:tcW w:w="280" w:type="dxa"/>
            <w:vAlign w:val="bottom"/>
          </w:tcPr>
          <w:p>
            <w:pPr>
              <w:spacing w:after="0"/>
              <w:rPr>
                <w:sz w:val="8"/>
                <w:szCs w:val="8"/>
                <w:color w:val="auto"/>
              </w:rPr>
            </w:pPr>
          </w:p>
        </w:tc>
        <w:tc>
          <w:tcPr>
            <w:tcW w:w="1320" w:type="dxa"/>
            <w:vAlign w:val="bottom"/>
            <w:vMerge w:val="restart"/>
          </w:tcPr>
          <w:p>
            <w:pPr>
              <w:jc w:val="center"/>
              <w:ind w:right="230"/>
              <w:spacing w:after="0"/>
              <w:rPr>
                <w:sz w:val="20"/>
                <w:szCs w:val="20"/>
                <w:color w:val="auto"/>
              </w:rPr>
            </w:pPr>
            <w:r>
              <w:rPr>
                <w:rFonts w:ascii="Arial" w:cs="Arial" w:eastAsia="Arial" w:hAnsi="Arial"/>
                <w:sz w:val="18"/>
                <w:szCs w:val="18"/>
                <w:color w:val="auto"/>
                <w:w w:val="87"/>
              </w:rPr>
              <w:t>Price</w:t>
            </w:r>
          </w:p>
        </w:tc>
        <w:tc>
          <w:tcPr>
            <w:tcW w:w="1860" w:type="dxa"/>
            <w:vAlign w:val="bottom"/>
          </w:tcPr>
          <w:p>
            <w:pPr>
              <w:spacing w:after="0"/>
              <w:rPr>
                <w:sz w:val="8"/>
                <w:szCs w:val="8"/>
                <w:color w:val="auto"/>
              </w:rPr>
            </w:pPr>
          </w:p>
        </w:tc>
        <w:tc>
          <w:tcPr>
            <w:tcW w:w="2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6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12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Authorization Date</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30"/>
              <w:spacing w:after="0" w:line="257"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Date Completed</w:t>
            </w:r>
          </w:p>
        </w:tc>
        <w:tc>
          <w:tcPr>
            <w:tcW w:w="128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43"/>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4,000</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260.33</w:t>
            </w:r>
          </w:p>
        </w:tc>
        <w:tc>
          <w:tcPr>
            <w:tcW w:w="18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March 2020</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0.9</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December 4, 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3,000</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326.20</w:t>
            </w:r>
          </w:p>
        </w:tc>
        <w:tc>
          <w:tcPr>
            <w:tcW w:w="18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0.5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May 2020, the company increased the quarterly common stock dividend 10 percent to $1.45 per share from the previous amount of $1.32 per share.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 increased the quarterly common stock dividend 10 percent to $1.32 per share from the previous amount of $1.20 per share.</w:t>
      </w:r>
    </w:p>
    <w:p>
      <w:pPr>
        <w:spacing w:after="0" w:line="10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right"/>
              <w:ind w:right="130"/>
              <w:spacing w:after="0"/>
              <w:rPr>
                <w:sz w:val="20"/>
                <w:szCs w:val="20"/>
                <w:color w:val="auto"/>
              </w:rPr>
            </w:pPr>
            <w:r>
              <w:rPr>
                <w:rFonts w:ascii="Arial" w:cs="Arial" w:eastAsia="Arial" w:hAnsi="Arial"/>
                <w:sz w:val="18"/>
                <w:szCs w:val="18"/>
                <w:color w:val="auto"/>
                <w:w w:val="90"/>
              </w:rPr>
              <w:t>Three Months Ended June 30</w:t>
            </w:r>
          </w:p>
        </w:tc>
        <w:tc>
          <w:tcPr>
            <w:tcW w:w="260" w:type="dxa"/>
            <w:vAlign w:val="bottom"/>
          </w:tcPr>
          <w:p>
            <w:pPr>
              <w:spacing w:after="0"/>
              <w:rPr>
                <w:sz w:val="20"/>
                <w:szCs w:val="20"/>
                <w:color w:val="auto"/>
              </w:rPr>
            </w:pPr>
          </w:p>
        </w:tc>
        <w:tc>
          <w:tcPr>
            <w:tcW w:w="2300" w:type="dxa"/>
            <w:vAlign w:val="bottom"/>
            <w:gridSpan w:val="3"/>
          </w:tcPr>
          <w:p>
            <w:pPr>
              <w:jc w:val="right"/>
              <w:ind w:right="170"/>
              <w:spacing w:after="0"/>
              <w:rPr>
                <w:sz w:val="20"/>
                <w:szCs w:val="20"/>
                <w:color w:val="auto"/>
              </w:rPr>
            </w:pPr>
            <w:r>
              <w:rPr>
                <w:rFonts w:ascii="Arial" w:cs="Arial" w:eastAsia="Arial" w:hAnsi="Arial"/>
                <w:sz w:val="18"/>
                <w:szCs w:val="18"/>
                <w:color w:val="auto"/>
                <w:w w:val="93"/>
              </w:rPr>
              <w:t>Six Months Ended June 30</w:t>
            </w:r>
          </w:p>
        </w:tc>
      </w:tr>
      <w:tr>
        <w:trPr>
          <w:trHeight w:val="27"/>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2019</w:t>
            </w:r>
          </w:p>
        </w:tc>
      </w:tr>
      <w:tr>
        <w:trPr>
          <w:trHeight w:val="27"/>
        </w:trPr>
        <w:tc>
          <w:tcPr>
            <w:tcW w:w="6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383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338</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17.0%</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6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second quarter 2020 effective tax rate of 16.5 percent was generally comparable to the prior year period. The company’s second quarter 2020 effective tax rate includes $48 million of research credits, as compared to $51 million in the prior year 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year to date 2020 effective tax rate increased to 17.0 percent from 16.4 percent in the prior period primarily due to an increase in reserves for uncertain tax positions. The company’s year to date 2020 effective tax rate includes $90 million of research credits, as compared to $82 million in the prior year period. Both periods benefited from $13 million of excess tax benefits for employee share-based compensation.</w:t>
      </w:r>
    </w:p>
    <w:p>
      <w:pPr>
        <w:spacing w:after="0" w:line="3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March 2020, the CARES Act was enacted. The CARES Act includes certain changes to U.S. tax law that impact the company, including a technical correction to the 2017 Tax Cuts and Jobs Act, which makes certain qualified improvement property eligible for bonus depreciation. The CARES Act did not have a significant impact on the company’s second quarter and year to date 2020 effective tax rate.</w:t>
      </w:r>
    </w:p>
    <w:p>
      <w:pPr>
        <w:spacing w:after="0" w:line="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recorded unrecognized tax benefits related to our methods of accounting associated with the timing of revenue recognition and related costs, and the 2017 Tax Act. It is reasonably possible that within the next 12 months our unrecognized tax benefits related to these matters may decrease by up to $70 million. Since enactment of the 2017 Tax Act, the Internal Revenue Service (IRS) and U.S. Treasury Department have issued and are expected to further issue interpretive guidance that impacts taxpayers. We will continue to evaluate such guidance as it is issued.</w:t>
      </w:r>
    </w:p>
    <w:p>
      <w:pPr>
        <w:spacing w:after="0" w:line="3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The Northrop Grumman 2014-2017 federal tax returns and refund claims related to its 2007-2016 federal tax returns are currently under IRS examination. In addition, legacy Orbital ATK federal tax returns for the year ended March 31, 2015, the nine-month transition period ended December 31, 2015 and calendar years 2016-2017 are currently under appeal with the IRS.</w:t>
      </w:r>
    </w:p>
    <w:p>
      <w:pPr>
        <w:spacing w:after="0" w:line="12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June 30, 2020</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December 31, 2019</w:t>
            </w:r>
          </w:p>
        </w:tc>
        <w:tc>
          <w:tcPr>
            <w:tcW w:w="80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Level 1</w:t>
            </w:r>
          </w:p>
        </w:tc>
        <w:tc>
          <w:tcPr>
            <w:tcW w:w="2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Level 2</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9"/>
              </w:rPr>
              <w:t>Level 1</w:t>
            </w:r>
          </w:p>
        </w:tc>
        <w:tc>
          <w:tcPr>
            <w:tcW w:w="3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99"/>
              </w:rPr>
              <w:t>Level 2</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331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332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valued using NAV</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348</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notional value of the company’s foreign currency forward contracts at June 30, 2020 and December 31, 2019 was $71 million and $98 million, respectively. At June 30, 2020, no portion of the notional value was designated as a cash flow hedge. The portion of the notional value designated as a cash flow hedge at December 31, 2019 was $7 million.</w:t>
      </w:r>
    </w:p>
    <w:p>
      <w:pPr>
        <w:spacing w:after="0" w:line="4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derivative fair values and related unrealized gains/losses at June 30, 2020 and December 31, 2019 were not material. There were no transfers of financial instruments between the three levels of the fair value hierarchy during the six months ended June 30, 2020.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estimated fair value of long-term debt was $19.0 billion and $15.1 billion as of June 30, 2020 and December 31, 2019, respectively. We calculated the fair value of long-term debt using Level 2 inputs, based on interest rates available for debt with terms and maturities similar to the company’s existing debt arrangements. The carrying value of long-term debt was $16.1 billion and $13.9 billion as of June 30, 2020 and December 31, 2019, respectively. The current portion of long-term debt is recorded in Other current liabilities in the unaudited condensed consolidated statements of financial position.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Senior Notes</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March 2020, the company issued $2.25 billion of unsecured senior notes for general corporate purposes, including debt repayment and working capital, as follows:</w:t>
      </w:r>
    </w:p>
    <w:p>
      <w:pPr>
        <w:spacing w:after="0" w:line="5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 million of 4.40% senior notes due 2030 (the “2030 Notes”),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 million of 5.15% senior notes due 2040 (the “2040 Notes”)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billion of 5.25% senior notes due 2050 (the “2050 Notes”).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refer to the 2030 Notes, the 2040 Notes and the 2050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12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INVESTIGATIONS, CLAIMS AND LITIGATION</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February 16, 2018, both the company and the United States filed motions to dismiss many of the claims and counterclaims referenced above,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On February 3, 2020, the parties commenced what was expected to be a seven-week trial. The first four weeks of trial concluded, but the court postponed the remaining estimated three weeks as a result of COVID-19-related concerns. Trial is currently scheduled to resume in October 2020. Although the ultimate outcome of these matters (“the FSS matters,” collectively), including any possible loss, cannot be predicted or reasonably estimated at this time, the company intends vigorously to pursue and defend the FSS matters.</w:t>
      </w:r>
    </w:p>
    <w:p>
      <w:pPr>
        <w:spacing w:after="0" w:line="5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ECT alleges the consortium breached its contract with ECT and seeks damages of approximately R$111 million (the equivalent of approximately $20 million as of June 30, 2020), plus interest, inflation adjustments and attorneys’ fees, as authorized by Brazilian law, which amounts could be significant over time. The original suit sought R$89 million (the equivalent of approximately $16 million as of June 30, 2020) in damages. In October 2013, ECT asserted an additional damage claim of R$22 million (the equivalent of approximately $4 million as of June 30, 2020). In its counterclaim, Solystic alleges ECT breached the contract by wrongfully refusing to accept the equipment Solystic had designed and built and seeks damages of approximately €31 million (the equivalent of approximately $35 million as of June 30, 2020),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In a decision dated November 13, 2018, the trial court ruled in ECT’s favor on one of its claims against Solystic, and awarded damages of R$41 million (the equivalent of approximately $8 million as of June 30, 2020) against Solystic and its consortium partners, with that amount to be adjusted for inflation and interest from November 2004 through any appeal, in accordance with the Manual of Calculations of the Federal Justice, as well as attorneys’ fees. On March 22, 2019, ECT appealed the trial court’s decision to the intermediate court of appeals. Solystic filed its appeal on April 11, 2019. The parties have executed a settlement agreement in this matter and have filed it with the court for approval.</w:t>
      </w:r>
    </w:p>
    <w:p>
      <w:pPr>
        <w:spacing w:after="0" w:line="5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6, substantial remediation costs related to these environmental conditions. The remediation standards or requirements to which we are subject are being reconsidered and are changing and costs may increase materially. As discussed in Note 6, the State of New York issued a Feasibility Study and an Amended Record of Decision, seeking to impose additional remedial requirements. The company is engaged in discussions with the State of New York and certain other potentially responsible parties. The State of New York has said that, among other things, it is also evaluating potential natural resource damages. In addition, we are a party to various, and expect to become a party to additional, legal proceedings and disputes related to remediation, costs, allowability and/or alleged environmental impacts in Bethpage, including with federal and state entities (including the Navy, Defense Contract Management Agency, the state, local municipalities and water districts) and insurance carriers, as well as class action and individual plaintiffs alleging personal injury and property</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1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2020, or its annual results of operations and/or cash flows.</w:t>
      </w:r>
    </w:p>
    <w:p>
      <w:pPr>
        <w:spacing w:after="0" w:line="11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June 30, 2020, or its annual results of operations and/or cash flows.</w:t>
      </w:r>
    </w:p>
    <w:p>
      <w:pPr>
        <w:spacing w:after="0" w:line="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Recently, the U.S. government has raised questions about an interest rate assumption used by the company to determine our CAS pension expense in previous years and in our current forward pricing rate proposal. On June 1, 2020, the government provided written notice that the assumptions the company used during the period 2013-2019 were potentially noncompliant with CAS. We are engaging with the government to address their questions, and are preparing our formal response, which we believe demonstrates the appropriateness of the assumptions used. However,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June 30, 2020 and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88"/>
              </w:rPr>
              <w:t>Reasonably Possible Future</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ind w:right="110"/>
              <w:spacing w:after="0"/>
              <w:rPr>
                <w:sz w:val="20"/>
                <w:szCs w:val="20"/>
                <w:color w:val="auto"/>
              </w:rPr>
            </w:pPr>
            <w:r>
              <w:rPr>
                <w:rFonts w:ascii="Arial" w:cs="Arial" w:eastAsia="Arial" w:hAnsi="Arial"/>
                <w:sz w:val="18"/>
                <w:szCs w:val="18"/>
                <w:color w:val="auto"/>
                <w:w w:val="90"/>
              </w:rPr>
              <w:t>Costs in Excess of Accrued</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580" w:type="dxa"/>
            <w:vAlign w:val="bottom"/>
            <w:tcBorders>
              <w:bottom w:val="single" w:sz="8" w:color="auto"/>
            </w:tcBorders>
            <w:gridSpan w:val="2"/>
          </w:tcPr>
          <w:p>
            <w:pPr>
              <w:jc w:val="right"/>
              <w:ind w:right="10"/>
              <w:spacing w:after="0" w:line="257" w:lineRule="exact"/>
              <w:rPr>
                <w:sz w:val="20"/>
                <w:szCs w:val="20"/>
                <w:color w:val="auto"/>
              </w:rPr>
            </w:pPr>
            <w:r>
              <w:rPr>
                <w:rFonts w:ascii="Arial" w:cs="Arial" w:eastAsia="Arial" w:hAnsi="Arial"/>
                <w:sz w:val="18"/>
                <w:szCs w:val="18"/>
                <w:color w:val="auto"/>
              </w:rPr>
              <w:t>Accrued Costs</w:t>
            </w:r>
            <w:r>
              <w:rPr>
                <w:rFonts w:ascii="Arial" w:cs="Arial" w:eastAsia="Arial" w:hAnsi="Arial"/>
                <w:sz w:val="25"/>
                <w:szCs w:val="25"/>
                <w:color w:val="auto"/>
                <w:vertAlign w:val="superscript"/>
              </w:rPr>
              <w:t>(1)(2)</w:t>
            </w:r>
          </w:p>
        </w:tc>
        <w:tc>
          <w:tcPr>
            <w:tcW w:w="2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4"/>
              </w:rPr>
              <w:t>Costs</w:t>
            </w:r>
            <w:r>
              <w:rPr>
                <w:rFonts w:ascii="Arial" w:cs="Arial" w:eastAsia="Arial" w:hAnsi="Arial"/>
                <w:sz w:val="25"/>
                <w:szCs w:val="25"/>
                <w:color w:val="auto"/>
                <w:w w:val="84"/>
                <w:vertAlign w:val="superscript"/>
              </w:rPr>
              <w:t>(2)</w:t>
            </w:r>
          </w:p>
        </w:tc>
        <w:tc>
          <w:tcPr>
            <w:tcW w:w="1560" w:type="dxa"/>
            <w:vAlign w:val="bottom"/>
            <w:tcBorders>
              <w:bottom w:val="single" w:sz="8" w:color="auto"/>
            </w:tcBorders>
            <w:gridSpan w:val="2"/>
          </w:tcPr>
          <w:p>
            <w:pPr>
              <w:jc w:val="right"/>
              <w:ind w:right="30"/>
              <w:spacing w:after="0" w:line="257" w:lineRule="exact"/>
              <w:rPr>
                <w:sz w:val="20"/>
                <w:szCs w:val="20"/>
                <w:color w:val="auto"/>
              </w:rPr>
            </w:pPr>
            <w:r>
              <w:rPr>
                <w:rFonts w:ascii="Arial" w:cs="Arial" w:eastAsia="Arial" w:hAnsi="Arial"/>
                <w:sz w:val="18"/>
                <w:szCs w:val="18"/>
                <w:color w:val="auto"/>
              </w:rPr>
              <w:t>Deferred Costs</w:t>
            </w:r>
            <w:r>
              <w:rPr>
                <w:rFonts w:ascii="Arial" w:cs="Arial" w:eastAsia="Arial" w:hAnsi="Arial"/>
                <w:sz w:val="25"/>
                <w:szCs w:val="25"/>
                <w:color w:val="auto"/>
                <w:vertAlign w:val="superscript"/>
              </w:rPr>
              <w:t>(3)</w:t>
            </w: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2020</w:t>
            </w:r>
          </w:p>
        </w:tc>
        <w:tc>
          <w:tcPr>
            <w:tcW w:w="2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452</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26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
        </w:trPr>
        <w:tc>
          <w:tcPr>
            <w:tcW w:w="35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As of June 30, 2020, $173 million is recorded in Other current liabilities and $397 million is recorded in Other non-current liabilities.</w:t>
      </w:r>
    </w:p>
    <w:p>
      <w:pPr>
        <w:spacing w:after="0" w:line="74" w:lineRule="exact"/>
        <w:rPr>
          <w:rFonts w:ascii="Arial" w:cs="Arial" w:eastAsia="Arial" w:hAnsi="Arial"/>
          <w:sz w:val="18"/>
          <w:szCs w:val="18"/>
          <w:color w:val="auto"/>
          <w:vertAlign w:val="superscript"/>
        </w:rPr>
      </w:pPr>
    </w:p>
    <w:p>
      <w:pPr>
        <w:ind w:left="180" w:right="240" w:hanging="172"/>
        <w:spacing w:after="0" w:line="236" w:lineRule="auto"/>
        <w:tabs>
          <w:tab w:leader="none" w:pos="171"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63" w:lineRule="exact"/>
        <w:rPr>
          <w:rFonts w:ascii="Arial" w:cs="Arial" w:eastAsia="Arial" w:hAnsi="Arial"/>
          <w:sz w:val="19"/>
          <w:szCs w:val="19"/>
          <w:color w:val="auto"/>
          <w:vertAlign w:val="superscript"/>
        </w:rPr>
      </w:pPr>
    </w:p>
    <w:p>
      <w:pPr>
        <w:ind w:left="180" w:right="280" w:hanging="172"/>
        <w:spacing w:after="0" w:line="246" w:lineRule="auto"/>
        <w:tabs>
          <w:tab w:leader="none" w:pos="171"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As of June 30, 2020, $144 million is deferred in Prepaid expenses and other current assets and $334 million is deferred in Other non-current assets. These amounts are evaluated for recoverability on a routine basis.</w:t>
      </w:r>
    </w:p>
    <w:p>
      <w:pPr>
        <w:spacing w:after="0" w:line="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June 30, 2020, or its annual results of operations and/or cash flows. With respect to Bethpage, the State of New York issued a Feasibility Study and an Amended Record of Decision, proposing to impose additional remedial requirements. The company is engaged in discussions with the State of New York and other potentially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responsible parties. As discussed in Note 5, the remediation standards or requirements to which we are subject are being reconsidered and are changing and costs may increase materially.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June 30, 2020, there were $460 million of stand-by letters of credit and guarantees and $79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$2.0 billion. At June 30, 2020, there were no commercial paper borrowings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 borrowing under the 2018 Credit Agreement. At June 30, 2020, there was no balance outstanding under this facility.</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2016, a subsidiary of the company entered into a two-year credit facility, with two additional one-year option periods, in an aggregate principal amount of £120 million (the equivalent of approximately $148 million as of June 30, 2020) (the “2016 Credit Agreement”). The company exercised the second option to extend the maturity to December 2020. The 2016 Credit Agreement is guaranteed by the company. At June 30, 2020, there was £50 million (the equivalent of approximately $62 million) outstanding under this facility, which bears interest at a rate of LIBOR plus 1.10 percent. All of the borrowings outstanding under this facility are recorded in Other current liabilities in the unaudited condensed consolidated statement of financial position.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the company was in compliance with all covenants under its credit agreements.</w:t>
      </w:r>
    </w:p>
    <w:p>
      <w:pPr>
        <w:spacing w:after="0" w:line="16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pension and other postretirement benefit (OPB) plans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w w:val="92"/>
              </w:rPr>
              <w:t>Six Months Ended June 30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2"/>
        </w:trPr>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right"/>
              <w:ind w:right="530"/>
              <w:spacing w:after="0"/>
              <w:rPr>
                <w:sz w:val="20"/>
                <w:szCs w:val="20"/>
                <w:color w:val="auto"/>
              </w:rPr>
            </w:pPr>
            <w:r>
              <w:rPr>
                <w:rFonts w:ascii="Arial" w:cs="Arial" w:eastAsia="Arial" w:hAnsi="Arial"/>
                <w:sz w:val="18"/>
                <w:szCs w:val="18"/>
                <w:color w:val="auto"/>
              </w:rPr>
              <w:t>Pension</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51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OPB</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OPB</w:t>
            </w:r>
          </w:p>
        </w:tc>
        <w:tc>
          <w:tcPr>
            <w:tcW w:w="7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94"/>
              </w:rPr>
              <w:t>2019</w:t>
            </w:r>
          </w:p>
        </w:tc>
        <w:tc>
          <w:tcPr>
            <w:tcW w:w="24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2019</w:t>
            </w:r>
          </w:p>
        </w:tc>
        <w:tc>
          <w:tcPr>
            <w:tcW w:w="2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2019</w:t>
            </w: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2019</w:t>
            </w:r>
          </w:p>
        </w:tc>
      </w:tr>
      <w:tr>
        <w:trPr>
          <w:trHeight w:val="27"/>
        </w:trPr>
        <w:tc>
          <w:tcPr>
            <w:tcW w:w="3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8"/>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1"/>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306</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613</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680</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(594)</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(1,188)</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(1,051)</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 (benefit)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34"/>
        </w:trPr>
        <w:tc>
          <w:tcPr>
            <w:tcW w:w="3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made by the company to its retirement plans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Three Months Ended June 30</w:t>
            </w:r>
          </w:p>
        </w:tc>
        <w:tc>
          <w:tcPr>
            <w:tcW w:w="260" w:type="dxa"/>
            <w:vAlign w:val="bottom"/>
          </w:tcPr>
          <w:p>
            <w:pPr>
              <w:spacing w:after="0"/>
              <w:rPr>
                <w:sz w:val="20"/>
                <w:szCs w:val="20"/>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38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3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2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OPB plans</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8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plans</w:t>
            </w:r>
          </w:p>
        </w:tc>
        <w:tc>
          <w:tcPr>
            <w:tcW w:w="2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356</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804"/>
        </w:trPr>
        <w:tc>
          <w:tcPr>
            <w:tcW w:w="384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AND OTHER COMPENSATION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8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RSRs granted</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RPSRs granted</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aggregate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0"/>
        </w:trPr>
        <w:tc>
          <w:tcPr>
            <w:tcW w:w="8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financial metrics over a three-year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8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175</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8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financial metrics over a three-year period.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w:t>
      </w:r>
    </w:p>
    <w:p>
      <w:pPr>
        <w:spacing w:after="0" w:line="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discussed in Note 1, beginning in the second quarter of 2020, the company no longer considers certain unallowable costs as part of management’s evaluation of segment operating performance. As a result, certain unallowable costs, which were previously included in segment operating results, are now reported in Unallocated corporate expense within operating income. This change has been applied retrospectively in the amounts below. See Part II, Item 5 for further information regarding the impact of this change on the company’s current and prior period segment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240" w:type="dxa"/>
            <w:vAlign w:val="bottom"/>
          </w:tcPr>
          <w:p>
            <w:pPr>
              <w:spacing w:after="0"/>
              <w:rPr>
                <w:sz w:val="20"/>
                <w:szCs w:val="20"/>
                <w:color w:val="auto"/>
              </w:rPr>
            </w:pPr>
          </w:p>
        </w:tc>
        <w:tc>
          <w:tcPr>
            <w:tcW w:w="21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Aeronautics Systems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2,925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2,721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5,768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5,539</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Defense Systems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1,886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3,767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Mission Systems</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2,446</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2,404</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4,793</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4,614</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Space Systems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2,048</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3,996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Intersegment eliminations</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(421)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(820)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8,884</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8,456</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17,504</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16,645</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Aeronautics Systems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310</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Defense Systems</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217</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415</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Mission Systems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347</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700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Space Systems</w:t>
            </w:r>
          </w:p>
        </w:tc>
        <w:tc>
          <w:tcPr>
            <w:tcW w:w="1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209</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411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1,031</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993</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1,998</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1,971</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FAS (service)/CAS pension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103</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Unallocated corporate expense</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(140)</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(278)</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994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1,928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w:t>
            </w:r>
          </w:p>
        </w:tc>
      </w:tr>
      <w:tr>
        <w:trPr>
          <w:trHeight w:val="27"/>
        </w:trPr>
        <w:tc>
          <w:tcPr>
            <w:tcW w:w="6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net FAS (service)/CAS pension adjustment reflects the difference between CAS pension expense included as cost in segment operating income and the service cost component of FAS expense included in total operating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7"/>
        </w:trPr>
        <w:tc>
          <w:tcPr>
            <w:tcW w:w="35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Disaggregation of 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240" w:type="dxa"/>
            <w:vAlign w:val="bottom"/>
          </w:tcPr>
          <w:p>
            <w:pPr>
              <w:spacing w:after="0"/>
              <w:rPr>
                <w:sz w:val="24"/>
                <w:szCs w:val="24"/>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 June 30</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4"/>
          </w:tcPr>
          <w:p>
            <w:pPr>
              <w:jc w:val="right"/>
              <w:ind w:right="150"/>
              <w:spacing w:after="0"/>
              <w:rPr>
                <w:sz w:val="20"/>
                <w:szCs w:val="20"/>
                <w:color w:val="auto"/>
              </w:rPr>
            </w:pPr>
            <w:r>
              <w:rPr>
                <w:rFonts w:ascii="Arial" w:cs="Arial" w:eastAsia="Arial" w:hAnsi="Arial"/>
                <w:sz w:val="18"/>
                <w:szCs w:val="18"/>
                <w:color w:val="auto"/>
              </w:rPr>
              <w:t>Six Months Ended June 30</w:t>
            </w:r>
          </w:p>
        </w:tc>
        <w:tc>
          <w:tcPr>
            <w:tcW w:w="68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color w:val="auto"/>
                <w:w w:val="98"/>
                <w:vertAlign w:val="subscript"/>
              </w:rPr>
              <w:t>%</w:t>
            </w:r>
            <w:r>
              <w:rPr>
                <w:rFonts w:ascii="Arial" w:cs="Arial" w:eastAsia="Arial" w:hAnsi="Arial"/>
                <w:sz w:val="12"/>
                <w:szCs w:val="12"/>
                <w:color w:val="auto"/>
                <w:w w:val="98"/>
              </w:rPr>
              <w:t>(3)</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51"/>
              <w:spacing w:after="0" w:line="264" w:lineRule="exact"/>
              <w:rPr>
                <w:sz w:val="20"/>
                <w:szCs w:val="20"/>
                <w:color w:val="auto"/>
              </w:rPr>
            </w:pPr>
            <w:r>
              <w:rPr>
                <w:rFonts w:ascii="Arial" w:cs="Arial" w:eastAsia="Arial" w:hAnsi="Arial"/>
                <w:sz w:val="30"/>
                <w:szCs w:val="30"/>
                <w:color w:val="auto"/>
                <w:w w:val="98"/>
                <w:vertAlign w:val="subscript"/>
              </w:rPr>
              <w:t>%</w:t>
            </w:r>
            <w:r>
              <w:rPr>
                <w:rFonts w:ascii="Arial" w:cs="Arial" w:eastAsia="Arial" w:hAnsi="Arial"/>
                <w:sz w:val="12"/>
                <w:szCs w:val="12"/>
                <w:color w:val="auto"/>
                <w:w w:val="98"/>
              </w:rPr>
              <w:t>(3)</w:t>
            </w: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2,477</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2,238</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4,838</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4,572</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407</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851</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12</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45</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29</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Aeronautics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2,925</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5,768</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5,539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1,305</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69%</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1,281</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2,564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68%</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2,422</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316</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656</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85</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196</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203</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180</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351</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6"/>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1,886</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1,916</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3,767</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3,684</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1,776</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73%</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1,746</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3,447</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72%</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3,359</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468</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951</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18</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35</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53</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184</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360</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6"/>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2,446</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2,404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4,793</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4,614</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1,911</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93%</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1,679</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3,714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93%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3,348</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70</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138</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39</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56</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90</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125</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28</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2,048</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1,788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3,996</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3,589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7,469</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84%</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6,944</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14,563</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13,701</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1,261</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2,596</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154</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211</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345</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426</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8,884</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8,456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17,504</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16,645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480" w:hanging="172"/>
        <w:spacing w:after="0" w:line="229"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220" w:hanging="172"/>
        <w:spacing w:after="0" w:line="229" w:lineRule="auto"/>
        <w:tabs>
          <w:tab w:leader="none" w:pos="184"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2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150"/>
              <w:spacing w:after="0"/>
              <w:rPr>
                <w:sz w:val="20"/>
                <w:szCs w:val="20"/>
                <w:color w:val="auto"/>
              </w:rPr>
            </w:pPr>
            <w:r>
              <w:rPr>
                <w:rFonts w:ascii="Arial" w:cs="Arial" w:eastAsia="Arial" w:hAnsi="Arial"/>
                <w:sz w:val="18"/>
                <w:szCs w:val="18"/>
                <w:color w:val="auto"/>
              </w:rPr>
              <w:t>Six Months Ended June 30</w:t>
            </w:r>
          </w:p>
        </w:tc>
        <w:tc>
          <w:tcPr>
            <w:tcW w:w="6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93"/>
              <w:spacing w:after="0" w:line="276"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2"/>
                <w:szCs w:val="12"/>
                <w:color w:val="auto"/>
                <w:w w:val="95"/>
              </w:rPr>
              <w:t>(1)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3"/>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1,426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1,312</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2,769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2,624</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1,470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1,385</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2,944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2,867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29</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55</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1"/>
                <w:szCs w:val="2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Aeronautics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2,925</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2,721</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5,768</w:t>
            </w: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5,539</w:t>
            </w: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582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632</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1,210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1,255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1,124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1,120</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2,206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2,098</w:t>
            </w: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180</w:t>
            </w: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351</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331</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1,886</w:t>
            </w: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1,916</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3,767</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3,684</w:t>
            </w: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895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870</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1,741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1,705</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1,367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1,370</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2,692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2,548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184</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164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360</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361</w:t>
            </w:r>
          </w:p>
        </w:tc>
        <w:tc>
          <w:tcPr>
            <w:tcW w:w="680" w:type="dxa"/>
            <w:vAlign w:val="bottom"/>
          </w:tcPr>
          <w:p>
            <w:pPr>
              <w:spacing w:after="0"/>
              <w:rPr>
                <w:sz w:val="21"/>
                <w:szCs w:val="2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2,446</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2,404</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4,793</w:t>
            </w: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4,614</w:t>
            </w: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1,298</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2,866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2,604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552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469</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1,076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944</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28</w:t>
            </w: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2,048</w:t>
            </w: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1,788</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3,996</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3,589</w:t>
            </w: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4,371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4,112</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8,586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8,188</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4,513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4,344</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8,918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8,457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8,884</w:t>
            </w: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8,456</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17,504</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16,645</w:t>
            </w:r>
          </w:p>
        </w:tc>
        <w:tc>
          <w:tcPr>
            <w:tcW w:w="680" w:type="dxa"/>
            <w:vAlign w:val="bottom"/>
            <w:tcBorders>
              <w:top w:val="single" w:sz="8" w:color="auto"/>
            </w:tcBorders>
          </w:tcPr>
          <w:p>
            <w:pPr>
              <w:spacing w:after="0"/>
              <w:rPr>
                <w:sz w:val="20"/>
                <w:szCs w:val="20"/>
                <w:color w:val="auto"/>
              </w:rPr>
            </w:pPr>
          </w:p>
        </w:tc>
      </w:tr>
      <w:tr>
        <w:trPr>
          <w:trHeight w:val="34"/>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2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 June 30</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150"/>
              <w:spacing w:after="0"/>
              <w:rPr>
                <w:sz w:val="20"/>
                <w:szCs w:val="20"/>
                <w:color w:val="auto"/>
              </w:rPr>
            </w:pPr>
            <w:r>
              <w:rPr>
                <w:rFonts w:ascii="Arial" w:cs="Arial" w:eastAsia="Arial" w:hAnsi="Arial"/>
                <w:sz w:val="18"/>
                <w:szCs w:val="18"/>
                <w:color w:val="auto"/>
              </w:rPr>
              <w:t>Six Months Ended June 30</w:t>
            </w:r>
          </w:p>
        </w:tc>
        <w:tc>
          <w:tcPr>
            <w:tcW w:w="6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92"/>
              <w:spacing w:after="0" w:line="276"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2"/>
                <w:szCs w:val="12"/>
                <w:color w:val="auto"/>
                <w:w w:val="95"/>
              </w:rPr>
              <w:t>(2)</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2,489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2,258</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4,862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4,617</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215</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409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448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224</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442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426</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29</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Aeronautics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2,925</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2,721</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5,768</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5,539</w:t>
            </w: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1,390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1,387</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2,760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2,625</w:t>
            </w: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107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125</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189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240</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467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515</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180</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351</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331</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1,886</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1,916</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3,767</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3,684</w:t>
            </w: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1,794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1,775</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3,482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3,412</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142</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277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323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584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564</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184</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360</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361</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2,446</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2,404</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4,793</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4,614</w:t>
            </w: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1,950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1,735</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3,804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3,473</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65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128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61</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28</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2,048</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1,788</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3,996</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3,589</w:t>
            </w:r>
          </w:p>
        </w:tc>
        <w:tc>
          <w:tcPr>
            <w:tcW w:w="68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7,623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7,155</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14,908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14,127</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505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484</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975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952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54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756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817</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1,621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1,566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8,884</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8,456</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17,504</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16,645</w:t>
            </w:r>
          </w:p>
        </w:tc>
        <w:tc>
          <w:tcPr>
            <w:tcW w:w="680" w:type="dxa"/>
            <w:vAlign w:val="bottom"/>
            <w:tcBorders>
              <w:bottom w:val="single" w:sz="8" w:color="CCEEFF"/>
            </w:tcBorders>
            <w:shd w:val="clear" w:color="auto" w:fill="CCEEFF"/>
          </w:tcPr>
          <w:p>
            <w:pPr>
              <w:spacing w:after="0"/>
              <w:rPr>
                <w:sz w:val="21"/>
                <w:szCs w:val="21"/>
                <w:color w:val="auto"/>
              </w:rPr>
            </w:pPr>
          </w:p>
        </w:tc>
      </w:tr>
      <w:tr>
        <w:trPr>
          <w:trHeight w:val="27"/>
        </w:trPr>
        <w:tc>
          <w:tcPr>
            <w:tcW w:w="3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All other is principally comprised of Europe and the Middle East.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reviewed the accompanying condensed consolidated statement of financial position of Northrop Grumman Corporation and subsidiaries (the “Company”) as of June 30, 2020, and the related condensed consolidated statements of earnings and comprehensive income and changes in shareholders’ equity for the three-month and six-month periods ended June 30, 2020 and 2019, and of cash flows for the six-month periods ended June 30, 2020 and 2019,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We have previously audited, in accordance with the standards of the Public Company Accounting Oversight Board (United States) (PCAOB), the consolidated statement of financial position of Northrop Grumman Corporation and subsidiaries as of December 31, 2019, and the related consolidated statements of earnings and comprehensive income, changes in shareholders’ equity, and cash flows for the year then ended (not presented herein); and in our report dated January 29, 2020, we expressed an unqualified opinion on those consolidated financial statements, which included an explanatory paragraph regarding the Company’s change in its method of accounting for leases in 2019 due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In our opinion, the information set forth in the accompanying condensed consolidated statement of financial position as of December 31, 2019, is fairly stated, in all material respects, in relation to the audited consolidated statement of financial position from which it has been derived.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337" w:right="3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79" w:lineRule="exact"/>
        <w:rPr>
          <w:sz w:val="20"/>
          <w:szCs w:val="20"/>
          <w:color w:val="auto"/>
        </w:rPr>
      </w:pPr>
    </w:p>
    <w:p>
      <w:pPr>
        <w:ind w:right="366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hypersonics;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discussion should be read along with the financial statements included in this Form 10-Q, as well as our 2019 Annual Report on Form 10-K, the Form 8-K that we filed with the SEC on April 29, 2020, which recasts the disclosures in certain portions of the 2019 Annual Report on Form 10-K to reflect changes in the company’s reportable segments, and the Quarterly Report on Form 10-Q for the quarter ended March 31, 2020. These documents provide additional information on our business and the environment in which we operate and our operating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Coronavirus disease 2019 (“COVID-19”) was first reported in late 2019 and has since dramatically impacted the global health and economic environment, including millions of confirmed cases, business slowdowns or shutdowns, government challenges and market volatility. In March 2020, the World Health Organization characterized COVID-19 as a global pandemic, and the President declared a national emergency concerning the COVID-19 outbreak. The company’s leadership, our crisis management and business resumption teams, and local site leadership continue closely to monitor and address the developments, including the impact on our company, our employees, our customers, our suppliers and our communities. The company has considered and continues to consider guidance from the Centers for Disease Control (CDC), other health organizations, governments and our customers, among others. We have taken, and continue to take, robust actions to help protect the health, safety and well-being of our employees, to support our suppliers and local communities, and to continue to serve our customers. Our goals have been to lessen the immediate potential adverse impacts, both health and economic, and to continue to position the company for long-term success. Like the communities in which we serve, our actions have varied depending on the spread of COVID-19 and local health requirements, the needs of our employees and the needs of our business. Among other actions, we have required or enabled employees to work from home or remotely where practicable, and expanded IT and communication support to enhance their productivity; adjusted work spaces and shift schedules to facilitate social distancing for those who continue to work in our facilities; enhanced cleaning and disinfecting procedures at our facilities; required face coverings and worked to procure and distribute personal protective equipment (“PPE”); implemented health checks and visitor protocols; restricted travel; provided additional benefits including paid time off for those most at risk; and contributed financial and manufacturing resources to supporting critical national requirements, such as for PPE. Along with the Northrop Grumman Foundation, we have provided grants for global, national and local organizations that support frontline healthcare workers, address food insecurity, advance efforts for vaccines, increase student access to technology and provide support to vulnerable populations; donated PPE items to emergency response teams and healthcare professionals, including N95 masks and Tyvek suits; and established a COVID-19 relief matching gift program for employees.</w:t>
      </w:r>
    </w:p>
    <w:p>
      <w:pPr>
        <w:spacing w:after="0" w:line="3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Earlier in the COVID-19 pandemic, many state and local jurisdictions implemented mandatory stay-at-home or shelter-in-place orders. Most of those orders exempted some or all of the defense industrial base, including Northrop Grumman and many of our suppliers, as part of the essential or critical infrastructure. Our facilities have largely remained open and many of our employees who cannot work remotely are continuing to come to work and support our customers’ national security and mission-essential operations. More recently, state and local jurisdictions started to lift mandatory stay-at-home or shelter-in-place orders and started gradually to ease restrictions. We started to implement return to office plans to allow some employees who had been working remotely slowly to return to the workplace. At our facilities, we generally saw employee absenteeism decrease and productivity increase during the second quarter. Most recently, as cases have resurged in parts of our country, including areas in which we maintain large facilities, we have seen governments slow or reverse efforts to reopen or shift into later phases of recovery, with increased risks to our operations. Throughout, we have worked to adapt and to take robust actions to protect the health, safety and well-being of our employees and to serve our customers, considering, among other things, state and local requirements and guidance from the CDC. We have also taken various steps in efforts to support our</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18"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suppliers, with a particular focus on critical small and midsized business partners, including passing through increased progress payments from DoD to our suppliers and accelerating payments to certain suppliers.</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Even though we have been able to continue many of our operations, we have experienced and expect to continue to experience certain increased costs to maintain our operations and address reductions in productivity, including as a result of actions to protect health; because of illness, quarantines, and absenteeism; as a result of government actions; and because of disruption and stress among our suppliers and customers. We continue to monitor this situation closely and cannot predict how it will change, including the extent of any increase in the number of COVID-19 cases and the costs and impacts to us. Our customers have generally continued to make timely payments, and we are working with them to consider the possibility of additional cost recoveries. Again, however, our customers are facing tremendous demands and we cannot predict how this may change and how they will continue to allocate resources.</w:t>
      </w:r>
    </w:p>
    <w:p>
      <w:pPr>
        <w:spacing w:after="0" w:line="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COVID-19-related impacts reduced the company’s second quarter 2020 revenue and operating income, in particular at Aeronautics and Mission Systems; however, those impacts were less significant than we initially expected. Based on what we understand today, we do not currently expect COVID-19-related impacts to materially reduce our revenue or operating income during the second half of the year. However, our employees, suppliers and customers, the company and our global community are facing tremendous challenges and we cannot predict how this dynamic situation will evolve or the impact it will have on the company. For further information on the potential impact to the company of COVID-19, see the section entitled “Risk Factors” in our Quarterly Report on Form 10-Q for the quarter ended March 31,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Since the filing of our 2019 Annual Report on Form 10-K, the President released his budget request for fiscal year 2021 (FY21) on February 10, 2020. The FY21 budget request includes $746 billion for national security, which will be the subject of debate in Congress. The FY21 budget request addresses various capabilities highlighted in the U.S. National Security Strategy, the National Defense Strategy and the Missile Defense Review. We believe our capabilities, particularly in space, missiles, missile defense, hypersonics, counter-hypersonics, survivable aircraft and mission systems will continue to allow for long-term profitable growth in our business in support of our customers’ needs. Congress has enacted emergency COVID-19 relief bills addressing certain impacts of the pandemic and is continuing to consider other responses to the COVID-19 crisis.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right"/>
              <w:ind w:right="10"/>
              <w:spacing w:after="0"/>
              <w:rPr>
                <w:sz w:val="20"/>
                <w:szCs w:val="20"/>
                <w:color w:val="auto"/>
              </w:rPr>
            </w:pPr>
            <w:r>
              <w:rPr>
                <w:rFonts w:ascii="Arial" w:cs="Arial" w:eastAsia="Arial" w:hAnsi="Arial"/>
                <w:sz w:val="18"/>
                <w:szCs w:val="18"/>
                <w:color w:val="auto"/>
                <w:w w:val="88"/>
              </w:rPr>
              <w:t>Three Months Ended June 30</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Six Months Ended June 30</w:t>
            </w: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27"/>
        </w:trPr>
        <w:tc>
          <w:tcPr>
            <w:tcW w:w="4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8,884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8,456</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17,504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16,645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7,890</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7,510</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15,576</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14,763</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88.8%</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88.8%</w:t>
            </w:r>
          </w:p>
        </w:tc>
        <w:tc>
          <w:tcPr>
            <w:tcW w:w="1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89.0%</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88.7%</w:t>
            </w:r>
          </w:p>
        </w:tc>
        <w:tc>
          <w:tcPr>
            <w:tcW w:w="1180" w:type="dxa"/>
            <w:vAlign w:val="bottom"/>
            <w:tcBorders>
              <w:bottom w:val="single" w:sz="8" w:color="CCEEFF"/>
            </w:tcBorders>
            <w:shd w:val="clear" w:color="auto" w:fill="CCEEFF"/>
          </w:tcPr>
          <w:p>
            <w:pPr>
              <w:spacing w:after="0"/>
              <w:rPr>
                <w:sz w:val="23"/>
                <w:szCs w:val="23"/>
                <w:color w:val="auto"/>
              </w:rPr>
            </w:pP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994</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946</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1,928</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1,882</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11.2%</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w:t>
            </w:r>
          </w:p>
        </w:tc>
        <w:tc>
          <w:tcPr>
            <w:tcW w:w="1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11.0%</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11.3%</w:t>
            </w:r>
          </w:p>
        </w:tc>
        <w:tc>
          <w:tcPr>
            <w:tcW w:w="1180" w:type="dxa"/>
            <w:vAlign w:val="bottom"/>
            <w:tcBorders>
              <w:bottom w:val="single" w:sz="8" w:color="CCEEFF"/>
            </w:tcBorders>
            <w:shd w:val="clear" w:color="auto" w:fill="CCEEFF"/>
          </w:tcPr>
          <w:p>
            <w:pPr>
              <w:spacing w:after="0"/>
              <w:rPr>
                <w:sz w:val="23"/>
                <w:szCs w:val="23"/>
                <w:color w:val="auto"/>
              </w:rPr>
            </w:pP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198</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167</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383</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16.5%</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16.2%</w:t>
            </w:r>
          </w:p>
        </w:tc>
        <w:tc>
          <w:tcPr>
            <w:tcW w:w="1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17.0%</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16.4%</w:t>
            </w:r>
          </w:p>
        </w:tc>
        <w:tc>
          <w:tcPr>
            <w:tcW w:w="1180" w:type="dxa"/>
            <w:vAlign w:val="bottom"/>
            <w:tcBorders>
              <w:bottom w:val="single" w:sz="8" w:color="CCEEFF"/>
            </w:tcBorders>
            <w:shd w:val="clear" w:color="auto" w:fill="CCEEFF"/>
          </w:tcPr>
          <w:p>
            <w:pPr>
              <w:spacing w:after="0"/>
              <w:rPr>
                <w:sz w:val="23"/>
                <w:szCs w:val="23"/>
                <w:color w:val="auto"/>
              </w:rPr>
            </w:pP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1,005</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861</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1,873</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1,724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r>
      <w:tr>
        <w:trPr>
          <w:trHeight w:val="27"/>
        </w:trPr>
        <w:tc>
          <w:tcPr>
            <w:tcW w:w="4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5.06</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11.16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7"/>
        </w:trPr>
        <w:tc>
          <w:tcPr>
            <w:tcW w:w="4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2020 sales increased $428 million or 5 percent, primarily due to higher sales at Space Systems and Aeronautics Systems.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sales increased $859 million, or 5 percent, due to higher sales at all four sectors.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jc w:val="both"/>
        <w:ind w:right="100"/>
        <w:spacing w:after="0" w:line="331"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Second quarter 2020 operating income increased $48 million, or 5 percent, primarily due to an increase in segment operating income and lower unallocated corporate expense. Second quarter 2020 operating margin rate of 11.2 percent was comparable to the prior year period.</w:t>
      </w:r>
    </w:p>
    <w:p>
      <w:pPr>
        <w:spacing w:after="0" w:line="50" w:lineRule="exact"/>
        <w:rPr>
          <w:sz w:val="20"/>
          <w:szCs w:val="20"/>
          <w:color w:val="auto"/>
        </w:rPr>
      </w:pPr>
    </w:p>
    <w:p>
      <w:pPr>
        <w:ind w:right="1100"/>
        <w:spacing w:after="0" w:line="305" w:lineRule="auto"/>
        <w:rPr>
          <w:sz w:val="20"/>
          <w:szCs w:val="20"/>
          <w:color w:val="auto"/>
        </w:rPr>
      </w:pPr>
      <w:r>
        <w:rPr>
          <w:rFonts w:ascii="Arial" w:cs="Arial" w:eastAsia="Arial" w:hAnsi="Arial"/>
          <w:sz w:val="18"/>
          <w:szCs w:val="18"/>
          <w:color w:val="auto"/>
        </w:rPr>
        <w:t xml:space="preserve">Second quarter 2020 general and administrative (G&amp;A) costs as a percentage of sales of 9.4 percent was comparable to the prior year period. </w:t>
      </w:r>
      <w:r>
        <w:rPr>
          <w:rFonts w:ascii="Arial" w:cs="Arial" w:eastAsia="Arial" w:hAnsi="Arial"/>
          <w:sz w:val="18"/>
          <w:szCs w:val="18"/>
          <w:i w:val="1"/>
          <w:iCs w:val="1"/>
          <w:color w:val="auto"/>
        </w:rPr>
        <w:t>Year to Date</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Year to date 2020 operating income increased $46 million, or 2 percent, primarily due to an increase in segment operating income and lower unallocated corporate expense. Year to date 2020 operating margin rate declined to 11.0 percent reflecting a lower segment operating margin rate, partially offset by a decrease in unallocated corporate expense.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general and administrative (G&amp;A) costs as a percentage of sales of 9.3 percent was comparable to the prior year period.</w:t>
      </w:r>
    </w:p>
    <w:p>
      <w:pPr>
        <w:spacing w:after="0" w:line="9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second quarter 2020 effective tax rate of 16.5 percent was generally comparable to the prior year period. See Note 3 to the financial statements for additional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year to date 2020 effective tax rate increased to 17.0 percent from 16.4 percent in the prior period primarily due to an increase in reserves for uncertain tax positions. See Note 3 to the financial statements for additional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Second quarter 2020 net earnings increased $144 million, or 17 percent, primarily due to a $103 million increase in our FAS (non-service) pension benefit, a $48 million increase in operating income and a $41 million increase in Other, net, largely due to higher returns on marketable securities related to our non-qualified benefit plans, partially offset by a $31 million increase in tax expense.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 to date 2020 net earnings increased $149 million, or 9 percent, primarily due to a $205 million increase in our FAS (non-service) pension benefit and a $46 million increase in operating income, partially offset by a $53 million decrease in Other, net, largely due to lower returns on marketable securities related to our non-qualified benefit plans, and a $45 million increase in tax expense.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Second quarter 2020 diluted earnings per share increased 19 percent, reflecting a 17 percent increase in net earnings and a 2 percent reduction in weighted-average diluted shares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Year to date 2020 diluted earnings per share increased 10 percent, reflecting a 9 percent increase in net earnings and a 2 percent reduction in weighted-average diluted shares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 This realignment is reflected in the accompanying financial information.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Beginning in the second quarter of 2020, the company no longer considers certain unallowable costs as part of management’s evaluation of segment operating performance. As a result, certain unallowable costs, which were previously included in segment operating results, are now reported in Unallocated corporate expense within operating income. This change has been applied retrospectively in the accompanying financial information. See Notes 1 and 9 to the financial statements and Part II, Item 5 for further information regarding the impact of this change on the company’s current and prior period segment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Aeronautics Systems</w:t>
            </w:r>
          </w:p>
        </w:tc>
        <w:tc>
          <w:tcPr>
            <w:tcW w:w="290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Defense Systems</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7"/>
              </w:rPr>
              <w:t>Mission Systems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4"/>
              </w:rPr>
              <w:t>Space Systems</w:t>
            </w:r>
          </w:p>
        </w:tc>
      </w:tr>
      <w:tr>
        <w:trPr>
          <w:trHeight w:val="27"/>
        </w:trPr>
        <w:tc>
          <w:tcPr>
            <w:tcW w:w="2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2720" w:type="dxa"/>
            <w:vAlign w:val="bottom"/>
            <w:shd w:val="clear" w:color="auto" w:fill="CCEEFF"/>
          </w:tcPr>
          <w:p>
            <w:pPr>
              <w:spacing w:after="0"/>
              <w:rPr>
                <w:sz w:val="19"/>
                <w:szCs w:val="19"/>
                <w:color w:val="auto"/>
              </w:rPr>
            </w:pPr>
          </w:p>
        </w:tc>
        <w:tc>
          <w:tcPr>
            <w:tcW w:w="29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Battle Management &amp; Missile</w:t>
            </w:r>
          </w:p>
        </w:tc>
        <w:tc>
          <w:tcPr>
            <w:tcW w:w="30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7"/>
        </w:trPr>
        <w:tc>
          <w:tcPr>
            <w:tcW w:w="27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Autonomous Systems</w:t>
            </w:r>
          </w:p>
        </w:tc>
        <w:tc>
          <w:tcPr>
            <w:tcW w:w="29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6"/>
              </w:rPr>
              <w:t>Systems</w:t>
            </w:r>
          </w:p>
        </w:tc>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Airborne Sensors &amp; Networks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Launch &amp; Strategic Missiles</w:t>
            </w:r>
          </w:p>
        </w:tc>
      </w:tr>
      <w:tr>
        <w:trPr>
          <w:trHeight w:val="229"/>
        </w:trPr>
        <w:tc>
          <w:tcPr>
            <w:tcW w:w="2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Cyber &amp; Intelligence Mission</w:t>
            </w:r>
          </w:p>
        </w:tc>
        <w:tc>
          <w:tcPr>
            <w:tcW w:w="2620" w:type="dxa"/>
            <w:vAlign w:val="bottom"/>
          </w:tcPr>
          <w:p>
            <w:pPr>
              <w:spacing w:after="0"/>
              <w:rPr>
                <w:sz w:val="19"/>
                <w:szCs w:val="19"/>
                <w:color w:val="auto"/>
              </w:rPr>
            </w:pPr>
          </w:p>
        </w:tc>
      </w:tr>
      <w:tr>
        <w:trPr>
          <w:trHeight w:val="230"/>
        </w:trPr>
        <w:tc>
          <w:tcPr>
            <w:tcW w:w="2720" w:type="dxa"/>
            <w:vAlign w:val="bottom"/>
          </w:tcPr>
          <w:p>
            <w:pPr>
              <w:jc w:val="center"/>
              <w:ind w:left="30"/>
              <w:spacing w:after="0"/>
              <w:rPr>
                <w:sz w:val="20"/>
                <w:szCs w:val="20"/>
                <w:color w:val="auto"/>
              </w:rPr>
            </w:pPr>
            <w:r>
              <w:rPr>
                <w:rFonts w:ascii="Arial" w:cs="Arial" w:eastAsia="Arial" w:hAnsi="Arial"/>
                <w:sz w:val="18"/>
                <w:szCs w:val="18"/>
                <w:color w:val="auto"/>
                <w:w w:val="94"/>
              </w:rPr>
              <w:t>Manned Aircraft</w:t>
            </w:r>
          </w:p>
        </w:tc>
        <w:tc>
          <w:tcPr>
            <w:tcW w:w="2900" w:type="dxa"/>
            <w:vAlign w:val="bottom"/>
          </w:tcPr>
          <w:p>
            <w:pPr>
              <w:jc w:val="center"/>
              <w:ind w:left="170"/>
              <w:spacing w:after="0"/>
              <w:rPr>
                <w:sz w:val="20"/>
                <w:szCs w:val="20"/>
                <w:color w:val="auto"/>
              </w:rPr>
            </w:pPr>
            <w:r>
              <w:rPr>
                <w:rFonts w:ascii="Arial" w:cs="Arial" w:eastAsia="Arial" w:hAnsi="Arial"/>
                <w:sz w:val="18"/>
                <w:szCs w:val="18"/>
                <w:color w:val="auto"/>
                <w:w w:val="90"/>
              </w:rPr>
              <w:t>Mission Readiness</w:t>
            </w: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Solutions</w:t>
            </w:r>
          </w:p>
        </w:tc>
        <w:tc>
          <w:tcPr>
            <w:tcW w:w="2620" w:type="dxa"/>
            <w:vAlign w:val="bottom"/>
          </w:tcPr>
          <w:p>
            <w:pPr>
              <w:jc w:val="center"/>
              <w:spacing w:after="0"/>
              <w:rPr>
                <w:sz w:val="20"/>
                <w:szCs w:val="20"/>
                <w:color w:val="auto"/>
              </w:rPr>
            </w:pPr>
            <w:r>
              <w:rPr>
                <w:rFonts w:ascii="Arial" w:cs="Arial" w:eastAsia="Arial" w:hAnsi="Arial"/>
                <w:sz w:val="18"/>
                <w:szCs w:val="18"/>
                <w:color w:val="auto"/>
                <w:w w:val="86"/>
              </w:rPr>
              <w:t>Space</w:t>
            </w:r>
          </w:p>
        </w:tc>
      </w:tr>
      <w:tr>
        <w:trPr>
          <w:trHeight w:val="27"/>
        </w:trPr>
        <w:tc>
          <w:tcPr>
            <w:tcW w:w="2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20" w:type="dxa"/>
            <w:vAlign w:val="bottom"/>
            <w:tcBorders>
              <w:bottom w:val="single" w:sz="8" w:color="CCEEFF"/>
            </w:tcBorders>
            <w:shd w:val="clear" w:color="auto" w:fill="CCEEFF"/>
          </w:tcPr>
          <w:p>
            <w:pPr>
              <w:spacing w:after="0"/>
              <w:rPr>
                <w:sz w:val="21"/>
                <w:szCs w:val="21"/>
                <w:color w:val="auto"/>
              </w:rPr>
            </w:pPr>
          </w:p>
        </w:tc>
      </w:tr>
      <w:tr>
        <w:trPr>
          <w:trHeight w:val="229"/>
        </w:trPr>
        <w:tc>
          <w:tcPr>
            <w:tcW w:w="2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Navigation, Targeting &amp;</w:t>
            </w:r>
          </w:p>
        </w:tc>
        <w:tc>
          <w:tcPr>
            <w:tcW w:w="262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Survivability</w:t>
            </w:r>
          </w:p>
        </w:tc>
        <w:tc>
          <w:tcPr>
            <w:tcW w:w="2620" w:type="dxa"/>
            <w:vAlign w:val="bottom"/>
          </w:tcPr>
          <w:p>
            <w:pPr>
              <w:spacing w:after="0"/>
              <w:rPr>
                <w:sz w:val="20"/>
                <w:szCs w:val="20"/>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the Federal Acquisition Regulation (FAR) and the related U.S. Government Cost Accounting Standards (CAS), and excluding FAS pension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w w:val="90"/>
              </w:rPr>
              <w:t>Three Months Ended June 30</w:t>
            </w: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color w:val="auto"/>
                <w:w w:val="90"/>
              </w:rPr>
              <w:t>Six Months Ended June 30</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1,031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993</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1,971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11.6%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11.7%</w:t>
            </w: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11.4%</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 pension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205</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3 %</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Less: FAS (service) pension expense</w:t>
            </w: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(102)</w:t>
            </w:r>
          </w:p>
        </w:tc>
        <w:tc>
          <w:tcPr>
            <w:tcW w:w="28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11 %</w:t>
            </w:r>
          </w:p>
        </w:tc>
        <w:tc>
          <w:tcPr>
            <w:tcW w:w="1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(204)</w:t>
            </w: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FAS (service)/CAS pension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103</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208</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Intangible asset amortization and PP&amp;E step-up</w:t>
            </w:r>
          </w:p>
        </w:tc>
        <w:tc>
          <w:tcPr>
            <w:tcW w:w="220" w:type="dxa"/>
            <w:vAlign w:val="bottom"/>
          </w:tcPr>
          <w:p>
            <w:pPr>
              <w:spacing w:after="0"/>
              <w:rPr>
                <w:sz w:val="19"/>
                <w:szCs w:val="19"/>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(77)</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9"/>
                <w:szCs w:val="19"/>
                <w:color w:val="auto"/>
              </w:rPr>
            </w:pPr>
          </w:p>
        </w:tc>
        <w:tc>
          <w:tcPr>
            <w:tcW w:w="9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(159)</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unallocated corporate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(63)</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13 %</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(119)</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7"/>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Unallocated corporate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(140)</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(154)</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(278)</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(304)</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994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946</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1,928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513"/>
        </w:trPr>
        <w:tc>
          <w:tcPr>
            <w:tcW w:w="4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-22-</w:t>
            </w: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Second quarter 2020 segment operating income increased $38 million, or 4 percent, and reflects higher segment operating income at all four sectors. Segment operating margin rate was comparable to the prior year period and reflects lower segment operating margin rates at Space Systems and Aeronautics Systems, partially offset by a higher segment operating margin rate at Defense Systems.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Year to date 2020 segment operating income increased $27 million, or 1 percent, and reflects higher operating income at Mission Systems and Space Systems, partially offset by lower operating income at Aeronautics Systems. Segment operating margin rate decreased to 11.4 percent primarily due to a lower segment operating margin rate at Aeronautics Systems.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second quarter 2020 and year to date 2020 net FAS (service)/CAS pension adjustments were comparable to the prior year period and reflect changes in actuarial assumptions as of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decrease in second quarter 2020 unallocated corporate expense is primarily due to $21 million of lower intangible asset amortization and PP&amp;E step-up depreciation.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decrease in year to date 2020 unallocated corporate expense is primarily due to $35 million of lower intangible asset amortization and PP&amp;E step-up depreciation.</w:t>
      </w:r>
    </w:p>
    <w:p>
      <w:pPr>
        <w:spacing w:after="0" w:line="5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Three Months Ended June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Arial" w:cs="Arial" w:eastAsia="Arial" w:hAnsi="Arial"/>
                <w:sz w:val="18"/>
                <w:szCs w:val="18"/>
                <w:color w:val="auto"/>
                <w:w w:val="89"/>
              </w:rPr>
              <w:t>30</w:t>
            </w:r>
          </w:p>
        </w:tc>
        <w:tc>
          <w:tcPr>
            <w:tcW w:w="840" w:type="dxa"/>
            <w:vAlign w:val="bottom"/>
          </w:tcPr>
          <w:p>
            <w:pPr>
              <w:spacing w:after="0"/>
              <w:rPr>
                <w:sz w:val="20"/>
                <w:szCs w:val="20"/>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w w:val="97"/>
              </w:rPr>
              <w:t>Six Months Ended June 30</w:t>
            </w:r>
          </w:p>
        </w:tc>
      </w:tr>
      <w:tr>
        <w:trPr>
          <w:trHeight w:val="27"/>
        </w:trPr>
        <w:tc>
          <w:tcPr>
            <w:tcW w:w="6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378"/>
        </w:trPr>
        <w:tc>
          <w:tcPr>
            <w:tcW w:w="6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364"/>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Three Months Ended June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Arial" w:cs="Arial" w:eastAsia="Arial" w:hAnsi="Arial"/>
                <w:sz w:val="18"/>
                <w:szCs w:val="18"/>
                <w:color w:val="auto"/>
                <w:w w:val="89"/>
              </w:rPr>
              <w:t>30</w:t>
            </w:r>
          </w:p>
        </w:tc>
        <w:tc>
          <w:tcPr>
            <w:tcW w:w="840" w:type="dxa"/>
            <w:vAlign w:val="bottom"/>
          </w:tcPr>
          <w:p>
            <w:pPr>
              <w:spacing w:after="0"/>
              <w:rPr>
                <w:sz w:val="20"/>
                <w:szCs w:val="20"/>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w w:val="97"/>
              </w:rPr>
              <w:t>Six Months Ended June 30</w:t>
            </w:r>
          </w:p>
        </w:tc>
      </w:tr>
      <w:tr>
        <w:trPr>
          <w:trHeight w:val="27"/>
        </w:trPr>
        <w:tc>
          <w:tcPr>
            <w:tcW w:w="6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3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61</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3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EAC adjustments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236</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r>
      <w:tr>
        <w:trPr>
          <w:trHeight w:val="34"/>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220" w:type="dxa"/>
            <w:vAlign w:val="bottom"/>
            <w:gridSpan w:val="3"/>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10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90"/>
              </w:rPr>
              <w:t>Six Months Ended June 30</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jc w:val="right"/>
              <w:ind w:right="303"/>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b w:val="1"/>
                <w:bCs w:val="1"/>
                <w:color w:val="auto"/>
                <w:w w:val="93"/>
              </w:rPr>
              <w:t>$2,925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2,721</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5,768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5,539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143"/>
              <w:spacing w:after="0"/>
              <w:rPr>
                <w:sz w:val="20"/>
                <w:szCs w:val="20"/>
                <w:color w:val="auto"/>
              </w:rPr>
            </w:pPr>
            <w:r>
              <w:rPr>
                <w:rFonts w:ascii="Arial" w:cs="Arial" w:eastAsia="Arial" w:hAnsi="Arial"/>
                <w:sz w:val="18"/>
                <w:szCs w:val="18"/>
                <w:b w:val="1"/>
                <w:bCs w:val="1"/>
                <w:color w:val="auto"/>
              </w:rPr>
              <w:t>310</w:t>
            </w:r>
          </w:p>
        </w:tc>
        <w:tc>
          <w:tcPr>
            <w:tcW w:w="30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299</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573</w:t>
            </w:r>
          </w:p>
        </w:tc>
        <w:tc>
          <w:tcPr>
            <w:tcW w:w="28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610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b w:val="1"/>
                <w:bCs w:val="1"/>
                <w:i w:val="1"/>
                <w:iCs w:val="1"/>
                <w:color w:val="auto"/>
              </w:rPr>
              <w:t>10.6%</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9.9%</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Second quarter 2020 sales increased $204 million, or 7 percent, due to higher sales in both Manned Aircraft and Autonomous Systems. Higher volume on restricted programs, E-2D and Triton were partially offset by a COVID-19-related slowdown of F-35 production activity.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Year to date 2020 sales increased $229 million, or 4 percent, due to higher sales in both Manned Aircraft and Autonomous Systems. Higher volume on restricted programs and E-2D were partially offset by a COVID-19-related slowdown of F-35 production activity and lower volume on the B-2 Defensive Management System Modernization program as it nears completion.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Second quarter 2020 operating income increased $11 million, or 4 percent, primarily due to higher sales. Operating margin rate decreased to 10.6 percent from 11.0 percent, principally due to lower net favorable EAC adjustments at Autonomous Systems as well as changes in contract mix at Manned Aircraft, partially offset by a $21 million benefit recognized in connection with the resolution of a government accounting matter.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Year to date 2020 operating income decreased $37 million, or 6 percent, principally due to a lower operating margin rate. Operating margin rate decreased to 9.9 percent from 11.0 percent, principally due to lower net favorable EAC adjustments at Autonomous Systems as well as changes in contract mix at Manned Aircraft.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DEFENSE SYSTEMS</w:t>
            </w:r>
          </w:p>
        </w:tc>
        <w:tc>
          <w:tcPr>
            <w:tcW w:w="2220" w:type="dxa"/>
            <w:vAlign w:val="bottom"/>
            <w:gridSpan w:val="3"/>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10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90"/>
              </w:rPr>
              <w:t>Six Months Ended June 30</w:t>
            </w:r>
          </w:p>
        </w:tc>
        <w:tc>
          <w:tcPr>
            <w:tcW w:w="12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jc w:val="right"/>
              <w:ind w:right="303"/>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b w:val="1"/>
                <w:bCs w:val="1"/>
                <w:color w:val="auto"/>
                <w:w w:val="93"/>
              </w:rPr>
              <w:t>$1,886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1,916</w:t>
            </w: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  $</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3,767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3,684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143"/>
              <w:spacing w:after="0"/>
              <w:rPr>
                <w:sz w:val="20"/>
                <w:szCs w:val="20"/>
                <w:color w:val="auto"/>
              </w:rPr>
            </w:pPr>
            <w:r>
              <w:rPr>
                <w:rFonts w:ascii="Arial" w:cs="Arial" w:eastAsia="Arial" w:hAnsi="Arial"/>
                <w:sz w:val="18"/>
                <w:szCs w:val="18"/>
                <w:b w:val="1"/>
                <w:bCs w:val="1"/>
                <w:color w:val="auto"/>
              </w:rPr>
              <w:t>217</w:t>
            </w:r>
          </w:p>
        </w:tc>
        <w:tc>
          <w:tcPr>
            <w:tcW w:w="30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415</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416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b w:val="1"/>
                <w:bCs w:val="1"/>
                <w:i w:val="1"/>
                <w:iCs w:val="1"/>
                <w:color w:val="auto"/>
              </w:rPr>
              <w:t>11.5%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11.1%</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11.3%</w:t>
            </w: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Second quarter 2020 sales decreased $30 million, or 2 percent, due to lower volume in Battle Management &amp; Missile Systems, partially offset by higher volume on Mission Readiness programs. Battle Management &amp; Missile Systems sales decreased principally due to lower volume on programs nearing completion, including an international weapons program and several small caliber ammunition programs, partially offset by higher volume on the Guided Multiple Launch Rocket System (GMLRS), the Advanced Anti-Radiation Guided Missile (AARGM) program and other missile products. Mission Readiness sales increased primarily due to higher restricted volume, partially offset by lower volume on the Hunter sustainment program as it nears completion.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Year to date 2020 sales increased $83 million or 2 percent, due to higher sales in both Battle Management &amp; Missile Systems and Mission Readiness. Battle Management &amp; Missile Systems sales increased primarily due to higher volume on GMLRS, AARGM and other missile products, partially offset by lower volume on an international weapons program as it nears completion. Mission Readiness sales increased principally due to higher restricted volume, partially offset by lower volume on the Hunter sustainment program as it nears completion.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Second quarter 2020 operating income increased $5 million, or 2 percent, primarily due to a higher operating margin rate. Operating margin rate increased to 11.5 percent from 11.1 percent primarily due to improved performance on Mission Readiness programs.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Year to date 2020 operating income was comparable to the prior year period. Operating margin rate decreased to 11.0 percent from 11.3 percent primarily due to favorable adjustments on certain small caliber ammunition programs in the first quarter of 2019, partially offset by improved performance on Mission Readiness programs.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MISSION SYSTEMS</w:t>
            </w:r>
          </w:p>
        </w:tc>
        <w:tc>
          <w:tcPr>
            <w:tcW w:w="2240" w:type="dxa"/>
            <w:vAlign w:val="bottom"/>
            <w:gridSpan w:val="3"/>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10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90"/>
              </w:rPr>
              <w:t>Six Months Ended June 30</w:t>
            </w: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22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jc w:val="right"/>
              <w:ind w:right="323"/>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b w:val="1"/>
                <w:bCs w:val="1"/>
                <w:color w:val="auto"/>
                <w:w w:val="93"/>
              </w:rPr>
              <w:t>$2,446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2,404</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4,793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143"/>
              <w:spacing w:after="0"/>
              <w:rPr>
                <w:sz w:val="20"/>
                <w:szCs w:val="20"/>
                <w:color w:val="auto"/>
              </w:rPr>
            </w:pPr>
            <w:r>
              <w:rPr>
                <w:rFonts w:ascii="Arial" w:cs="Arial" w:eastAsia="Arial" w:hAnsi="Arial"/>
                <w:sz w:val="18"/>
                <w:szCs w:val="18"/>
                <w:b w:val="1"/>
                <w:bCs w:val="1"/>
                <w:color w:val="auto"/>
              </w:rPr>
              <w:t>347</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338</w:t>
            </w: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700</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661</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b w:val="1"/>
                <w:bCs w:val="1"/>
                <w:i w:val="1"/>
                <w:iCs w:val="1"/>
                <w:color w:val="auto"/>
              </w:rPr>
              <w:t>14.2%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14.1%</w:t>
            </w: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14.6%</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w:t>
            </w: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Second quarter 2020 sales increased $42 million, or 2 percent, primarily due to higher volume on Airborne Sensors &amp; Networks programs, partially offset by lower volume on Cyber &amp; Intelligence Mission Solutions programs. Airborne Sensors &amp; Networks sales increased primarily due to higher airborne radar volume, including on the Multi-role Electronically Scanned Array (MESA) and Scalable Agile Beam Radar (SABR) programs. Cyber &amp; Intelligence Mission Solutions sales decreased principally due to lower volume on an intelligence program as it nears completion.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Year to date 2020 sales increased $179 million, or 4 percent, primarily due to higher volume on Airborne Sensors &amp; Networks and Maritime/Land Systems</w:t>
      </w:r>
    </w:p>
    <w:p>
      <w:pPr>
        <w:spacing w:after="0" w:line="32" w:lineRule="exact"/>
        <w:rPr>
          <w:sz w:val="20"/>
          <w:szCs w:val="20"/>
          <w:color w:val="auto"/>
        </w:rPr>
      </w:pPr>
    </w:p>
    <w:p>
      <w:pPr>
        <w:ind w:firstLine="8"/>
        <w:spacing w:after="0" w:line="273" w:lineRule="auto"/>
        <w:tabs>
          <w:tab w:leader="none" w:pos="1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Sensors programs, partially offset by lower volume on Cyber &amp; Intelligence Mission Solutions. Airborne Sensors &amp; Networks sales increased principally due to higher airborne radar volume, including on the MESA, SABR and F-35 programs. Maritime/Land Systems &amp; Sensors sales increased primarily due to higher volume on marine systems and restricted programs, partially offset by lower international volume. Cyber &amp; Intelligence Mission Solutions sales decreased principally due to lower volume on an intelligence program as it nears completion.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Second quarter 2020 operating income increased $9 million, or 3 percent, principally due to higher sales. Operating margin rate was comparable to the prior year 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Year to date 2020 operating income increased $39 million, or 6 percent, due to higher sales and a higher operating margin rate. Operating margin rate increased to 14.6 percent from 14.3 percent primarily due to improved performance on Airborne Sensors &amp; Networks and Cyber &amp; Intelligence Mission Solutions programs, partially offset by lower net favorable adjustments and changes in contract mix at Navigation, Targeting &amp; Survivability.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SPACE SYSTEMS</w:t>
            </w:r>
          </w:p>
        </w:tc>
        <w:tc>
          <w:tcPr>
            <w:tcW w:w="2240" w:type="dxa"/>
            <w:vAlign w:val="bottom"/>
            <w:gridSpan w:val="3"/>
            <w:vMerge w:val="restart"/>
          </w:tcPr>
          <w:p>
            <w:pPr>
              <w:jc w:val="right"/>
              <w:spacing w:after="0"/>
              <w:rPr>
                <w:sz w:val="20"/>
                <w:szCs w:val="20"/>
                <w:color w:val="auto"/>
              </w:rPr>
            </w:pPr>
            <w:r>
              <w:rPr>
                <w:rFonts w:ascii="Arial" w:cs="Arial" w:eastAsia="Arial" w:hAnsi="Arial"/>
                <w:sz w:val="18"/>
                <w:szCs w:val="18"/>
                <w:color w:val="auto"/>
                <w:w w:val="91"/>
              </w:rPr>
              <w:t>Three Months Ended June 30</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10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90"/>
              </w:rPr>
              <w:t>Six Months Ended June 30</w:t>
            </w: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22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jc w:val="right"/>
              <w:ind w:right="323"/>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8"/>
                <w:szCs w:val="18"/>
                <w:b w:val="1"/>
                <w:bCs w:val="1"/>
                <w:color w:val="auto"/>
                <w:w w:val="93"/>
              </w:rPr>
              <w:t>$2,048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1,788</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3,996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3,589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143"/>
              <w:spacing w:after="0"/>
              <w:rPr>
                <w:sz w:val="20"/>
                <w:szCs w:val="20"/>
                <w:color w:val="auto"/>
              </w:rPr>
            </w:pPr>
            <w:r>
              <w:rPr>
                <w:rFonts w:ascii="Arial" w:cs="Arial" w:eastAsia="Arial" w:hAnsi="Arial"/>
                <w:sz w:val="18"/>
                <w:szCs w:val="18"/>
                <w:b w:val="1"/>
                <w:bCs w:val="1"/>
                <w:color w:val="auto"/>
              </w:rPr>
              <w:t>209</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193</w:t>
            </w: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411</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383</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b w:val="1"/>
                <w:bCs w:val="1"/>
                <w:i w:val="1"/>
                <w:iCs w:val="1"/>
                <w:color w:val="auto"/>
              </w:rPr>
              <w:t>10.2%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10.8%</w:t>
            </w: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10.7%</w:t>
            </w: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Second quarter 2020 sales increased $260 million, or 15 percent, due to higher sales in both Space and Launch &amp; Strategic Missiles. Space sales were driven by higher volume on restricted programs, Next Generation Overhead Persistent Infrared Radar (Next Gen OPIR) and the Arctic Satellite Broadband Mission (ASBM) program. Launch &amp;</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Strategic Missiles sales reflect higher volume on hypersonics and launch vehicle programs, partially offset by lower volume on the Ground-based Midcourse Defense (GMD)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Year to date 2020 sales increased $407 million, or 11 percent, due to higher sales in both Space and Launch &amp; Strategic Missiles. Space sales were driven by higher volume on restricted programs, Next Gen OPIR and ASBM. Launch &amp; Strategic Missiles sales reflect higher volume on hypersonics programs and the Ground Based Strategic Deterrent (GBSD) Technology Maturation Risk Reduction (TMRR) program, partially offset by lower volume on GMD.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Second quarter 2020 operating income increased $16 million, or 8 percent, primarily due to higher sales. Operating margin rate decreased to 10.2 percent from 10.8 percent principally due to delays in production for certain commercial space components.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Year to date 2020 operating income increased $28 million, or 7 percent, primarily due to higher sales. Operating margin rate decreased to 10.3 percent from 10.7 percent principally due to delays in production for certain commercial space components and the timing of favorable negotiations on certain commercial contracts recognized in the first quarter of 2019.</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0" w:type="dxa"/>
            <w:vAlign w:val="bottom"/>
            <w:gridSpan w:val="6"/>
          </w:tcPr>
          <w:p>
            <w:pPr>
              <w:jc w:val="right"/>
              <w:ind w:right="830"/>
              <w:spacing w:after="0"/>
              <w:rPr>
                <w:sz w:val="20"/>
                <w:szCs w:val="20"/>
                <w:color w:val="auto"/>
              </w:rPr>
            </w:pPr>
            <w:r>
              <w:rPr>
                <w:rFonts w:ascii="Arial" w:cs="Arial" w:eastAsia="Arial" w:hAnsi="Arial"/>
                <w:sz w:val="18"/>
                <w:szCs w:val="18"/>
                <w:color w:val="auto"/>
                <w:w w:val="95"/>
              </w:rPr>
              <w:t>Three Months Ended June 30</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4"/>
          </w:tcPr>
          <w:p>
            <w:pPr>
              <w:ind w:left="60"/>
              <w:spacing w:after="0"/>
              <w:rPr>
                <w:sz w:val="20"/>
                <w:szCs w:val="20"/>
                <w:color w:val="auto"/>
              </w:rPr>
            </w:pPr>
            <w:r>
              <w:rPr>
                <w:rFonts w:ascii="Arial" w:cs="Arial" w:eastAsia="Arial" w:hAnsi="Arial"/>
                <w:sz w:val="18"/>
                <w:szCs w:val="18"/>
                <w:color w:val="auto"/>
                <w:w w:val="94"/>
              </w:rPr>
              <w:t>Six Months Ended June 30</w:t>
            </w:r>
          </w:p>
        </w:tc>
        <w:tc>
          <w:tcPr>
            <w:tcW w:w="96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gridSpan w:val="2"/>
          </w:tcPr>
          <w:p>
            <w:pPr>
              <w:jc w:val="right"/>
              <w:ind w:right="690"/>
              <w:spacing w:after="0"/>
              <w:rPr>
                <w:sz w:val="20"/>
                <w:szCs w:val="20"/>
                <w:color w:val="auto"/>
              </w:rPr>
            </w:pPr>
            <w:r>
              <w:rPr>
                <w:rFonts w:ascii="Arial" w:cs="Arial" w:eastAsia="Arial" w:hAnsi="Arial"/>
                <w:sz w:val="18"/>
                <w:szCs w:val="18"/>
                <w:color w:val="auto"/>
                <w:w w:val="99"/>
              </w:rPr>
              <w:t>2019</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730"/>
              <w:spacing w:after="0"/>
              <w:rPr>
                <w:sz w:val="20"/>
                <w:szCs w:val="20"/>
                <w:color w:val="auto"/>
              </w:rPr>
            </w:pPr>
            <w:r>
              <w:rPr>
                <w:rFonts w:ascii="Arial" w:cs="Arial" w:eastAsia="Arial" w:hAnsi="Arial"/>
                <w:sz w:val="18"/>
                <w:szCs w:val="18"/>
                <w:color w:val="auto"/>
                <w:w w:val="89"/>
              </w:rPr>
              <w:t>2019</w:t>
            </w:r>
          </w:p>
        </w:tc>
      </w:tr>
      <w:tr>
        <w:trPr>
          <w:trHeight w:val="27"/>
        </w:trPr>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Operating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Operating</w:t>
            </w: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Costs and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Costs and</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b w:val="1"/>
                <w:bCs w:val="1"/>
                <w:color w:val="auto"/>
              </w:rPr>
              <w:t>Costs and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Costs and</w:t>
            </w: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18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Sales</w:t>
            </w:r>
          </w:p>
        </w:tc>
        <w:tc>
          <w:tcPr>
            <w:tcW w:w="2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Expenses</w:t>
            </w:r>
          </w:p>
        </w:tc>
        <w:tc>
          <w:tcPr>
            <w:tcW w:w="2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Sales</w:t>
            </w:r>
          </w:p>
        </w:tc>
        <w:tc>
          <w:tcPr>
            <w:tcW w:w="2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Sales</w:t>
            </w:r>
          </w:p>
        </w:tc>
        <w:tc>
          <w:tcPr>
            <w:tcW w:w="2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Expenses</w:t>
            </w:r>
          </w:p>
        </w:tc>
        <w:tc>
          <w:tcPr>
            <w:tcW w:w="24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Sales</w:t>
            </w:r>
          </w:p>
        </w:tc>
        <w:tc>
          <w:tcPr>
            <w:tcW w:w="24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Expenses</w:t>
            </w:r>
          </w:p>
        </w:tc>
      </w:tr>
      <w:tr>
        <w:trPr>
          <w:trHeight w:val="27"/>
        </w:trPr>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2,512</w:t>
            </w:r>
          </w:p>
        </w:tc>
        <w:tc>
          <w:tcPr>
            <w:tcW w:w="2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4,921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4,210</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Aeronautics Systems</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2,925</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2,615</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2,422</w:t>
            </w: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5,768</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5,195</w:t>
            </w: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4,929</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Defense Systems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1,523</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831</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1,893</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1,657</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2,035</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1,789</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Defense Systems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1,886</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1,669</w:t>
            </w: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1,704</w:t>
            </w: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3,767</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3,352</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3,268</w:t>
            </w:r>
          </w:p>
        </w:tc>
      </w:tr>
      <w:tr>
        <w:trPr>
          <w:trHeight w:val="27"/>
        </w:trPr>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1,646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1,388</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3,154</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2,662</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2,956</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2,492</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Mission Systems</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2,446</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w:t>
            </w: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4,793</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4,093</w:t>
            </w: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Space Systems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882</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810</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838</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Space Systems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2,048</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1,839</w:t>
            </w: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1,595</w:t>
            </w: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3,996</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3,585</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3,206</w:t>
            </w:r>
          </w:p>
        </w:tc>
      </w:tr>
      <w:tr>
        <w:trPr>
          <w:trHeight w:val="27"/>
        </w:trPr>
        <w:tc>
          <w:tcPr>
            <w:tcW w:w="3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Totals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Total Product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6,482</w:t>
            </w:r>
          </w:p>
        </w:tc>
        <w:tc>
          <w:tcPr>
            <w:tcW w:w="2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5,189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12,658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11,215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10,215</w:t>
            </w: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Service</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2,402</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4,846</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4,291</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4,459</w:t>
            </w:r>
          </w:p>
        </w:tc>
      </w:tr>
      <w:tr>
        <w:trPr>
          <w:trHeight w:val="270"/>
        </w:trPr>
        <w:tc>
          <w:tcPr>
            <w:tcW w:w="3040" w:type="dxa"/>
            <w:vAlign w:val="bottom"/>
            <w:tcBorders>
              <w:top w:val="single" w:sz="8" w:color="auto"/>
              <w:bottom w:val="single" w:sz="8" w:color="auto"/>
            </w:tcBorders>
          </w:tcPr>
          <w:p>
            <w:pPr>
              <w:ind w:left="40"/>
              <w:spacing w:after="0" w:line="26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5"/>
                <w:szCs w:val="25"/>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8,884</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7,463</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14,674</w:t>
            </w:r>
          </w:p>
        </w:tc>
      </w:tr>
    </w:tbl>
    <w:p>
      <w:pPr>
        <w:spacing w:after="0" w:line="11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Second quarter 2020 product sales increased $602 million, or 10 percent. The increase was primarily due to higher product sales on restricted programs and Next Gen OPIR at Space Systems and higher product sales on restricted programs and E-2D at Aeronautics Systems.</w:t>
      </w:r>
    </w:p>
    <w:p>
      <w:pPr>
        <w:spacing w:after="0" w:line="26" w:lineRule="exact"/>
        <w:rPr>
          <w:sz w:val="20"/>
          <w:szCs w:val="20"/>
          <w:color w:val="auto"/>
        </w:rPr>
      </w:pPr>
    </w:p>
    <w:p>
      <w:pPr>
        <w:ind w:right="1820"/>
        <w:spacing w:after="0" w:line="305" w:lineRule="auto"/>
        <w:rPr>
          <w:sz w:val="20"/>
          <w:szCs w:val="20"/>
          <w:color w:val="auto"/>
        </w:rPr>
      </w:pPr>
      <w:r>
        <w:rPr>
          <w:rFonts w:ascii="Arial" w:cs="Arial" w:eastAsia="Arial" w:hAnsi="Arial"/>
          <w:sz w:val="18"/>
          <w:szCs w:val="18"/>
          <w:color w:val="auto"/>
        </w:rPr>
        <w:t xml:space="preserve">Second quarter 2020 product costs increased $524 million, or 10 percent, consistent with the higher product sales described above. </w:t>
      </w:r>
      <w:r>
        <w:rPr>
          <w:rFonts w:ascii="Arial" w:cs="Arial" w:eastAsia="Arial" w:hAnsi="Arial"/>
          <w:sz w:val="18"/>
          <w:szCs w:val="18"/>
          <w:i w:val="1"/>
          <w:iCs w:val="1"/>
          <w:color w:val="auto"/>
        </w:rPr>
        <w:t>Year to Date</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 to date 2020 product sales increased $1.1 billion, or 9 percent, principally due to higher volume on restricted programs and Next Gen OPIR at Space Systems, restricted programs and E-2D at Aeronautics Systems, missile products at Defense Systems and airborne radar and restricted programs at Mission Systems.</w:t>
      </w:r>
    </w:p>
    <w:p>
      <w:pPr>
        <w:spacing w:after="0" w:line="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Year to date 2020 product costs increased $1.0 billion, or 10 percent, consistent with the higher product sales described above and principally reflects a lower product margin at Aeronautics Systems due to lower net favorable EAC adjustments.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w:t>
      </w:r>
      <w:r>
        <w:rPr>
          <w:rFonts w:ascii="Arial" w:cs="Arial" w:eastAsia="Arial" w:hAnsi="Arial"/>
          <w:sz w:val="18"/>
          <w:szCs w:val="18"/>
          <w:color w:val="auto"/>
        </w:rPr>
        <w:t>Quarter</w:t>
      </w:r>
    </w:p>
    <w:p>
      <w:pPr>
        <w:spacing w:after="0" w:line="9"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Second quarter 2020 service sales decreased $174 million, or 7 percent, primarily due to a shift toward more product content in the lifecycle of several programs at Defense Systems and completion of certain service programs at Mission Systems.</w:t>
      </w:r>
    </w:p>
    <w:p>
      <w:pPr>
        <w:spacing w:after="0" w:line="50" w:lineRule="exact"/>
        <w:rPr>
          <w:sz w:val="20"/>
          <w:szCs w:val="20"/>
          <w:color w:val="auto"/>
        </w:rPr>
      </w:pPr>
    </w:p>
    <w:p>
      <w:pPr>
        <w:ind w:right="2020"/>
        <w:spacing w:after="0" w:line="305" w:lineRule="auto"/>
        <w:rPr>
          <w:sz w:val="20"/>
          <w:szCs w:val="20"/>
          <w:color w:val="auto"/>
        </w:rPr>
      </w:pPr>
      <w:r>
        <w:rPr>
          <w:rFonts w:ascii="Arial" w:cs="Arial" w:eastAsia="Arial" w:hAnsi="Arial"/>
          <w:sz w:val="18"/>
          <w:szCs w:val="18"/>
          <w:color w:val="auto"/>
        </w:rPr>
        <w:t xml:space="preserve">Second quarter 2020 service costs decreased $134 million, or 6 percent, consistent with the lower service sales described above. </w:t>
      </w:r>
      <w:r>
        <w:rPr>
          <w:rFonts w:ascii="Arial" w:cs="Arial" w:eastAsia="Arial" w:hAnsi="Arial"/>
          <w:sz w:val="18"/>
          <w:szCs w:val="18"/>
          <w:i w:val="1"/>
          <w:iCs w:val="1"/>
          <w:color w:val="auto"/>
        </w:rPr>
        <w:t>Year to Date</w:t>
      </w:r>
    </w:p>
    <w:p>
      <w:pPr>
        <w:spacing w:after="0" w:line="1"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Year to date 2020 service sales decreased $191 million, or 4 percent, primarily due to a shift toward more product content in the lifecycle of several programs at Defense Systems.</w:t>
      </w:r>
    </w:p>
    <w:p>
      <w:pPr>
        <w:spacing w:after="0" w:line="50" w:lineRule="exact"/>
        <w:rPr>
          <w:sz w:val="20"/>
          <w:szCs w:val="20"/>
          <w:color w:val="auto"/>
        </w:rPr>
      </w:pPr>
    </w:p>
    <w:p>
      <w:pPr>
        <w:ind w:right="2240"/>
        <w:spacing w:after="0" w:line="391" w:lineRule="auto"/>
        <w:rPr>
          <w:sz w:val="20"/>
          <w:szCs w:val="20"/>
          <w:color w:val="auto"/>
        </w:rPr>
      </w:pPr>
      <w:r>
        <w:rPr>
          <w:rFonts w:ascii="Arial" w:cs="Arial" w:eastAsia="Arial" w:hAnsi="Arial"/>
          <w:sz w:val="18"/>
          <w:szCs w:val="18"/>
          <w:color w:val="auto"/>
        </w:rPr>
        <w:t xml:space="preserve">Year to date 2020 service costs decreased $168 million, or 4 percent, consistent with the lower service sales described above. </w:t>
      </w:r>
      <w:r>
        <w:rPr>
          <w:rFonts w:ascii="Arial" w:cs="Arial" w:eastAsia="Arial" w:hAnsi="Arial"/>
          <w:sz w:val="18"/>
          <w:szCs w:val="18"/>
          <w:b w:val="1"/>
          <w:bCs w:val="1"/>
          <w:color w:val="auto"/>
        </w:rPr>
        <w:t>BACKLOG</w:t>
      </w:r>
    </w:p>
    <w:p>
      <w:pPr>
        <w:spacing w:after="0" w:line="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June 30, 2020 and December 31,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June 30, 2020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Total</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34"/>
        </w:trPr>
        <w:tc>
          <w:tcPr>
            <w:tcW w:w="47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Funded</w:t>
            </w:r>
          </w:p>
        </w:tc>
        <w:tc>
          <w:tcPr>
            <w:tcW w:w="2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Unfunded</w:t>
            </w:r>
          </w:p>
        </w:tc>
        <w:tc>
          <w:tcPr>
            <w:tcW w:w="2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Backlog</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12,556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6,245</w:t>
            </w:r>
          </w:p>
        </w:tc>
        <w:tc>
          <w:tcPr>
            <w:tcW w:w="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1,728</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9,548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3,997</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5,908</w:t>
            </w:r>
          </w:p>
        </w:tc>
        <w:tc>
          <w:tcPr>
            <w:tcW w:w="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17,903</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23,811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16,112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48 %</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36,184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7"/>
        </w:trPr>
        <w:tc>
          <w:tcPr>
            <w:tcW w:w="4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Second quarter and year to date 2020 net awards totaled $14.8 billion and $22.7 billion, respectively, and backlog totaled $70.0 billion. Significant second quarter new awards include $7.4 billion for restricted programs, $1.9 billion for Next Gen OPIR, $0.5 billion for E-2D, $0.4 billion for four commercial satellites and $0.3 billion for Triton.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endeavor to ensure efficient conversion of operating income into cash and to increase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June 30, 2020, we had $4.2 billion in cash and cash equivalents. In March 2020, we issued $2.25 billion of unsecured senior notes to help preserve financial flexibility in light of uncertainty resulting from the COVID-19 pandemic. We intend to use those proceeds for general corporate purposes, which may include debt repayment and working capital. In April 2020, we entered into a one-year $500 million uncommitted credit facility to provide an additional source of potential financing.</w:t>
      </w:r>
    </w:p>
    <w:p>
      <w:pPr>
        <w:spacing w:after="0" w:line="5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The CARES Act also provided for a deferral of certain estimated income tax payments by extending the deadline for amounts due in the second quarter to July 15, 2020. Under Section 3610, the CARES Act also authorized the government to reimburse qualifying contractors for certain costs of providing paid leave to employees as a result of COVID-19. The company has begun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to seek, and anticipates continuing to seek, recovery for certain COVID-19-related costs under Section 3610 of the CARES Act and through our contract provisions. In addition, the U.S. Department of Defense (DoD) has, to date, taken steps to increase the rate for certain progress payments from 80 percent to 90 percent for costs incurred and work performed on relevant contracts. We believe these actions should continue to mitigate some COVID-19-related negative impacts to our operating cash flows during the remainder of the year.</w:t>
      </w:r>
    </w:p>
    <w:p>
      <w:pPr>
        <w:spacing w:after="0" w:line="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2140" w:type="dxa"/>
            <w:vAlign w:val="bottom"/>
            <w:gridSpan w:val="4"/>
          </w:tcPr>
          <w:p>
            <w:pPr>
              <w:jc w:val="right"/>
              <w:ind w:right="10"/>
              <w:spacing w:after="0"/>
              <w:rPr>
                <w:sz w:val="20"/>
                <w:szCs w:val="20"/>
                <w:color w:val="auto"/>
              </w:rPr>
            </w:pPr>
            <w:r>
              <w:rPr>
                <w:rFonts w:ascii="Arial" w:cs="Arial" w:eastAsia="Arial" w:hAnsi="Arial"/>
                <w:sz w:val="18"/>
                <w:szCs w:val="18"/>
                <w:color w:val="auto"/>
                <w:w w:val="93"/>
              </w:rPr>
              <w:t>Six Months Ended June 30</w:t>
            </w: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1,873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70"/>
        </w:trPr>
        <w:tc>
          <w:tcPr>
            <w:tcW w:w="7840" w:type="dxa"/>
            <w:vAlign w:val="bottom"/>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810</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14 %</w:t>
            </w: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Trade working capital</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(898)</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(1,419)</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(473)</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66 %</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32</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(191)%</w:t>
            </w: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94 %</w:t>
            </w:r>
          </w:p>
        </w:tc>
      </w:tr>
      <w:tr>
        <w:trPr>
          <w:trHeight w:val="27"/>
        </w:trPr>
        <w:tc>
          <w:tcPr>
            <w:tcW w:w="7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Includes depreciation and amortization, non-cash lease expense, stock based compensation expense and deferred income taxes.</w:t>
      </w:r>
    </w:p>
    <w:p>
      <w:pPr>
        <w:spacing w:after="0" w:line="74" w:lineRule="exact"/>
        <w:rPr>
          <w:sz w:val="20"/>
          <w:szCs w:val="20"/>
          <w:color w:val="auto"/>
        </w:rPr>
      </w:pPr>
    </w:p>
    <w:p>
      <w:pPr>
        <w:ind w:left="60" w:right="120"/>
        <w:spacing w:after="0" w:line="255" w:lineRule="auto"/>
        <w:rPr>
          <w:sz w:val="20"/>
          <w:szCs w:val="20"/>
          <w:color w:val="auto"/>
        </w:rPr>
      </w:pPr>
      <w:r>
        <w:rPr>
          <w:rFonts w:ascii="Arial" w:cs="Arial" w:eastAsia="Arial" w:hAnsi="Arial"/>
          <w:sz w:val="18"/>
          <w:szCs w:val="18"/>
          <w:color w:val="auto"/>
        </w:rPr>
        <w:t>Year to date 2020 cash provided by operating activities increased $650 million principally due to improved trade working capital and higher net earnings. The improvement in trade working capital reflects CARES Act payroll tax deferrals and increased DoD progress payment rates, partially offset by acceleration of payments to suppliers and pass through of increased progress payments to suppliers.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Free cash flow, as reconciled in the table below, is a non-GAAP measure defined as net cash provided by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w w:val="93"/>
              </w:rPr>
              <w:t>Six Months Ended June 30</w:t>
            </w: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r>
      <w:tr>
        <w:trPr>
          <w:trHeight w:val="27"/>
        </w:trPr>
        <w:tc>
          <w:tcPr>
            <w:tcW w:w="7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free cash flow increased $645 million principally due to the increase in net cash provided by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net cash used in investing activities was comparable to the prior year period.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Year to date 2020 net cash provided by financing activities was $1.1 billion compared to net cash used in financing activities of $650 million in 2019, principally due to $2.2 billion of net proceeds from the issuance of long-term debt in the first quarter of 2020, partially offset by higher share repurchases.</w:t>
      </w:r>
    </w:p>
    <w:p>
      <w:pPr>
        <w:spacing w:after="0" w:line="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2019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2019 Annual Report on Form 10-K, in the section entitled “Risk Factors” in our Quarterly Report on Form 10-Q for the quarter ended March 31, 2020 and from time to time in our other filings with the Securities and Exchange Commission (SEC). These risks and uncertainties are amplified by the global COVID-19 pandemic, which has caused and will continue to cause significant challenges, instability and uncertainty. They include:</w:t>
      </w:r>
    </w:p>
    <w:p>
      <w:pPr>
        <w:spacing w:after="0" w:line="47" w:lineRule="exact"/>
        <w:rPr>
          <w:sz w:val="20"/>
          <w:szCs w:val="20"/>
          <w:color w:val="auto"/>
        </w:rPr>
      </w:pPr>
    </w:p>
    <w:p>
      <w:pPr>
        <w:jc w:val="both"/>
        <w:ind w:left="660" w:right="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outbreak or future epidemics on our business, including the potential for worker absenteeism, facility closures, work slowdowns or stoppages, supply chain disruptions, program delays, our ability to recover costs under contracts, changing government funding and acquisition priorities and processes, changing government payment rules and practices, and potential impacts on access to capital, the markets and the fair value of our assets;</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and/or changes in estimated contract revenues and costs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0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90" w:lineRule="exact"/>
        <w:rPr>
          <w:rFonts w:ascii="Arial" w:cs="Arial" w:eastAsia="Arial" w:hAnsi="Arial"/>
          <w:sz w:val="18"/>
          <w:szCs w:val="18"/>
          <w:color w:val="auto"/>
        </w:rPr>
      </w:pPr>
    </w:p>
    <w:p>
      <w:pPr>
        <w:ind w:left="660" w:right="1000" w:hanging="328"/>
        <w:spacing w:after="0" w:line="334"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health epidemics, pandemics and similar outbreaks, including the global COVID-19 pandemic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business conditions that could impact business investments and/or recorded goodwill or the value of other long-lived assets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than the debt issuance, including associated interest, described in Note 4 of Part I, Item 1, there have been no material changes to our contractual obligations from those discussed in our 2019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2019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2020,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118" w:right="3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During the three months ended June 30, 2020, no changes occurred in our internal control over financial reporting that materially affected, or are reasonably likely to materially affect, our internal control over financial reporting.</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00"/>
          </w:cols>
          <w:pgMar w:left="320" w:top="118" w:right="9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2019 Annual Report on Form 10-K.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 Involving Potential Monetary Damages in Excess of $100,000</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environmental matter is reported pursuant to SEC Regulation S-K Item 103 because it involves potential monetary damages in excess of $100,000. In June 2016, the U.S. Environmental Protection Agency (EPA) conducted an environmental inspection at the Allegheny Ballistics Laboratory in Rocket Center, WV, which was then and is now operated by Alliant Techsystems Operations LLC (“ATO”). ATO became an indirect subsidiary of the Company approximately 2 years later, in June 2018. On March 3, 2020, EPA notified ATO of a proposed penalty for alleged noncompliance with certain air emission, water discharge and waste management permitting and regulatory requirements. EPA proposed a civil penalty totaling $497,635 and certain non-monetary actions. The Company has disputed the allegations and is in discussions with the government.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There have been no material changes to our risk factors since our 2019 Annual Report on Form 10-K, except with respect to the risk factor regarding COVID-19 that the company included in the section entitled “Risk Factors” in our Quarterly Report on Form 10-Q for the quarter ended March 31,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Purchases of Equity Securities </w:t>
      </w:r>
      <w:r>
        <w:rPr>
          <w:rFonts w:ascii="Arial" w:cs="Arial" w:eastAsia="Arial" w:hAnsi="Arial"/>
          <w:sz w:val="18"/>
          <w:szCs w:val="18"/>
          <w:color w:val="auto"/>
        </w:rPr>
        <w:t>– The table below summarizes our repurchases of common stock during the second quarter of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Number</w:t>
            </w: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Approximate</w:t>
            </w:r>
          </w:p>
        </w:tc>
        <w:tc>
          <w:tcPr>
            <w:tcW w:w="52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of Shares</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Purchased as</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3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Part of Publicly</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3560" w:type="dxa"/>
            <w:vAlign w:val="bottom"/>
          </w:tcPr>
          <w:p>
            <w:pPr>
              <w:spacing w:after="0"/>
              <w:rPr>
                <w:sz w:val="18"/>
                <w:szCs w:val="18"/>
                <w:color w:val="auto"/>
              </w:rPr>
            </w:pPr>
          </w:p>
        </w:tc>
        <w:tc>
          <w:tcPr>
            <w:tcW w:w="2320" w:type="dxa"/>
            <w:vAlign w:val="bottom"/>
          </w:tcPr>
          <w:p>
            <w:pPr>
              <w:jc w:val="center"/>
              <w:ind w:left="750"/>
              <w:spacing w:after="0"/>
              <w:rPr>
                <w:sz w:val="20"/>
                <w:szCs w:val="20"/>
                <w:color w:val="auto"/>
              </w:rPr>
            </w:pPr>
            <w:r>
              <w:rPr>
                <w:rFonts w:ascii="Arial" w:cs="Arial" w:eastAsia="Arial" w:hAnsi="Arial"/>
                <w:sz w:val="18"/>
                <w:szCs w:val="18"/>
                <w:b w:val="1"/>
                <w:bCs w:val="1"/>
                <w:color w:val="auto"/>
                <w:w w:val="94"/>
              </w:rPr>
              <w:t>Number</w:t>
            </w: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8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Announced</w:t>
            </w: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under the</w:t>
            </w:r>
          </w:p>
        </w:tc>
        <w:tc>
          <w:tcPr>
            <w:tcW w:w="52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320" w:type="dxa"/>
            <w:vAlign w:val="bottom"/>
          </w:tcPr>
          <w:p>
            <w:pPr>
              <w:jc w:val="center"/>
              <w:ind w:left="730"/>
              <w:spacing w:after="0"/>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w w:val="95"/>
              </w:rPr>
              <w:t>Paid per</w:t>
            </w: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Plans or</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 Programs</w:t>
            </w:r>
          </w:p>
        </w:tc>
      </w:tr>
      <w:tr>
        <w:trPr>
          <w:trHeight w:val="261"/>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3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line="262" w:lineRule="exact"/>
              <w:rPr>
                <w:sz w:val="20"/>
                <w:szCs w:val="20"/>
                <w:color w:val="auto"/>
              </w:rPr>
            </w:pPr>
            <w:r>
              <w:rPr>
                <w:rFonts w:ascii="Arial" w:cs="Arial" w:eastAsia="Arial" w:hAnsi="Arial"/>
                <w:sz w:val="18"/>
                <w:szCs w:val="18"/>
                <w:b w:val="1"/>
                <w:bCs w:val="1"/>
                <w:color w:val="auto"/>
                <w:w w:val="93"/>
              </w:rPr>
              <w:t>Share</w:t>
            </w:r>
            <w:r>
              <w:rPr>
                <w:rFonts w:ascii="Arial" w:cs="Arial" w:eastAsia="Arial" w:hAnsi="Arial"/>
                <w:sz w:val="25"/>
                <w:szCs w:val="25"/>
                <w:b w:val="1"/>
                <w:bCs w:val="1"/>
                <w:color w:val="auto"/>
                <w:w w:val="93"/>
                <w:vertAlign w:val="superscript"/>
              </w:rPr>
              <w:t>(1)</w:t>
            </w:r>
          </w:p>
        </w:tc>
        <w:tc>
          <w:tcPr>
            <w:tcW w:w="18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Programs</w:t>
            </w:r>
          </w:p>
        </w:tc>
        <w:tc>
          <w:tcPr>
            <w:tcW w:w="15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 in millions)</w:t>
            </w:r>
          </w:p>
        </w:tc>
        <w:tc>
          <w:tcPr>
            <w:tcW w:w="520" w:type="dxa"/>
            <w:vAlign w:val="bottom"/>
            <w:tcBorders>
              <w:bottom w:val="single" w:sz="8" w:color="auto"/>
            </w:tcBorders>
          </w:tcPr>
          <w:p>
            <w:pPr>
              <w:spacing w:after="0"/>
              <w:rPr>
                <w:sz w:val="22"/>
                <w:szCs w:val="22"/>
                <w:color w:val="auto"/>
              </w:rPr>
            </w:pPr>
          </w:p>
        </w:tc>
      </w:tr>
      <w:tr>
        <w:trPr>
          <w:trHeight w:val="243"/>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28, 2020 - April 24, 2020</w:t>
            </w: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397,447</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329.41</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397,447</w:t>
            </w:r>
          </w:p>
        </w:tc>
        <w:tc>
          <w:tcPr>
            <w:tcW w:w="15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2,849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April 25, 2020 - May 22, 2020</w:t>
            </w: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2,849</w:t>
            </w:r>
          </w:p>
        </w:tc>
      </w:tr>
      <w:tr>
        <w:trPr>
          <w:trHeight w:val="27"/>
        </w:trPr>
        <w:tc>
          <w:tcPr>
            <w:tcW w:w="3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5"/>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23, 2020 - June 26, 2020</w:t>
            </w: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2,849</w:t>
            </w:r>
          </w:p>
        </w:tc>
      </w:tr>
      <w:tr>
        <w:trPr>
          <w:trHeight w:val="237"/>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397,447</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329.41</w:t>
            </w:r>
          </w:p>
        </w:tc>
        <w:tc>
          <w:tcPr>
            <w:tcW w:w="1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397,447</w:t>
            </w:r>
          </w:p>
        </w:tc>
        <w:tc>
          <w:tcPr>
            <w:tcW w:w="15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2,849</w:t>
            </w:r>
          </w:p>
        </w:tc>
      </w:tr>
      <w:tr>
        <w:trPr>
          <w:trHeight w:val="34"/>
        </w:trPr>
        <w:tc>
          <w:tcPr>
            <w:tcW w:w="35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discussed in Notes 1 and 9 to the financial statements, beginning in the second quarter of 2020, the company no longer considers certain unallowable costs as part of management’s evaluation of segment operating performance. As a result, certain unallowable costs, which were previously included in segment operating results, are now reported in Unallocated corporate expense within operating income.</w:t>
      </w:r>
    </w:p>
    <w:p>
      <w:pPr>
        <w:spacing w:after="0" w:line="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tables summarize the effect of this change on our segment information for the three months ended March 31, 2020, December 31, 2019, September 30, 2019, June 30, 2019 and March 31, 2019 and the years ended December 31, 2019, 2018 and 2017. This change has no impact on consolidated operating results. The tables should be read in conjunction with the information contained in the company’s 2019 Annual Report on Form 10-K and the Form 8-K that we filed with the SEC on April 29, 2020, which recasts the disclosures in certain portions of the 2019 Annual Report on Form 10-K to reflect changes in the company’s reportable segments.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Previously Reported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7"/>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Mar 31</w:t>
            </w:r>
          </w:p>
        </w:tc>
        <w:tc>
          <w:tcPr>
            <w:tcW w:w="16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Jun 30</w:t>
            </w:r>
          </w:p>
        </w:tc>
        <w:tc>
          <w:tcPr>
            <w:tcW w:w="2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82"/>
              </w:rPr>
              <w:t>Sep 30</w:t>
            </w:r>
          </w:p>
        </w:tc>
        <w:tc>
          <w:tcPr>
            <w:tcW w:w="1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 31</w:t>
            </w:r>
          </w:p>
        </w:tc>
        <w:tc>
          <w:tcPr>
            <w:tcW w:w="2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Mar 31</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Aeronautics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Defense Systems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Mission Systems</w:t>
            </w:r>
          </w:p>
        </w:tc>
        <w:tc>
          <w:tcPr>
            <w:tcW w:w="1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1,157</w:t>
            </w: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1,215</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Space Systems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635</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2,903</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3,447</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1,024</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w w:val="99"/>
              </w:rPr>
              <w:t>Net FAS (service)/CAS pension adjustment</w:t>
            </w:r>
          </w:p>
        </w:tc>
        <w:tc>
          <w:tcPr>
            <w:tcW w:w="1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expense</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3,780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w:t>
            </w:r>
          </w:p>
        </w:tc>
      </w:tr>
      <w:tr>
        <w:trPr>
          <w:trHeight w:val="34"/>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7"/>
        </w:trPr>
        <w:tc>
          <w:tcPr>
            <w:tcW w:w="3620" w:type="dxa"/>
            <w:vAlign w:val="bottom"/>
          </w:tcPr>
          <w:p>
            <w:pPr>
              <w:spacing w:after="0"/>
              <w:rPr>
                <w:sz w:val="20"/>
                <w:szCs w:val="20"/>
                <w:color w:val="auto"/>
              </w:rPr>
            </w:pPr>
            <w:r>
              <w:rPr>
                <w:rFonts w:ascii="Arial" w:cs="Arial" w:eastAsia="Arial" w:hAnsi="Arial"/>
                <w:sz w:val="18"/>
                <w:szCs w:val="18"/>
                <w:b w:val="1"/>
                <w:bCs w:val="1"/>
                <w:color w:val="auto"/>
              </w:rPr>
              <w:t>As Recast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7"/>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Mar 31</w:t>
            </w:r>
          </w:p>
        </w:tc>
        <w:tc>
          <w:tcPr>
            <w:tcW w:w="16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Jun 30</w:t>
            </w:r>
          </w:p>
        </w:tc>
        <w:tc>
          <w:tcPr>
            <w:tcW w:w="2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82"/>
              </w:rPr>
              <w:t>Sep 30</w:t>
            </w:r>
          </w:p>
        </w:tc>
        <w:tc>
          <w:tcPr>
            <w:tcW w:w="1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 31</w:t>
            </w:r>
          </w:p>
        </w:tc>
        <w:tc>
          <w:tcPr>
            <w:tcW w:w="2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Mar 31</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Aeronautics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Defense Systems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697</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Mission Systems</w:t>
            </w:r>
          </w:p>
        </w:tc>
        <w:tc>
          <w:tcPr>
            <w:tcW w:w="1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1,179</w:t>
            </w: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1,408</w:t>
            </w: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Space Systems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2,945</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3,514</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w w:val="99"/>
              </w:rPr>
              <w:t>Net FAS (service)/CAS pension adjustment</w:t>
            </w:r>
          </w:p>
        </w:tc>
        <w:tc>
          <w:tcPr>
            <w:tcW w:w="1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expense</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7"/>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3,780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w:t>
            </w:r>
          </w:p>
        </w:tc>
      </w:tr>
      <w:tr>
        <w:trPr>
          <w:trHeight w:val="34"/>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040" w:right="20" w:hanging="278"/>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1">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FF"/>
          </w:rPr>
          <w:t>New P, Inc.) and Titan Merger Sub Inc., dated March 30, 2011 (incorporated by reference to Exhibit 10.1 to Form 8-K filed April 4, 2011,</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File No. 001-16411)</w:t>
        </w:r>
      </w:hyperlink>
    </w:p>
    <w:p>
      <w:pPr>
        <w:spacing w:after="0" w:line="143" w:lineRule="exact"/>
        <w:rPr>
          <w:rFonts w:ascii="Arial" w:cs="Arial" w:eastAsia="Arial" w:hAnsi="Arial"/>
          <w:sz w:val="18"/>
          <w:szCs w:val="18"/>
          <w:color w:val="auto"/>
        </w:rPr>
      </w:pPr>
    </w:p>
    <w:p>
      <w:pPr>
        <w:ind w:left="1040" w:right="140" w:hanging="278"/>
        <w:spacing w:after="0" w:line="31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12">
        <w:r>
          <w:rPr>
            <w:rFonts w:ascii="Arial" w:cs="Arial" w:eastAsia="Arial" w:hAnsi="Arial"/>
            <w:sz w:val="16"/>
            <w:szCs w:val="16"/>
            <w:u w:val="single" w:color="auto"/>
            <w:color w:val="0000FF"/>
          </w:rPr>
          <w:t>Separation and Distribution Agreement dated as of March 29, 2011, among Titan II, Inc. (formerly Northrop Grumman Corporation),</w:t>
        </w:r>
      </w:hyperlink>
      <w:r>
        <w:rPr>
          <w:rFonts w:ascii="Arial" w:cs="Arial" w:eastAsia="Arial" w:hAnsi="Arial"/>
          <w:sz w:val="16"/>
          <w:szCs w:val="16"/>
          <w:color w:val="auto"/>
        </w:rPr>
        <w:t xml:space="preserve"> </w:t>
      </w:r>
      <w:hyperlink r:id="rId12">
        <w:r>
          <w:rPr>
            <w:rFonts w:ascii="Arial" w:cs="Arial" w:eastAsia="Arial" w:hAnsi="Arial"/>
            <w:sz w:val="16"/>
            <w:szCs w:val="16"/>
            <w:u w:val="single" w:color="auto"/>
            <w:color w:val="0000FF"/>
          </w:rPr>
          <w:t>Northrop Grumman Corporation (formerly New P, Inc.), Huntington Ingalls Industries, Inc., Northrop Grumman Shipbuilding, Inc. and</w:t>
        </w:r>
      </w:hyperlink>
      <w:r>
        <w:rPr>
          <w:rFonts w:ascii="Arial" w:cs="Arial" w:eastAsia="Arial" w:hAnsi="Arial"/>
          <w:sz w:val="16"/>
          <w:szCs w:val="16"/>
          <w:u w:val="single" w:color="auto"/>
          <w:color w:val="0000FF"/>
        </w:rPr>
        <w:t xml:space="preserve"> </w:t>
      </w:r>
      <w:hyperlink r:id="rId12">
        <w:r>
          <w:rPr>
            <w:rFonts w:ascii="Arial" w:cs="Arial" w:eastAsia="Arial" w:hAnsi="Arial"/>
            <w:sz w:val="16"/>
            <w:szCs w:val="16"/>
            <w:u w:val="single" w:color="auto"/>
            <w:color w:val="0000FF"/>
          </w:rPr>
          <w:t>Northrop Grumman Systems Corporation (incorporated by reference to Exhibit 10.2 to Form 8-K filed April 4, 2011, File No. 001-16411)</w:t>
        </w:r>
      </w:hyperlink>
    </w:p>
    <w:p>
      <w:pPr>
        <w:spacing w:after="0" w:line="108" w:lineRule="exact"/>
        <w:rPr>
          <w:rFonts w:ascii="Arial" w:cs="Arial" w:eastAsia="Arial" w:hAnsi="Arial"/>
          <w:sz w:val="16"/>
          <w:szCs w:val="16"/>
          <w:color w:val="auto"/>
        </w:rPr>
      </w:pPr>
    </w:p>
    <w:p>
      <w:pPr>
        <w:ind w:left="1040" w:right="40" w:hanging="278"/>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13">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FF"/>
          </w:rPr>
          <w:t>ATK, Inc. (incorporated by reference to Exhibit 2.1 to Form 8-K filed September 18, 2017)</w:t>
        </w:r>
      </w:hyperlink>
    </w:p>
    <w:p>
      <w:pPr>
        <w:spacing w:after="0" w:line="130" w:lineRule="exact"/>
        <w:rPr>
          <w:sz w:val="20"/>
          <w:szCs w:val="20"/>
          <w:color w:val="auto"/>
        </w:rPr>
      </w:pPr>
    </w:p>
    <w:p>
      <w:pPr>
        <w:jc w:val="both"/>
        <w:ind w:left="1040" w:right="100" w:hanging="278"/>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14">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Systems, Inc.) Form 8-K filed May 2, 2014)</w:t>
        </w:r>
      </w:hyperlink>
    </w:p>
    <w:p>
      <w:pPr>
        <w:spacing w:after="0" w:line="143"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39">
        <w:r>
          <w:rPr>
            <w:rFonts w:ascii="Arial" w:cs="Arial" w:eastAsia="Arial" w:hAnsi="Arial"/>
            <w:sz w:val="18"/>
            <w:szCs w:val="18"/>
            <w:u w:val="single" w:color="auto"/>
            <w:color w:val="0000FF"/>
          </w:rPr>
          <w:t>Non-Employee Director Compensation Term Sheet, effective May 20, 2020</w:t>
        </w:r>
      </w:hyperlink>
    </w:p>
    <w:p>
      <w:pPr>
        <w:spacing w:after="0" w:line="18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41">
        <w:r>
          <w:rPr>
            <w:rFonts w:ascii="Arial" w:cs="Arial" w:eastAsia="Arial" w:hAnsi="Arial"/>
            <w:sz w:val="18"/>
            <w:szCs w:val="18"/>
            <w:u w:val="single" w:color="auto"/>
            <w:color w:val="0000FF"/>
          </w:rPr>
          <w:t>Letter from Independent Registered Public Accounting Firm</w:t>
        </w:r>
      </w:hyperlink>
    </w:p>
    <w:p>
      <w:pPr>
        <w:spacing w:after="0" w:line="18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42">
        <w:r>
          <w:rPr>
            <w:rFonts w:ascii="Arial" w:cs="Arial" w:eastAsia="Arial" w:hAnsi="Arial"/>
            <w:sz w:val="18"/>
            <w:szCs w:val="18"/>
            <w:u w:val="single" w:color="auto"/>
            <w:color w:val="0000FF"/>
          </w:rPr>
          <w:t>Certification of Kathy J. Warden pursuant to Section 302 of the Sarbanes-Oxley Act of 2002</w:t>
        </w:r>
      </w:hyperlink>
    </w:p>
    <w:p>
      <w:pPr>
        <w:spacing w:after="0" w:line="18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43">
        <w:r>
          <w:rPr>
            <w:rFonts w:ascii="Arial" w:cs="Arial" w:eastAsia="Arial" w:hAnsi="Arial"/>
            <w:sz w:val="18"/>
            <w:szCs w:val="18"/>
            <w:u w:val="single" w:color="auto"/>
            <w:color w:val="0000FF"/>
          </w:rPr>
          <w:t>Certification of David F. Keffer pursuant to Section 302 of the Sarbanes-Oxley Act of 2002</w:t>
        </w:r>
      </w:hyperlink>
    </w:p>
    <w:p>
      <w:pPr>
        <w:spacing w:after="0" w:line="18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44">
        <w:r>
          <w:rPr>
            <w:rFonts w:ascii="Arial" w:cs="Arial" w:eastAsia="Arial" w:hAnsi="Arial"/>
            <w:sz w:val="18"/>
            <w:szCs w:val="18"/>
            <w:u w:val="single" w:color="auto"/>
            <w:color w:val="0000FF"/>
          </w:rPr>
          <w:t>Certification of Kathy J. Warden pursuant to Section 906 of the Sarbanes-Oxley Act of 2002</w:t>
        </w:r>
      </w:hyperlink>
    </w:p>
    <w:p>
      <w:pPr>
        <w:spacing w:after="0" w:line="18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45">
        <w:r>
          <w:rPr>
            <w:rFonts w:ascii="Arial" w:cs="Arial" w:eastAsia="Arial" w:hAnsi="Arial"/>
            <w:sz w:val="18"/>
            <w:szCs w:val="18"/>
            <w:u w:val="single" w:color="auto"/>
            <w:color w:val="0000FF"/>
          </w:rPr>
          <w:t>Certification of David F. Keffer pursuant to Section 906 of the Sarbanes-Oxley Act of 2002</w:t>
        </w:r>
      </w:hyperlink>
    </w:p>
    <w:p>
      <w:pPr>
        <w:spacing w:after="0" w:line="185" w:lineRule="exact"/>
        <w:rPr>
          <w:rFonts w:ascii="Arial" w:cs="Arial" w:eastAsia="Arial" w:hAnsi="Arial"/>
          <w:sz w:val="18"/>
          <w:szCs w:val="18"/>
          <w:color w:val="auto"/>
        </w:rPr>
      </w:pPr>
    </w:p>
    <w:p>
      <w:pPr>
        <w:ind w:left="1040" w:hanging="413"/>
        <w:spacing w:after="0" w:line="296" w:lineRule="auto"/>
        <w:rPr>
          <w:sz w:val="20"/>
          <w:szCs w:val="20"/>
          <w:color w:val="auto"/>
        </w:rPr>
      </w:pPr>
      <w:r>
        <w:rPr>
          <w:rFonts w:ascii="Arial" w:cs="Arial" w:eastAsia="Arial" w:hAnsi="Arial"/>
          <w:sz w:val="16"/>
          <w:szCs w:val="16"/>
          <w:color w:val="auto"/>
        </w:rPr>
        <w:t>*101 Northrop Grumman Corporation Quarterly Report on Form 10-Q for the quarter ended June 30, 2020, formatted in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121"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76" w:lineRule="exact"/>
        <w:rPr>
          <w:rFonts w:ascii="Arial" w:cs="Arial" w:eastAsia="Arial" w:hAnsi="Arial"/>
          <w:sz w:val="18"/>
          <w:szCs w:val="18"/>
          <w:color w:val="auto"/>
        </w:rPr>
      </w:pPr>
    </w:p>
    <w:p>
      <w:pPr>
        <w:ind w:left="1040" w:hanging="654"/>
        <w:spacing w:after="0"/>
        <w:tabs>
          <w:tab w:leader="none" w:pos="10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spacing w:after="0" w:line="58" w:lineRule="exact"/>
        <w:rPr>
          <w:rFonts w:ascii="Arial" w:cs="Arial" w:eastAsia="Arial" w:hAnsi="Arial"/>
          <w:sz w:val="18"/>
          <w:szCs w:val="18"/>
          <w:color w:val="auto"/>
        </w:rPr>
      </w:pPr>
    </w:p>
    <w:p>
      <w:pPr>
        <w:ind w:left="1040" w:hanging="654"/>
        <w:spacing w:after="0"/>
        <w:tabs>
          <w:tab w:leader="none" w:pos="104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spacing w:after="0" w:line="58" w:lineRule="exact"/>
        <w:rPr>
          <w:rFonts w:ascii="Arial" w:cs="Arial" w:eastAsia="Arial" w:hAnsi="Arial"/>
          <w:sz w:val="18"/>
          <w:szCs w:val="18"/>
          <w:color w:val="auto"/>
        </w:rPr>
      </w:pPr>
    </w:p>
    <w:p>
      <w:pPr>
        <w:ind w:left="1040" w:hanging="654"/>
        <w:spacing w:after="0"/>
        <w:tabs>
          <w:tab w:leader="none" w:pos="10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39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118" w:right="4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(Registrant)</w:t>
      </w:r>
    </w:p>
    <w:p>
      <w:pPr>
        <w:spacing w:after="0" w:line="12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4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21590</wp:posOffset>
            </wp:positionV>
            <wp:extent cx="3814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Michael A. Hardesty</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Corporate Vice President, Controller and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18" w:right="3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50"/>
        </w:trPr>
        <w:tc>
          <w:tcPr>
            <w:tcW w:w="2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20"/>
                <w:szCs w:val="20"/>
                <w:color w:val="auto"/>
              </w:rPr>
              <w:t>Exhibit 10.1</w:t>
            </w:r>
          </w:p>
        </w:tc>
      </w:tr>
      <w:tr>
        <w:trPr>
          <w:trHeight w:val="414"/>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gridSpan w:val="2"/>
          </w:tcPr>
          <w:p>
            <w:pPr>
              <w:jc w:val="center"/>
              <w:ind w:right="2360"/>
              <w:spacing w:after="0"/>
              <w:rPr>
                <w:sz w:val="20"/>
                <w:szCs w:val="20"/>
                <w:color w:val="auto"/>
              </w:rPr>
            </w:pPr>
            <w:r>
              <w:rPr>
                <w:rFonts w:ascii="Arial" w:cs="Arial" w:eastAsia="Arial" w:hAnsi="Arial"/>
                <w:sz w:val="20"/>
                <w:szCs w:val="20"/>
                <w:b w:val="1"/>
                <w:bCs w:val="1"/>
                <w:i w:val="1"/>
                <w:iCs w:val="1"/>
                <w:color w:val="auto"/>
                <w:w w:val="84"/>
              </w:rPr>
              <w:t>Fees and Expenses</w:t>
            </w:r>
          </w:p>
        </w:tc>
        <w:tc>
          <w:tcPr>
            <w:tcW w:w="248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4"/>
        </w:trPr>
        <w:tc>
          <w:tcPr>
            <w:tcW w:w="2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40" w:type="dxa"/>
            <w:vAlign w:val="bottom"/>
            <w:gridSpan w:val="3"/>
          </w:tcPr>
          <w:p>
            <w:pPr>
              <w:jc w:val="center"/>
              <w:ind w:right="1040"/>
              <w:spacing w:after="0"/>
              <w:rPr>
                <w:sz w:val="20"/>
                <w:szCs w:val="20"/>
                <w:color w:val="auto"/>
              </w:rPr>
            </w:pPr>
            <w:r>
              <w:rPr>
                <w:rFonts w:ascii="Arial" w:cs="Arial" w:eastAsia="Arial" w:hAnsi="Arial"/>
                <w:sz w:val="20"/>
                <w:szCs w:val="20"/>
                <w:color w:val="auto"/>
                <w:w w:val="91"/>
              </w:rPr>
              <w:t>(effective as of May 20, 2020)</w:t>
            </w:r>
          </w:p>
        </w:tc>
        <w:tc>
          <w:tcPr>
            <w:tcW w:w="2480" w:type="dxa"/>
            <w:vAlign w:val="bottom"/>
          </w:tcPr>
          <w:p>
            <w:pPr>
              <w:spacing w:after="0"/>
              <w:rPr>
                <w:sz w:val="22"/>
                <w:szCs w:val="22"/>
                <w:color w:val="auto"/>
              </w:rPr>
            </w:pPr>
          </w:p>
        </w:tc>
      </w:tr>
      <w:tr>
        <w:trPr>
          <w:trHeight w:val="459"/>
        </w:trPr>
        <w:tc>
          <w:tcPr>
            <w:tcW w:w="8760" w:type="dxa"/>
            <w:vAlign w:val="bottom"/>
            <w:gridSpan w:val="5"/>
          </w:tcPr>
          <w:p>
            <w:pPr>
              <w:spacing w:after="0"/>
              <w:rPr>
                <w:sz w:val="20"/>
                <w:szCs w:val="20"/>
                <w:color w:val="auto"/>
              </w:rPr>
            </w:pPr>
            <w:r>
              <w:rPr>
                <w:rFonts w:ascii="Arial" w:cs="Arial" w:eastAsia="Arial" w:hAnsi="Arial"/>
                <w:sz w:val="20"/>
                <w:szCs w:val="20"/>
                <w:color w:val="auto"/>
              </w:rPr>
              <w:t>Note: No changes from fees and expenses approved on May 15, 2019.</w:t>
            </w:r>
          </w:p>
        </w:tc>
        <w:tc>
          <w:tcPr>
            <w:tcW w:w="2480" w:type="dxa"/>
            <w:vAlign w:val="bottom"/>
          </w:tcPr>
          <w:p>
            <w:pPr>
              <w:spacing w:after="0"/>
              <w:rPr>
                <w:sz w:val="24"/>
                <w:szCs w:val="24"/>
                <w:color w:val="auto"/>
              </w:rPr>
            </w:pPr>
          </w:p>
        </w:tc>
      </w:tr>
      <w:tr>
        <w:trPr>
          <w:trHeight w:val="459"/>
        </w:trPr>
        <w:tc>
          <w:tcPr>
            <w:tcW w:w="2360" w:type="dxa"/>
            <w:vAlign w:val="bottom"/>
          </w:tcPr>
          <w:p>
            <w:pPr>
              <w:spacing w:after="0"/>
              <w:rPr>
                <w:sz w:val="20"/>
                <w:szCs w:val="20"/>
                <w:color w:val="auto"/>
              </w:rPr>
            </w:pPr>
            <w:r>
              <w:rPr>
                <w:rFonts w:ascii="Arial" w:cs="Arial" w:eastAsia="Arial" w:hAnsi="Arial"/>
                <w:sz w:val="20"/>
                <w:szCs w:val="20"/>
                <w:i w:val="1"/>
                <w:iCs w:val="1"/>
                <w:color w:val="auto"/>
              </w:rPr>
              <w:t>Retainer</w:t>
            </w:r>
            <w:r>
              <w:rPr>
                <w:rFonts w:ascii="Arial" w:cs="Arial" w:eastAsia="Arial" w:hAnsi="Arial"/>
                <w:sz w:val="20"/>
                <w:szCs w:val="20"/>
                <w:color w:val="auto"/>
              </w:rPr>
              <w:t>:</w:t>
            </w:r>
          </w:p>
        </w:tc>
        <w:tc>
          <w:tcPr>
            <w:tcW w:w="6400" w:type="dxa"/>
            <w:vAlign w:val="bottom"/>
            <w:gridSpan w:val="4"/>
          </w:tcPr>
          <w:p>
            <w:pPr>
              <w:spacing w:after="0"/>
              <w:rPr>
                <w:sz w:val="20"/>
                <w:szCs w:val="20"/>
                <w:color w:val="auto"/>
              </w:rPr>
            </w:pPr>
            <w:r>
              <w:rPr>
                <w:rFonts w:ascii="Arial" w:cs="Arial" w:eastAsia="Arial" w:hAnsi="Arial"/>
                <w:sz w:val="20"/>
                <w:szCs w:val="20"/>
                <w:color w:val="auto"/>
                <w:w w:val="89"/>
              </w:rPr>
              <w:t>Retainer fees are paid quarterly, at the end of each quarter. Fees are as follows:</w:t>
            </w:r>
          </w:p>
        </w:tc>
        <w:tc>
          <w:tcPr>
            <w:tcW w:w="2480" w:type="dxa"/>
            <w:vAlign w:val="bottom"/>
          </w:tcPr>
          <w:p>
            <w:pPr>
              <w:spacing w:after="0"/>
              <w:rPr>
                <w:sz w:val="24"/>
                <w:szCs w:val="24"/>
                <w:color w:val="auto"/>
              </w:rPr>
            </w:pPr>
          </w:p>
        </w:tc>
      </w:tr>
      <w:tr>
        <w:trPr>
          <w:trHeight w:val="621"/>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3"/>
          </w:tcPr>
          <w:p>
            <w:pPr>
              <w:ind w:left="380"/>
              <w:spacing w:after="0"/>
              <w:rPr>
                <w:sz w:val="20"/>
                <w:szCs w:val="20"/>
                <w:color w:val="auto"/>
              </w:rPr>
            </w:pPr>
            <w:r>
              <w:rPr>
                <w:rFonts w:ascii="Arial" w:cs="Arial" w:eastAsia="Arial" w:hAnsi="Arial"/>
                <w:sz w:val="20"/>
                <w:szCs w:val="20"/>
                <w:color w:val="auto"/>
              </w:rPr>
              <w:t>Annual cash retainer:</w:t>
            </w:r>
          </w:p>
        </w:tc>
        <w:tc>
          <w:tcPr>
            <w:tcW w:w="2480" w:type="dxa"/>
            <w:vAlign w:val="bottom"/>
          </w:tcPr>
          <w:p>
            <w:pPr>
              <w:jc w:val="right"/>
              <w:ind w:right="1441"/>
              <w:spacing w:after="0"/>
              <w:rPr>
                <w:sz w:val="20"/>
                <w:szCs w:val="20"/>
                <w:color w:val="auto"/>
              </w:rPr>
            </w:pPr>
            <w:r>
              <w:rPr>
                <w:rFonts w:ascii="Arial" w:cs="Arial" w:eastAsia="Arial" w:hAnsi="Arial"/>
                <w:sz w:val="20"/>
                <w:szCs w:val="20"/>
                <w:color w:val="auto"/>
              </w:rPr>
              <w:t>$130,000</w:t>
            </w:r>
          </w:p>
        </w:tc>
      </w:tr>
      <w:tr>
        <w:trPr>
          <w:trHeight w:val="28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3"/>
          </w:tcPr>
          <w:p>
            <w:pPr>
              <w:ind w:left="380"/>
              <w:spacing w:after="0"/>
              <w:rPr>
                <w:sz w:val="20"/>
                <w:szCs w:val="20"/>
                <w:color w:val="auto"/>
              </w:rPr>
            </w:pPr>
            <w:r>
              <w:rPr>
                <w:rFonts w:ascii="Arial" w:cs="Arial" w:eastAsia="Arial" w:hAnsi="Arial"/>
                <w:sz w:val="20"/>
                <w:szCs w:val="20"/>
                <w:color w:val="auto"/>
              </w:rPr>
              <w:t>Additional retainer for Lead Independent Director:</w:t>
            </w:r>
          </w:p>
        </w:tc>
        <w:tc>
          <w:tcPr>
            <w:tcW w:w="2480" w:type="dxa"/>
            <w:vAlign w:val="bottom"/>
          </w:tcPr>
          <w:p>
            <w:pPr>
              <w:jc w:val="right"/>
              <w:ind w:right="1441"/>
              <w:spacing w:after="0"/>
              <w:rPr>
                <w:sz w:val="20"/>
                <w:szCs w:val="20"/>
                <w:color w:val="auto"/>
              </w:rPr>
            </w:pPr>
            <w:r>
              <w:rPr>
                <w:rFonts w:ascii="Arial" w:cs="Arial" w:eastAsia="Arial" w:hAnsi="Arial"/>
                <w:sz w:val="20"/>
                <w:szCs w:val="20"/>
                <w:color w:val="auto"/>
              </w:rPr>
              <w:t>$35,000</w:t>
            </w:r>
          </w:p>
        </w:tc>
      </w:tr>
      <w:tr>
        <w:trPr>
          <w:trHeight w:val="28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3"/>
          </w:tcPr>
          <w:p>
            <w:pPr>
              <w:ind w:left="380"/>
              <w:spacing w:after="0"/>
              <w:rPr>
                <w:sz w:val="20"/>
                <w:szCs w:val="20"/>
                <w:color w:val="auto"/>
              </w:rPr>
            </w:pPr>
            <w:r>
              <w:rPr>
                <w:rFonts w:ascii="Arial" w:cs="Arial" w:eastAsia="Arial" w:hAnsi="Arial"/>
                <w:sz w:val="20"/>
                <w:szCs w:val="20"/>
                <w:color w:val="auto"/>
              </w:rPr>
              <w:t>Additional retainer for Audit Committee:</w:t>
            </w:r>
          </w:p>
        </w:tc>
        <w:tc>
          <w:tcPr>
            <w:tcW w:w="2480" w:type="dxa"/>
            <w:vAlign w:val="bottom"/>
          </w:tcPr>
          <w:p>
            <w:pPr>
              <w:jc w:val="right"/>
              <w:ind w:right="1441"/>
              <w:spacing w:after="0"/>
              <w:rPr>
                <w:sz w:val="20"/>
                <w:szCs w:val="20"/>
                <w:color w:val="auto"/>
              </w:rPr>
            </w:pPr>
            <w:r>
              <w:rPr>
                <w:rFonts w:ascii="Arial" w:cs="Arial" w:eastAsia="Arial" w:hAnsi="Arial"/>
                <w:sz w:val="20"/>
                <w:szCs w:val="20"/>
                <w:color w:val="auto"/>
              </w:rPr>
              <w:t>$10,000</w:t>
            </w:r>
          </w:p>
        </w:tc>
      </w:tr>
      <w:tr>
        <w:trPr>
          <w:trHeight w:val="28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3"/>
          </w:tcPr>
          <w:p>
            <w:pPr>
              <w:ind w:left="380"/>
              <w:spacing w:after="0"/>
              <w:rPr>
                <w:sz w:val="20"/>
                <w:szCs w:val="20"/>
                <w:color w:val="auto"/>
              </w:rPr>
            </w:pPr>
            <w:r>
              <w:rPr>
                <w:rFonts w:ascii="Arial" w:cs="Arial" w:eastAsia="Arial" w:hAnsi="Arial"/>
                <w:sz w:val="20"/>
                <w:szCs w:val="20"/>
                <w:color w:val="auto"/>
              </w:rPr>
              <w:t>Additional retainer for Audit Committee chair:</w:t>
            </w:r>
          </w:p>
        </w:tc>
        <w:tc>
          <w:tcPr>
            <w:tcW w:w="2480" w:type="dxa"/>
            <w:vAlign w:val="bottom"/>
          </w:tcPr>
          <w:p>
            <w:pPr>
              <w:jc w:val="right"/>
              <w:ind w:right="1441"/>
              <w:spacing w:after="0"/>
              <w:rPr>
                <w:sz w:val="20"/>
                <w:szCs w:val="20"/>
                <w:color w:val="auto"/>
              </w:rPr>
            </w:pPr>
            <w:r>
              <w:rPr>
                <w:rFonts w:ascii="Arial" w:cs="Arial" w:eastAsia="Arial" w:hAnsi="Arial"/>
                <w:sz w:val="20"/>
                <w:szCs w:val="20"/>
                <w:color w:val="auto"/>
              </w:rPr>
              <w:t>$20,000</w:t>
            </w:r>
          </w:p>
        </w:tc>
      </w:tr>
      <w:tr>
        <w:trPr>
          <w:trHeight w:val="284"/>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3"/>
          </w:tcPr>
          <w:p>
            <w:pPr>
              <w:ind w:left="380"/>
              <w:spacing w:after="0"/>
              <w:rPr>
                <w:sz w:val="20"/>
                <w:szCs w:val="20"/>
                <w:color w:val="auto"/>
              </w:rPr>
            </w:pPr>
            <w:r>
              <w:rPr>
                <w:rFonts w:ascii="Arial" w:cs="Arial" w:eastAsia="Arial" w:hAnsi="Arial"/>
                <w:sz w:val="20"/>
                <w:szCs w:val="20"/>
                <w:color w:val="auto"/>
              </w:rPr>
              <w:t>Additional retainer for Comp Committee chair:</w:t>
            </w:r>
          </w:p>
        </w:tc>
        <w:tc>
          <w:tcPr>
            <w:tcW w:w="2480" w:type="dxa"/>
            <w:vAlign w:val="bottom"/>
          </w:tcPr>
          <w:p>
            <w:pPr>
              <w:jc w:val="right"/>
              <w:ind w:right="1441"/>
              <w:spacing w:after="0"/>
              <w:rPr>
                <w:sz w:val="20"/>
                <w:szCs w:val="20"/>
                <w:color w:val="auto"/>
              </w:rPr>
            </w:pPr>
            <w:r>
              <w:rPr>
                <w:rFonts w:ascii="Arial" w:cs="Arial" w:eastAsia="Arial" w:hAnsi="Arial"/>
                <w:sz w:val="20"/>
                <w:szCs w:val="20"/>
                <w:color w:val="auto"/>
              </w:rPr>
              <w:t>$20,000</w:t>
            </w:r>
          </w:p>
        </w:tc>
      </w:tr>
      <w:tr>
        <w:trPr>
          <w:trHeight w:val="28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3"/>
          </w:tcPr>
          <w:p>
            <w:pPr>
              <w:ind w:left="380"/>
              <w:spacing w:after="0"/>
              <w:rPr>
                <w:sz w:val="20"/>
                <w:szCs w:val="20"/>
                <w:color w:val="auto"/>
              </w:rPr>
            </w:pPr>
            <w:r>
              <w:rPr>
                <w:rFonts w:ascii="Arial" w:cs="Arial" w:eastAsia="Arial" w:hAnsi="Arial"/>
                <w:sz w:val="20"/>
                <w:szCs w:val="20"/>
                <w:color w:val="auto"/>
              </w:rPr>
              <w:t>Additional retainer for Gov Committee chair:</w:t>
            </w:r>
          </w:p>
        </w:tc>
        <w:tc>
          <w:tcPr>
            <w:tcW w:w="2480" w:type="dxa"/>
            <w:vAlign w:val="bottom"/>
          </w:tcPr>
          <w:p>
            <w:pPr>
              <w:jc w:val="right"/>
              <w:ind w:right="1441"/>
              <w:spacing w:after="0"/>
              <w:rPr>
                <w:sz w:val="20"/>
                <w:szCs w:val="20"/>
                <w:color w:val="auto"/>
              </w:rPr>
            </w:pPr>
            <w:r>
              <w:rPr>
                <w:rFonts w:ascii="Arial" w:cs="Arial" w:eastAsia="Arial" w:hAnsi="Arial"/>
                <w:sz w:val="20"/>
                <w:szCs w:val="20"/>
                <w:color w:val="auto"/>
              </w:rPr>
              <w:t>$20,000</w:t>
            </w:r>
          </w:p>
        </w:tc>
      </w:tr>
      <w:tr>
        <w:trPr>
          <w:trHeight w:val="28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40" w:type="dxa"/>
            <w:vAlign w:val="bottom"/>
            <w:gridSpan w:val="3"/>
          </w:tcPr>
          <w:p>
            <w:pPr>
              <w:ind w:left="380"/>
              <w:spacing w:after="0"/>
              <w:rPr>
                <w:sz w:val="20"/>
                <w:szCs w:val="20"/>
                <w:color w:val="auto"/>
              </w:rPr>
            </w:pPr>
            <w:r>
              <w:rPr>
                <w:rFonts w:ascii="Arial" w:cs="Arial" w:eastAsia="Arial" w:hAnsi="Arial"/>
                <w:sz w:val="20"/>
                <w:szCs w:val="20"/>
                <w:color w:val="auto"/>
              </w:rPr>
              <w:t>Additional retainer for Policy Committee chair:</w:t>
            </w:r>
          </w:p>
        </w:tc>
        <w:tc>
          <w:tcPr>
            <w:tcW w:w="2480" w:type="dxa"/>
            <w:vAlign w:val="bottom"/>
          </w:tcPr>
          <w:p>
            <w:pPr>
              <w:jc w:val="right"/>
              <w:ind w:right="1441"/>
              <w:spacing w:after="0"/>
              <w:rPr>
                <w:sz w:val="20"/>
                <w:szCs w:val="20"/>
                <w:color w:val="auto"/>
              </w:rPr>
            </w:pPr>
            <w:r>
              <w:rPr>
                <w:rFonts w:ascii="Arial" w:cs="Arial" w:eastAsia="Arial" w:hAnsi="Arial"/>
                <w:sz w:val="20"/>
                <w:szCs w:val="20"/>
                <w:color w:val="auto"/>
              </w:rPr>
              <w:t>$20,000</w:t>
            </w:r>
          </w:p>
        </w:tc>
      </w:tr>
      <w:tr>
        <w:trPr>
          <w:trHeight w:val="465"/>
        </w:trPr>
        <w:tc>
          <w:tcPr>
            <w:tcW w:w="2360" w:type="dxa"/>
            <w:vAlign w:val="bottom"/>
          </w:tcPr>
          <w:p>
            <w:pPr>
              <w:spacing w:after="0"/>
              <w:rPr>
                <w:sz w:val="20"/>
                <w:szCs w:val="20"/>
                <w:color w:val="auto"/>
              </w:rPr>
            </w:pPr>
            <w:r>
              <w:rPr>
                <w:rFonts w:ascii="Arial" w:cs="Arial" w:eastAsia="Arial" w:hAnsi="Arial"/>
                <w:sz w:val="20"/>
                <w:szCs w:val="20"/>
                <w:i w:val="1"/>
                <w:iCs w:val="1"/>
                <w:color w:val="auto"/>
              </w:rPr>
              <w:t>Equity Gran</w:t>
            </w:r>
            <w:r>
              <w:rPr>
                <w:rFonts w:ascii="Arial" w:cs="Arial" w:eastAsia="Arial" w:hAnsi="Arial"/>
                <w:sz w:val="20"/>
                <w:szCs w:val="20"/>
                <w:color w:val="auto"/>
              </w:rPr>
              <w:t>t:</w:t>
            </w:r>
          </w:p>
        </w:tc>
        <w:tc>
          <w:tcPr>
            <w:tcW w:w="8880" w:type="dxa"/>
            <w:vAlign w:val="bottom"/>
            <w:gridSpan w:val="5"/>
          </w:tcPr>
          <w:p>
            <w:pPr>
              <w:spacing w:after="0"/>
              <w:rPr>
                <w:sz w:val="20"/>
                <w:szCs w:val="20"/>
                <w:color w:val="auto"/>
              </w:rPr>
            </w:pPr>
            <w:r>
              <w:rPr>
                <w:rFonts w:ascii="Arial" w:cs="Arial" w:eastAsia="Arial" w:hAnsi="Arial"/>
                <w:sz w:val="20"/>
                <w:szCs w:val="20"/>
                <w:color w:val="auto"/>
                <w:w w:val="93"/>
              </w:rPr>
              <w:t>Directors are awarded an annual equity grant of $160,000 in deferred stock units (“Automatic Stock Units”),</w:t>
            </w:r>
          </w:p>
        </w:tc>
      </w:tr>
      <w:tr>
        <w:trPr>
          <w:trHeight w:val="229"/>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2"/>
              </w:rPr>
              <w:t>awarded annually on the day of the Company’s Annual Meeting of Shareholders. The Automatic Stock Units</w:t>
            </w:r>
          </w:p>
        </w:tc>
      </w:tr>
      <w:tr>
        <w:trPr>
          <w:trHeight w:val="229"/>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3"/>
              </w:rPr>
              <w:t>will vest on the one year anniversary of the grant date. Directors may elect to have all or any portion of their</w:t>
            </w:r>
          </w:p>
        </w:tc>
      </w:tr>
      <w:tr>
        <w:trPr>
          <w:trHeight w:val="230"/>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2"/>
              </w:rPr>
              <w:t>Automatic Stock Units paid on (A) the earlier of (i) the beginning of a specified calendar year after the vesting</w:t>
            </w:r>
          </w:p>
        </w:tc>
      </w:tr>
      <w:tr>
        <w:trPr>
          <w:trHeight w:val="250"/>
        </w:trPr>
        <w:tc>
          <w:tcPr>
            <w:tcW w:w="2360" w:type="dxa"/>
            <w:vAlign w:val="bottom"/>
          </w:tcPr>
          <w:p>
            <w:pPr>
              <w:spacing w:after="0"/>
              <w:rPr>
                <w:sz w:val="21"/>
                <w:szCs w:val="21"/>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rPr>
              <w:t>date or (ii) their separation from service as a member of the Board or (B) the vesting date.</w:t>
            </w:r>
          </w:p>
        </w:tc>
      </w:tr>
      <w:tr>
        <w:trPr>
          <w:trHeight w:val="438"/>
        </w:trPr>
        <w:tc>
          <w:tcPr>
            <w:tcW w:w="2360" w:type="dxa"/>
            <w:vAlign w:val="bottom"/>
          </w:tcPr>
          <w:p>
            <w:pPr>
              <w:spacing w:after="0"/>
              <w:rPr>
                <w:sz w:val="20"/>
                <w:szCs w:val="20"/>
                <w:color w:val="auto"/>
              </w:rPr>
            </w:pPr>
            <w:r>
              <w:rPr>
                <w:rFonts w:ascii="Arial" w:cs="Arial" w:eastAsia="Arial" w:hAnsi="Arial"/>
                <w:sz w:val="20"/>
                <w:szCs w:val="20"/>
                <w:i w:val="1"/>
                <w:iCs w:val="1"/>
                <w:color w:val="auto"/>
              </w:rPr>
              <w:t>Deferral of Cash Retainer</w:t>
            </w:r>
            <w:r>
              <w:rPr>
                <w:rFonts w:ascii="Arial" w:cs="Arial" w:eastAsia="Arial" w:hAnsi="Arial"/>
                <w:sz w:val="20"/>
                <w:szCs w:val="20"/>
                <w:color w:val="auto"/>
              </w:rPr>
              <w:t>:</w:t>
            </w:r>
          </w:p>
        </w:tc>
        <w:tc>
          <w:tcPr>
            <w:tcW w:w="8880" w:type="dxa"/>
            <w:vAlign w:val="bottom"/>
            <w:gridSpan w:val="5"/>
          </w:tcPr>
          <w:p>
            <w:pPr>
              <w:spacing w:after="0"/>
              <w:rPr>
                <w:sz w:val="20"/>
                <w:szCs w:val="20"/>
                <w:color w:val="auto"/>
              </w:rPr>
            </w:pPr>
            <w:r>
              <w:rPr>
                <w:rFonts w:ascii="Arial" w:cs="Arial" w:eastAsia="Arial" w:hAnsi="Arial"/>
                <w:sz w:val="20"/>
                <w:szCs w:val="20"/>
                <w:color w:val="auto"/>
                <w:w w:val="94"/>
              </w:rPr>
              <w:t>Directors may elect to defer payment of all or a portion of their cash retainer fees and any other committee</w:t>
            </w:r>
          </w:p>
        </w:tc>
      </w:tr>
      <w:tr>
        <w:trPr>
          <w:trHeight w:val="229"/>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1"/>
              </w:rPr>
              <w:t>retainer fees into a deferred stock unit account (“Elective Stock Units”). Elective Stock Units are awarded on a</w:t>
            </w:r>
          </w:p>
        </w:tc>
      </w:tr>
      <w:tr>
        <w:trPr>
          <w:trHeight w:val="230"/>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3"/>
              </w:rPr>
              <w:t>calendar quarterly basis. Directors may elect to have all or a portion of their Elective Stock Units paid on the</w:t>
            </w:r>
          </w:p>
        </w:tc>
      </w:tr>
      <w:tr>
        <w:trPr>
          <w:trHeight w:val="230"/>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1"/>
              </w:rPr>
              <w:t>earlier of (i) the beginning of a specified calendar year or (ii) their separation from service as a member of the</w:t>
            </w:r>
          </w:p>
        </w:tc>
      </w:tr>
      <w:tr>
        <w:trPr>
          <w:trHeight w:val="250"/>
        </w:trPr>
        <w:tc>
          <w:tcPr>
            <w:tcW w:w="2360" w:type="dxa"/>
            <w:vAlign w:val="bottom"/>
          </w:tcPr>
          <w:p>
            <w:pPr>
              <w:spacing w:after="0"/>
              <w:rPr>
                <w:sz w:val="21"/>
                <w:szCs w:val="21"/>
                <w:color w:val="auto"/>
              </w:rPr>
            </w:pPr>
          </w:p>
        </w:tc>
        <w:tc>
          <w:tcPr>
            <w:tcW w:w="6400" w:type="dxa"/>
            <w:vAlign w:val="bottom"/>
            <w:gridSpan w:val="4"/>
          </w:tcPr>
          <w:p>
            <w:pPr>
              <w:spacing w:after="0"/>
              <w:rPr>
                <w:sz w:val="20"/>
                <w:szCs w:val="20"/>
                <w:color w:val="auto"/>
              </w:rPr>
            </w:pPr>
            <w:r>
              <w:rPr>
                <w:rFonts w:ascii="Arial" w:cs="Arial" w:eastAsia="Arial" w:hAnsi="Arial"/>
                <w:sz w:val="20"/>
                <w:szCs w:val="20"/>
                <w:color w:val="auto"/>
              </w:rPr>
              <w:t>Board.</w:t>
            </w:r>
          </w:p>
        </w:tc>
        <w:tc>
          <w:tcPr>
            <w:tcW w:w="2480" w:type="dxa"/>
            <w:vAlign w:val="bottom"/>
          </w:tcPr>
          <w:p>
            <w:pPr>
              <w:spacing w:after="0"/>
              <w:rPr>
                <w:sz w:val="21"/>
                <w:szCs w:val="21"/>
                <w:color w:val="auto"/>
              </w:rPr>
            </w:pPr>
          </w:p>
        </w:tc>
      </w:tr>
      <w:tr>
        <w:trPr>
          <w:trHeight w:val="438"/>
        </w:trPr>
        <w:tc>
          <w:tcPr>
            <w:tcW w:w="2360" w:type="dxa"/>
            <w:vAlign w:val="bottom"/>
          </w:tcPr>
          <w:p>
            <w:pPr>
              <w:spacing w:after="0"/>
              <w:rPr>
                <w:sz w:val="20"/>
                <w:szCs w:val="20"/>
                <w:color w:val="auto"/>
              </w:rPr>
            </w:pPr>
            <w:r>
              <w:rPr>
                <w:rFonts w:ascii="Arial" w:cs="Arial" w:eastAsia="Arial" w:hAnsi="Arial"/>
                <w:sz w:val="20"/>
                <w:szCs w:val="20"/>
                <w:i w:val="1"/>
                <w:iCs w:val="1"/>
                <w:color w:val="auto"/>
                <w:w w:val="99"/>
              </w:rPr>
              <w:t>Elective Deferral Program</w:t>
            </w:r>
            <w:r>
              <w:rPr>
                <w:rFonts w:ascii="Arial" w:cs="Arial" w:eastAsia="Arial" w:hAnsi="Arial"/>
                <w:sz w:val="20"/>
                <w:szCs w:val="20"/>
                <w:color w:val="auto"/>
                <w:w w:val="99"/>
              </w:rPr>
              <w:t>:</w:t>
            </w:r>
          </w:p>
        </w:tc>
        <w:tc>
          <w:tcPr>
            <w:tcW w:w="8880" w:type="dxa"/>
            <w:vAlign w:val="bottom"/>
            <w:gridSpan w:val="5"/>
          </w:tcPr>
          <w:p>
            <w:pPr>
              <w:spacing w:after="0"/>
              <w:rPr>
                <w:sz w:val="20"/>
                <w:szCs w:val="20"/>
                <w:color w:val="auto"/>
              </w:rPr>
            </w:pPr>
            <w:r>
              <w:rPr>
                <w:rFonts w:ascii="Arial" w:cs="Arial" w:eastAsia="Arial" w:hAnsi="Arial"/>
                <w:sz w:val="20"/>
                <w:szCs w:val="20"/>
                <w:color w:val="auto"/>
                <w:w w:val="95"/>
              </w:rPr>
              <w:t>Directors may elect to defer to a later year all or a portion of their annual cash retainer and any other fees</w:t>
            </w:r>
          </w:p>
        </w:tc>
      </w:tr>
      <w:tr>
        <w:trPr>
          <w:trHeight w:val="230"/>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7"/>
              </w:rPr>
              <w:t>payable for their Board service into alternative investment options similar to the options available under</w:t>
            </w:r>
          </w:p>
        </w:tc>
      </w:tr>
      <w:tr>
        <w:trPr>
          <w:trHeight w:val="250"/>
        </w:trPr>
        <w:tc>
          <w:tcPr>
            <w:tcW w:w="2360" w:type="dxa"/>
            <w:vAlign w:val="bottom"/>
          </w:tcPr>
          <w:p>
            <w:pPr>
              <w:spacing w:after="0"/>
              <w:rPr>
                <w:sz w:val="21"/>
                <w:szCs w:val="21"/>
                <w:color w:val="auto"/>
              </w:rPr>
            </w:pPr>
          </w:p>
        </w:tc>
        <w:tc>
          <w:tcPr>
            <w:tcW w:w="6400" w:type="dxa"/>
            <w:vAlign w:val="bottom"/>
            <w:gridSpan w:val="4"/>
          </w:tcPr>
          <w:p>
            <w:pPr>
              <w:spacing w:after="0"/>
              <w:rPr>
                <w:sz w:val="20"/>
                <w:szCs w:val="20"/>
                <w:color w:val="auto"/>
              </w:rPr>
            </w:pPr>
            <w:r>
              <w:rPr>
                <w:rFonts w:ascii="Arial" w:cs="Arial" w:eastAsia="Arial" w:hAnsi="Arial"/>
                <w:sz w:val="20"/>
                <w:szCs w:val="20"/>
                <w:color w:val="auto"/>
              </w:rPr>
              <w:t>Northrop Grumman’s Savings Excess Plan.</w:t>
            </w:r>
          </w:p>
        </w:tc>
        <w:tc>
          <w:tcPr>
            <w:tcW w:w="2480" w:type="dxa"/>
            <w:vAlign w:val="bottom"/>
          </w:tcPr>
          <w:p>
            <w:pPr>
              <w:spacing w:after="0"/>
              <w:rPr>
                <w:sz w:val="21"/>
                <w:szCs w:val="21"/>
                <w:color w:val="auto"/>
              </w:rPr>
            </w:pPr>
          </w:p>
        </w:tc>
      </w:tr>
      <w:tr>
        <w:trPr>
          <w:trHeight w:val="438"/>
        </w:trPr>
        <w:tc>
          <w:tcPr>
            <w:tcW w:w="2360" w:type="dxa"/>
            <w:vAlign w:val="bottom"/>
          </w:tcPr>
          <w:p>
            <w:pPr>
              <w:spacing w:after="0"/>
              <w:rPr>
                <w:sz w:val="20"/>
                <w:szCs w:val="20"/>
                <w:color w:val="auto"/>
              </w:rPr>
            </w:pPr>
            <w:r>
              <w:rPr>
                <w:rFonts w:ascii="Arial" w:cs="Arial" w:eastAsia="Arial" w:hAnsi="Arial"/>
                <w:sz w:val="20"/>
                <w:szCs w:val="20"/>
                <w:i w:val="1"/>
                <w:iCs w:val="1"/>
                <w:color w:val="auto"/>
              </w:rPr>
              <w:t>Stock Ownership</w:t>
            </w:r>
            <w:r>
              <w:rPr>
                <w:rFonts w:ascii="Arial" w:cs="Arial" w:eastAsia="Arial" w:hAnsi="Arial"/>
                <w:sz w:val="20"/>
                <w:szCs w:val="20"/>
                <w:color w:val="auto"/>
              </w:rPr>
              <w:t>:</w:t>
            </w:r>
          </w:p>
        </w:tc>
        <w:tc>
          <w:tcPr>
            <w:tcW w:w="8880" w:type="dxa"/>
            <w:vAlign w:val="bottom"/>
            <w:gridSpan w:val="5"/>
          </w:tcPr>
          <w:p>
            <w:pPr>
              <w:spacing w:after="0"/>
              <w:rPr>
                <w:sz w:val="20"/>
                <w:szCs w:val="20"/>
                <w:color w:val="auto"/>
              </w:rPr>
            </w:pPr>
            <w:r>
              <w:rPr>
                <w:rFonts w:ascii="Arial" w:cs="Arial" w:eastAsia="Arial" w:hAnsi="Arial"/>
                <w:sz w:val="20"/>
                <w:szCs w:val="20"/>
                <w:color w:val="auto"/>
                <w:w w:val="90"/>
              </w:rPr>
              <w:t>All directors are required to own Company stock in an amount equal to five times the annual cash retainer, with</w:t>
            </w:r>
          </w:p>
        </w:tc>
      </w:tr>
      <w:tr>
        <w:trPr>
          <w:trHeight w:val="230"/>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2"/>
              </w:rPr>
              <w:t>such ownership to be achieved within five years of the later of (i) May 18, 2011 or (ii) the director’s election to</w:t>
            </w:r>
          </w:p>
        </w:tc>
      </w:tr>
      <w:tr>
        <w:trPr>
          <w:trHeight w:val="230"/>
        </w:trPr>
        <w:tc>
          <w:tcPr>
            <w:tcW w:w="236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5"/>
              </w:rPr>
              <w:t>the Board. Deferred stock units and Company stock owned outright by the director will count towards this</w:t>
            </w:r>
          </w:p>
        </w:tc>
      </w:tr>
      <w:tr>
        <w:trPr>
          <w:trHeight w:val="250"/>
        </w:trPr>
        <w:tc>
          <w:tcPr>
            <w:tcW w:w="2360" w:type="dxa"/>
            <w:vAlign w:val="bottom"/>
          </w:tcPr>
          <w:p>
            <w:pPr>
              <w:spacing w:after="0"/>
              <w:rPr>
                <w:sz w:val="21"/>
                <w:szCs w:val="21"/>
                <w:color w:val="auto"/>
              </w:rPr>
            </w:pPr>
          </w:p>
        </w:tc>
        <w:tc>
          <w:tcPr>
            <w:tcW w:w="6400" w:type="dxa"/>
            <w:vAlign w:val="bottom"/>
            <w:gridSpan w:val="4"/>
          </w:tcPr>
          <w:p>
            <w:pPr>
              <w:spacing w:after="0"/>
              <w:rPr>
                <w:sz w:val="20"/>
                <w:szCs w:val="20"/>
                <w:color w:val="auto"/>
              </w:rPr>
            </w:pPr>
            <w:r>
              <w:rPr>
                <w:rFonts w:ascii="Arial" w:cs="Arial" w:eastAsia="Arial" w:hAnsi="Arial"/>
                <w:sz w:val="20"/>
                <w:szCs w:val="20"/>
                <w:color w:val="auto"/>
              </w:rPr>
              <w:t>requirement.</w:t>
            </w:r>
          </w:p>
        </w:tc>
        <w:tc>
          <w:tcPr>
            <w:tcW w:w="2480" w:type="dxa"/>
            <w:vAlign w:val="bottom"/>
          </w:tcPr>
          <w:p>
            <w:pPr>
              <w:spacing w:after="0"/>
              <w:rPr>
                <w:sz w:val="21"/>
                <w:szCs w:val="21"/>
                <w:color w:val="auto"/>
              </w:rPr>
            </w:pPr>
          </w:p>
        </w:tc>
      </w:tr>
      <w:tr>
        <w:trPr>
          <w:trHeight w:val="414"/>
        </w:trPr>
        <w:tc>
          <w:tcPr>
            <w:tcW w:w="2360" w:type="dxa"/>
            <w:vAlign w:val="bottom"/>
          </w:tcPr>
          <w:p>
            <w:pPr>
              <w:spacing w:after="0"/>
              <w:rPr>
                <w:sz w:val="20"/>
                <w:szCs w:val="20"/>
                <w:color w:val="auto"/>
              </w:rPr>
            </w:pPr>
            <w:r>
              <w:rPr>
                <w:rFonts w:ascii="Arial" w:cs="Arial" w:eastAsia="Arial" w:hAnsi="Arial"/>
                <w:sz w:val="20"/>
                <w:szCs w:val="20"/>
                <w:i w:val="1"/>
                <w:iCs w:val="1"/>
                <w:color w:val="auto"/>
              </w:rPr>
              <w:t>Expenses</w:t>
            </w:r>
            <w:r>
              <w:rPr>
                <w:rFonts w:ascii="Arial" w:cs="Arial" w:eastAsia="Arial" w:hAnsi="Arial"/>
                <w:sz w:val="20"/>
                <w:szCs w:val="20"/>
                <w:color w:val="auto"/>
              </w:rPr>
              <w:t>:</w:t>
            </w: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Transportation</w:t>
            </w:r>
          </w:p>
        </w:tc>
        <w:tc>
          <w:tcPr>
            <w:tcW w:w="5240" w:type="dxa"/>
            <w:vAlign w:val="bottom"/>
            <w:gridSpan w:val="3"/>
          </w:tcPr>
          <w:p>
            <w:pPr>
              <w:spacing w:after="0"/>
              <w:rPr>
                <w:sz w:val="24"/>
                <w:szCs w:val="24"/>
                <w:color w:val="auto"/>
              </w:rPr>
            </w:pPr>
          </w:p>
        </w:tc>
        <w:tc>
          <w:tcPr>
            <w:tcW w:w="2480" w:type="dxa"/>
            <w:vAlign w:val="bottom"/>
          </w:tcPr>
          <w:p>
            <w:pPr>
              <w:spacing w:after="0"/>
              <w:rPr>
                <w:sz w:val="24"/>
                <w:szCs w:val="24"/>
                <w:color w:val="auto"/>
              </w:rPr>
            </w:pPr>
          </w:p>
        </w:tc>
      </w:tr>
      <w:tr>
        <w:trPr>
          <w:trHeight w:val="233"/>
        </w:trPr>
        <w:tc>
          <w:tcPr>
            <w:tcW w:w="2360" w:type="dxa"/>
            <w:vAlign w:val="bottom"/>
          </w:tcPr>
          <w:p>
            <w:pPr>
              <w:spacing w:after="0"/>
              <w:rPr>
                <w:sz w:val="20"/>
                <w:szCs w:val="20"/>
                <w:color w:val="auto"/>
              </w:rPr>
            </w:pPr>
          </w:p>
        </w:tc>
        <w:tc>
          <w:tcPr>
            <w:tcW w:w="8880" w:type="dxa"/>
            <w:vAlign w:val="bottom"/>
            <w:gridSpan w:val="5"/>
          </w:tcPr>
          <w:p>
            <w:pPr>
              <w:spacing w:after="0"/>
              <w:rPr>
                <w:sz w:val="20"/>
                <w:szCs w:val="20"/>
                <w:color w:val="auto"/>
              </w:rPr>
            </w:pPr>
            <w:r>
              <w:rPr>
                <w:rFonts w:ascii="Arial" w:cs="Arial" w:eastAsia="Arial" w:hAnsi="Arial"/>
                <w:sz w:val="20"/>
                <w:szCs w:val="20"/>
                <w:color w:val="auto"/>
                <w:w w:val="95"/>
              </w:rPr>
              <w:t>Ordinary and necessary business expenses will be reimbursed to traveling directors after presentation of</w:t>
            </w:r>
          </w:p>
        </w:tc>
      </w:tr>
      <w:tr>
        <w:trPr>
          <w:trHeight w:val="250"/>
        </w:trPr>
        <w:tc>
          <w:tcPr>
            <w:tcW w:w="2360" w:type="dxa"/>
            <w:vAlign w:val="bottom"/>
          </w:tcPr>
          <w:p>
            <w:pPr>
              <w:spacing w:after="0"/>
              <w:rPr>
                <w:sz w:val="21"/>
                <w:szCs w:val="21"/>
                <w:color w:val="auto"/>
              </w:rPr>
            </w:pPr>
          </w:p>
        </w:tc>
        <w:tc>
          <w:tcPr>
            <w:tcW w:w="6400" w:type="dxa"/>
            <w:vAlign w:val="bottom"/>
            <w:gridSpan w:val="4"/>
          </w:tcPr>
          <w:p>
            <w:pPr>
              <w:spacing w:after="0"/>
              <w:rPr>
                <w:sz w:val="20"/>
                <w:szCs w:val="20"/>
                <w:color w:val="auto"/>
              </w:rPr>
            </w:pPr>
            <w:r>
              <w:rPr>
                <w:rFonts w:ascii="Arial" w:cs="Arial" w:eastAsia="Arial" w:hAnsi="Arial"/>
                <w:sz w:val="20"/>
                <w:szCs w:val="20"/>
                <w:color w:val="auto"/>
              </w:rPr>
              <w:t>original receipts to the company. Directors</w:t>
            </w:r>
          </w:p>
        </w:tc>
        <w:tc>
          <w:tcPr>
            <w:tcW w:w="2480" w:type="dxa"/>
            <w:vAlign w:val="bottom"/>
          </w:tcPr>
          <w:p>
            <w:pPr>
              <w:spacing w:after="0"/>
              <w:rPr>
                <w:sz w:val="21"/>
                <w:szCs w:val="21"/>
                <w:color w:val="auto"/>
              </w:rPr>
            </w:pPr>
          </w:p>
        </w:tc>
      </w:tr>
    </w:tbl>
    <w:p>
      <w:pPr>
        <w:sectPr>
          <w:pgSz w:w="11900" w:h="16838" w:orient="portrait"/>
          <w:cols w:equalWidth="0" w:num="1">
            <w:col w:w="11240"/>
          </w:cols>
          <w:pgMar w:left="320" w:top="339" w:right="339" w:bottom="1440" w:gutter="0" w:footer="0" w:header="0"/>
        </w:sectPr>
      </w:pPr>
    </w:p>
    <w:bookmarkStart w:id="39" w:name="page40"/>
    <w:bookmarkEnd w:id="39"/>
    <w:p>
      <w:pPr>
        <w:ind w:left="1240" w:right="20"/>
        <w:spacing w:after="0" w:line="316" w:lineRule="auto"/>
        <w:rPr>
          <w:sz w:val="20"/>
          <w:szCs w:val="20"/>
          <w:color w:val="auto"/>
        </w:rPr>
      </w:pPr>
      <w:r>
        <w:rPr>
          <w:rFonts w:ascii="Arial" w:cs="Arial" w:eastAsia="Arial" w:hAnsi="Arial"/>
          <w:sz w:val="16"/>
          <w:szCs w:val="16"/>
          <w:color w:val="auto"/>
        </w:rPr>
        <w:t>will be reimbursed for round trip first class air travel from the director’s regular place of business or residence. Whenever possible, directors will be transported to board meetings by our own company aircraft. Surface travel will be reimbursed at the current mileage allowance for traveling executives. Currently, that rate is 58 cents per mile, if the director is driving locally. Taxi service will be reimbursed upon presentation of a receipt. Northrop Grumman arranges drivers from an executive security service to transport directors between the airport and the hotel currently in use and Northrop Grumman drivers transport directors from the hotel to the meeting location.</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20"/>
          <w:szCs w:val="20"/>
          <w:u w:val="single" w:color="auto"/>
          <w:color w:val="auto"/>
        </w:rPr>
        <w:t>Hotels</w:t>
      </w:r>
    </w:p>
    <w:p>
      <w:pPr>
        <w:spacing w:after="0" w:line="16" w:lineRule="exact"/>
        <w:rPr>
          <w:sz w:val="20"/>
          <w:szCs w:val="20"/>
          <w:color w:val="auto"/>
        </w:rPr>
      </w:pPr>
    </w:p>
    <w:p>
      <w:pPr>
        <w:ind w:left="1240"/>
        <w:spacing w:after="0" w:line="241" w:lineRule="auto"/>
        <w:rPr>
          <w:sz w:val="20"/>
          <w:szCs w:val="20"/>
          <w:color w:val="auto"/>
        </w:rPr>
      </w:pPr>
      <w:r>
        <w:rPr>
          <w:rFonts w:ascii="Arial" w:cs="Arial" w:eastAsia="Arial" w:hAnsi="Arial"/>
          <w:sz w:val="20"/>
          <w:szCs w:val="20"/>
          <w:color w:val="auto"/>
        </w:rPr>
        <w:t>The Corporate Secretary’s office will make hotel arrangements for directors in connection with the board and committee meetings. Drivers are available to transport directors to the board and committee meetings. Directors may bill their room charges directly to the Northrop Grumman master account that has been established for director visits.</w:t>
      </w:r>
    </w:p>
    <w:p>
      <w:pPr>
        <w:sectPr>
          <w:pgSz w:w="11900" w:h="16838" w:orient="portrait"/>
          <w:cols w:equalWidth="0" w:num="1">
            <w:col w:w="10100"/>
          </w:cols>
          <w:pgMar w:left="1440" w:top="33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June 30, 2020, and 2019, as indicated in our report dated July 29, 2020; because we did not perform an audit, we expressed no opinion on that information.</w:t>
      </w:r>
    </w:p>
    <w:p>
      <w:pPr>
        <w:spacing w:after="0" w:line="4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June 30, 2020, is incorporated by reference in Registration Statement Nos. 033-59815, 033-59853, 333-67266, 333-100179, 333-107734, 333-121104, 333-125120, 333-127317, and 333-175798 on Form S-8; and Registration Statement No. 333-237504 on Form S-3.</w:t>
      </w:r>
    </w:p>
    <w:p>
      <w:pPr>
        <w:spacing w:after="0" w:line="49"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29, 2020</w:t>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460" w:hanging="644"/>
        <w:spacing w:after="0" w:line="334"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1300" w:right="18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29,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460" w:hanging="644"/>
        <w:spacing w:after="0" w:line="334"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1300" w:right="180" w:hanging="644"/>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29,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David F. Keffer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55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June 30, 2020,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29,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55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June 30, 2020,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29,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David F. Keffer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1."/>
      <w:numFmt w:val="decimal"/>
      <w:start w:val="6"/>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7"/>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9"/>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amp;"/>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1" Type="http://schemas.openxmlformats.org/officeDocument/2006/relationships/hyperlink" Target="http://www.sec.gov/Archives/edgar/data/1133421/000095012311032455/v59140exv10w1.htm" TargetMode="External"/><Relationship Id="rId12" Type="http://schemas.openxmlformats.org/officeDocument/2006/relationships/hyperlink" Target="http://www.sec.gov/Archives/edgar/data/1133421/000095012311032455/v59140exv10w2.htm" TargetMode="External"/><Relationship Id="rId13" Type="http://schemas.openxmlformats.org/officeDocument/2006/relationships/hyperlink" Target="http://www.sec.gov/Archives/edgar/data/1133421/000095015717001299/ex2-1.htm" TargetMode="External"/><Relationship Id="rId14" Type="http://schemas.openxmlformats.org/officeDocument/2006/relationships/hyperlink" Target="http://www.sec.gov/Archives/edgar/data/866121/00009501571400042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2020-07-30T05:44:22Z</dcterms:created>
  <dcterms:modified xsi:type="dcterms:W3CDTF">2020-07-30T05:44:22Z</dcterms:modified>
</cp:coreProperties>
</file>