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19685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2" w:lineRule="exact"/>
        <w:rPr>
          <w:sz w:val="24"/>
          <w:szCs w:val="24"/>
          <w:color w:val="auto"/>
        </w:rPr>
      </w:pPr>
    </w:p>
    <w:p>
      <w:pPr>
        <w:ind w:left="1380" w:right="2000" w:hanging="825"/>
        <w:spacing w:after="0" w:line="236"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or</w:t>
      </w:r>
    </w:p>
    <w:p>
      <w:pPr>
        <w:spacing w:after="0" w:line="111" w:lineRule="exact"/>
        <w:rPr>
          <w:sz w:val="24"/>
          <w:szCs w:val="24"/>
          <w:color w:val="auto"/>
        </w:rPr>
      </w:pPr>
    </w:p>
    <w:p>
      <w:pPr>
        <w:ind w:left="1380" w:right="1980" w:hanging="825"/>
        <w:spacing w:after="0" w:line="236" w:lineRule="auto"/>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1-16411</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NORTHROP GRUMMAN CORPORATION</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80-0640649</w:t>
            </w:r>
          </w:p>
        </w:tc>
      </w:tr>
      <w:tr>
        <w:trPr>
          <w:trHeight w:val="180"/>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tcPr>
          <w:p>
            <w:pPr>
              <w:jc w:val="center"/>
              <w:ind w:right="131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1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7"/>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2980 Fairview Park Drive</w:t>
            </w:r>
          </w:p>
        </w:tc>
        <w:tc>
          <w:tcPr>
            <w:tcW w:w="4140" w:type="dxa"/>
            <w:vAlign w:val="bottom"/>
          </w:tcPr>
          <w:p>
            <w:pPr>
              <w:spacing w:after="0"/>
              <w:rPr>
                <w:sz w:val="24"/>
                <w:szCs w:val="24"/>
                <w:color w:val="auto"/>
              </w:rPr>
            </w:pPr>
          </w:p>
        </w:tc>
      </w:t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7"/>
              </w:rPr>
              <w:t>Falls Church, Virginia</w:t>
            </w:r>
          </w:p>
        </w:tc>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22042</w:t>
            </w:r>
          </w:p>
        </w:tc>
      </w:tr>
      <w:tr>
        <w:trPr>
          <w:trHeight w:val="234"/>
        </w:trPr>
        <w:tc>
          <w:tcPr>
            <w:tcW w:w="712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(703) 280-2900</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17"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ind w:left="80"/>
        <w:spacing w:after="0" w:line="207" w:lineRule="exact"/>
        <w:tabs>
          <w:tab w:leader="none" w:pos="22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0" w:lineRule="exact"/>
        <w:rPr>
          <w:sz w:val="24"/>
          <w:szCs w:val="24"/>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8"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9"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21, 2024, 145,695,342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9"/>
          </w:tcPr>
          <w:p>
            <w:pPr>
              <w:jc w:val="center"/>
              <w:ind w:right="37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Position</w:t>
            </w:r>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w:t>
            </w:r>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154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Basis of Presentation</w:t>
            </w:r>
          </w:p>
        </w:tc>
        <w:tc>
          <w:tcPr>
            <w:tcW w:w="1960" w:type="dxa"/>
            <w:vAlign w:val="bottom"/>
            <w:tcBorders>
              <w:top w:val="single" w:sz="8" w:color="0000FF"/>
            </w:tcBorders>
            <w:gridSpan w:val="14"/>
          </w:tcPr>
          <w:p>
            <w:pPr>
              <w:spacing w:after="0"/>
              <w:rPr>
                <w:sz w:val="18"/>
                <w:szCs w:val="18"/>
                <w:color w:val="auto"/>
              </w:rPr>
            </w:pP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c>
          <w:tcPr>
            <w:tcW w:w="534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Earnings Per Share, Share Repurchases and Dividends on Common Stock</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16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Inventoried Costs, Net</w:t>
            </w:r>
          </w:p>
        </w:tc>
        <w:tc>
          <w:tcPr>
            <w:tcW w:w="3680" w:type="dxa"/>
            <w:vAlign w:val="bottom"/>
            <w:gridSpan w:val="21"/>
          </w:tcPr>
          <w:p>
            <w:pPr>
              <w:spacing w:after="0"/>
              <w:rPr>
                <w:sz w:val="18"/>
                <w:szCs w:val="18"/>
                <w:color w:val="auto"/>
              </w:rPr>
            </w:pP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16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7360" w:type="dxa"/>
            <w:vAlign w:val="bottom"/>
            <w:gridSpan w:val="23"/>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7.</w:t>
            </w:r>
          </w:p>
        </w:tc>
        <w:tc>
          <w:tcPr>
            <w:tcW w:w="242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8.</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9.</w:t>
            </w:r>
          </w:p>
        </w:tc>
        <w:tc>
          <w:tcPr>
            <w:tcW w:w="4860" w:type="dxa"/>
            <w:vAlign w:val="bottom"/>
            <w:tcBorders>
              <w:bottom w:val="single" w:sz="8" w:color="0000FF"/>
            </w:tcBorders>
            <w:gridSpan w:val="27"/>
          </w:tcPr>
          <w:p>
            <w:pPr>
              <w:ind w:left="20"/>
              <w:spacing w:after="0"/>
              <w:rPr>
                <w:sz w:val="20"/>
                <w:szCs w:val="20"/>
                <w:color w:val="auto"/>
              </w:rPr>
            </w:pPr>
            <w:r>
              <w:rPr>
                <w:rFonts w:ascii="Times New Roman" w:cs="Times New Roman" w:eastAsia="Times New Roman" w:hAnsi="Times New Roman"/>
                <w:sz w:val="18"/>
                <w:szCs w:val="18"/>
                <w:color w:val="0000FF"/>
                <w:w w:val="99"/>
              </w:rPr>
              <w:t>Stock Compensation Plans and Other Compensation Arrangements</w:t>
            </w:r>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Overview</w:t>
            </w:r>
          </w:p>
        </w:tc>
        <w:tc>
          <w:tcPr>
            <w:tcW w:w="33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Consolidated Operating Results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Segment Operating Results</w:t>
            </w:r>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3"/>
              </w:rPr>
              <w:t>Backlog</w:t>
            </w:r>
          </w:p>
        </w:tc>
        <w:tc>
          <w:tcPr>
            <w:tcW w:w="1540" w:type="dxa"/>
            <w:vAlign w:val="bottom"/>
            <w:tcBorders>
              <w:top w:val="single" w:sz="8" w:color="0000FF"/>
            </w:tcBorders>
            <w:gridSpan w:val="8"/>
          </w:tcPr>
          <w:p>
            <w:pPr>
              <w:spacing w:after="0"/>
              <w:rPr>
                <w:sz w:val="18"/>
                <w:szCs w:val="18"/>
                <w:color w:val="auto"/>
              </w:rPr>
            </w:pP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Accounting Standards Updates</w:t>
            </w:r>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4"/>
          </w:tcPr>
          <w:p>
            <w:pPr>
              <w:spacing w:after="0"/>
              <w:rPr>
                <w:sz w:val="18"/>
                <w:szCs w:val="18"/>
                <w:color w:val="auto"/>
              </w:rPr>
            </w:pPr>
          </w:p>
        </w:tc>
        <w:tc>
          <w:tcPr>
            <w:tcW w:w="8500" w:type="dxa"/>
            <w:vAlign w:val="bottom"/>
            <w:gridSpan w:val="2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0" w:type="dxa"/>
            <w:vAlign w:val="bottom"/>
            <w:tcBorders>
              <w:top w:val="single" w:sz="8" w:color="0000FF"/>
            </w:tcBorders>
            <w:gridSpan w:val="3"/>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9"/>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65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8"/>
        </w:trPr>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2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10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7,939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7,678</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24,117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22,390</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2,057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6,230</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9,996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9,775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30,347</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28,652</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6,280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19,079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17,738</w:t>
            </w:r>
          </w:p>
        </w:tc>
      </w:tr>
      <w:tr>
        <w:trPr>
          <w:trHeight w:val="230"/>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1,610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4,838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29"/>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3,149</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8,876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8,759</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27,066</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25,722</w:t>
            </w: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1,120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1,188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3,465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1,026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w:t>
            </w: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2,910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03"/>
        </w:trPr>
        <w:tc>
          <w:tcPr>
            <w:tcW w:w="10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19.69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36"/>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147.8</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03"/>
        </w:trPr>
        <w:tc>
          <w:tcPr>
            <w:tcW w:w="10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1,026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2,910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other, net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1,036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 (Unaudited)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1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3,326</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1,609</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6,518</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1,233</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14,332</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$8,517 for 2024 and $7,964 for 2023</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10,078</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1,779</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17,517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2,908</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48,289</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46,544</w:t>
            </w: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2,518</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3,157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5,502</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13,101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$1,589 for 2024 and $70 for 2023</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14,689</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1,821</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2,744</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33,541</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0" w:type="dxa"/>
            <w:vAlign w:val="bottom"/>
          </w:tcPr>
          <w:p>
            <w:pPr>
              <w:spacing w:after="0"/>
              <w:rPr>
                <w:sz w:val="1"/>
                <w:szCs w:val="1"/>
                <w:color w:val="auto"/>
              </w:rPr>
            </w:pPr>
          </w:p>
        </w:tc>
      </w:tr>
      <w:tr>
        <w:trPr>
          <w:trHeight w:val="128"/>
        </w:trPr>
        <w:tc>
          <w:tcPr>
            <w:tcW w:w="7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8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2024—145,813,599</w:t>
            </w:r>
          </w:p>
        </w:tc>
        <w:tc>
          <w:tcPr>
            <w:tcW w:w="620" w:type="dxa"/>
            <w:vAlign w:val="bottom"/>
          </w:tcPr>
          <w:p>
            <w:pPr>
              <w:spacing w:after="0"/>
              <w:rPr>
                <w:sz w:val="16"/>
                <w:szCs w:val="16"/>
                <w:color w:val="auto"/>
              </w:rPr>
            </w:pP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2023—150,109,271</w:t>
            </w:r>
          </w:p>
        </w:tc>
        <w:tc>
          <w:tcPr>
            <w:tcW w:w="6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14,738</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14,748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48,289</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46,544</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bottom w:val="single" w:sz="8" w:color="auto"/>
            </w:tcBorders>
          </w:tcPr>
          <w:p>
            <w:pPr>
              <w:spacing w:after="0"/>
              <w:rPr>
                <w:sz w:val="20"/>
                <w:szCs w:val="20"/>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2,910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Inventoried costs,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1,810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36"/>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minority investment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37"/>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2,495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3,109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3,326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2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2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6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14,301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15,485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14,773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1,026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2,910</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14,738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15,924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14,738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15,924</w:t>
            </w:r>
          </w:p>
        </w:tc>
      </w:tr>
      <w:tr>
        <w:trPr>
          <w:trHeight w:val="223"/>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14,748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15,928</w:t>
            </w: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14,748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r>
      <w:tr>
        <w:trPr>
          <w:trHeight w:val="236"/>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2.06</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5.99</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67"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Effective July 1, 2024, the company realigned the Strategic Deterrent Systems (SDS) division, which includes the Ground-Based Strategic Deterrent (“Sentinel”) program, from Space Systems to Defense Systems. This realignment is reflected in the financial information contained in this report.</w:t>
      </w:r>
    </w:p>
    <w:p>
      <w:pPr>
        <w:spacing w:after="0" w:line="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 For classification of certain current assets and liabilities, we consider the duration of our customer contracts when defining our operating cycle, which is generally longer than one year.</w:t>
      </w:r>
    </w:p>
    <w:p>
      <w:pPr>
        <w:spacing w:after="0" w:line="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Results reported in the financial statements are not necessarily indicative of results that may be expected for the entire year. The financial statements should be read in conjunction with the information contained in the company’s 2023 Annual Report on Form 10-K.</w:t>
      </w:r>
    </w:p>
    <w:p>
      <w:pPr>
        <w:spacing w:after="0" w:line="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2015, the U.S. Air Force awarded Northrop Grumman the B-21 contract, which includes a base contract for engineering and manufacturing development (EMD) and five low-rate initial production (LRIP) options for a baseline total of 21 aircraft. The EMD phase of the program is largely cost type and began at contract award. The LRIP options are largely fixed price and are expected to continue to be awarded and executed through approximately the end of the decade. In addition to the five LRIP options, Northrop Grumman and the U.S. 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Force have established not to exceed (NTE) pricing for additional aircraft up to unit 40. The average NTE value for these subsequent lots is above the average unit price of the five LRIP lots, and the NTE lots include an economic price adjustment clause to help protect against certain inflationary pressures. Final terms, quantity, and pricing for these subsequent lots are not fully negotiated.</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LRIP options. During the third quarter of 2024, we again reviewed our estimated profitability on the program and made no significant changes to the previously recognized loss. The company’s third quarter 2024 results reflect our current best estimate of our cost to complete the LRIP and NTE aircraft, as well as the outcome of ongoing discussions with our suppliers and our customer. If our estimated cost to complete the aircraft changes or our assumptions regarding contract performance, quantities, or funding to mitigate the impact of macroeconomic disruptions are resolved more or less favorably than what we have estimated, our financial position, results of operations and/or cash flows could be materially affected. As of September 30, 2024, the remaining loss accrual is $1.4 billion, of which $946 million is included in Other current liabilities with the remainder included in Other non-current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Sentinel Program</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2020, the U.S. Air Force awarded Northrop Grumman a $13.3 billion contract for the EMD phase of the Sentinel program. In January 2024, the U.S. Air Force provided congressional notification that the Sentinel program was under a Nunn-McCurdy breach review, which is required when total program cost estimates exceed certain defined thresholds. This notification, which had been driven primarily by increases in cost estimates for the Production and Deployment phases, commenced the process to achieve recertification for continuance of the program and update its baseline cost estimates. We are currently executing under a cost-type contract for the EMD phase, and the Production and Deployment phases are yet to be priced and negotiated.</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July 2024, the Sentinel program was recertified for continuation by the DoD upon completion of the Nunn-McCurdy breach review. In connection with the recertification, the DoD directed that the program be restructured, including plans for infrastructure related to the command and launch segment, which was the main driver of the increased cost estimates for the Production and Deployment phases. We are partnering with our customer to establish a new program baseline as part of the restructuring activities.</w:t>
      </w:r>
    </w:p>
    <w:p>
      <w:pPr>
        <w:spacing w:after="0" w:line="5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we reviewed our estimated profitability on the Sentinel program and made no significant changes. The Sentinel EAC incorporates our best estimate of costs to complete the restructured EMD effort; however, if the outcome is more or less favorable than what we have estimated, our financial position, results of operations and/or cash flows could be materially affected.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Habitation and Logistics Outpost (HALO) Program</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In 2021, the National Aeronautics and Space Administration (NASA) awarded Northrop Grumman Phase 5 of the HALO program to complete the design and development of HALO for NASA’s Gateway program. At the request of NASA, Space Systems submitted an engineering change proposal (ECP) during the fourth quarter of 2023 for scope increases and other aspects of the HALO contract largely stemming from evolving Lunar Gateway architecture and mission requirements. </w:t>
      </w:r>
      <w:r>
        <w:rPr>
          <w:rFonts w:ascii="Times New Roman" w:cs="Times New Roman" w:eastAsia="Times New Roman" w:hAnsi="Times New Roman"/>
          <w:sz w:val="18"/>
          <w:szCs w:val="18"/>
          <w:color w:val="212121"/>
        </w:rPr>
        <w:t>During the third quarter of 2024, the company completed its negotiations with NASA and resolved the ECP</w:t>
      </w:r>
      <w:r>
        <w:rPr>
          <w:rFonts w:ascii="Times New Roman" w:cs="Times New Roman" w:eastAsia="Times New Roman" w:hAnsi="Times New Roman"/>
          <w:sz w:val="18"/>
          <w:szCs w:val="18"/>
          <w:color w:val="auto"/>
        </w:rPr>
        <w: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6240" w:type="dxa"/>
            <w:vAlign w:val="bottom"/>
          </w:tcPr>
          <w:p>
            <w:pPr>
              <w:spacing w:after="0"/>
              <w:rPr>
                <w:sz w:val="17"/>
                <w:szCs w:val="17"/>
                <w:color w:val="auto"/>
              </w:rPr>
            </w:pPr>
          </w:p>
        </w:tc>
        <w:tc>
          <w:tcPr>
            <w:tcW w:w="248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color w:val="auto"/>
              </w:rPr>
              <w:t>Three Months Ended September</w:t>
            </w:r>
          </w:p>
        </w:tc>
        <w:tc>
          <w:tcPr>
            <w:tcW w:w="252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color w:val="auto"/>
              </w:rPr>
              <w:t>Nine Months Ended September</w:t>
            </w:r>
          </w:p>
        </w:tc>
      </w:tr>
      <w:tr>
        <w:trPr>
          <w:trHeight w:val="237"/>
        </w:trPr>
        <w:tc>
          <w:tcPr>
            <w:tcW w:w="6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30</w:t>
            </w: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30</w:t>
            </w:r>
          </w:p>
        </w:tc>
        <w:tc>
          <w:tcPr>
            <w:tcW w:w="900" w:type="dxa"/>
            <w:vAlign w:val="bottom"/>
            <w:tcBorders>
              <w:bottom w:val="single" w:sz="8" w:color="auto"/>
            </w:tcBorders>
          </w:tcPr>
          <w:p>
            <w:pPr>
              <w:spacing w:after="0"/>
              <w:rPr>
                <w:sz w:val="20"/>
                <w:szCs w:val="20"/>
                <w:color w:val="auto"/>
              </w:rPr>
            </w:pPr>
          </w:p>
        </w:tc>
      </w:tr>
      <w:tr>
        <w:trPr>
          <w:trHeight w:val="229"/>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4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0.73</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r>
    </w:tbl>
    <w:p>
      <w:pPr>
        <w:spacing w:after="0" w:line="154"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Based on a 21 percent federal statutory tax rate.</w:t>
      </w:r>
    </w:p>
    <w:p>
      <w:pPr>
        <w:spacing w:after="0" w:line="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During the three months ended September 30, 2024, we recorded a $39 million favorable EAC adjustment on the HALO program at Space Systems related to the ECP resolution noted above. During the three months ended June 30, 2023, we recorded a $36 million unfavorable EAC adjustment on the HALO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6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Company backlog as of September 30, 2024 was $84.8 billion. Of our September 30, 2024 backlog, we expect to recognize approximately 40 percent as revenue over the next 12 months and 65 percent as revenue over the next 24 months, with the remainder to be recognized thereafter.</w:t>
      </w:r>
    </w:p>
    <w:p>
      <w:pPr>
        <w:spacing w:after="0" w:line="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reduced unfunded backlog by $1.6 billion related to a termination for convenience in our restricted space business.</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reduced unfunded backlog by $0.7 billion related to a termination for convenience on the Next Generation Interceptor (NGI) program at Space Systems.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w:t>
      </w:r>
    </w:p>
    <w:p>
      <w:pPr>
        <w:spacing w:after="0" w:line="5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amount of revenue recognized for the three and nine months ended September 30, 2024 that was included in the December 31, 2023 contract liability balance was $354 million and $3.4 billion, respectively. The amount of revenue recognized for the three and nine months ended September 30, 2023 that was included in the December 31, 2022 contract liability balance was $358 million and $2.9 billion,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See Note 10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Non-cash investing activities include capital expenditures incurred but not yet paid of $251 million and $134 million as of September 30, 2024 and 2023,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Minority Investment</w:t>
      </w:r>
    </w:p>
    <w:p>
      <w:pPr>
        <w:spacing w:after="0" w:line="31" w:lineRule="exact"/>
        <w:rPr>
          <w:sz w:val="20"/>
          <w:szCs w:val="20"/>
          <w:color w:val="auto"/>
        </w:rPr>
      </w:pPr>
    </w:p>
    <w:p>
      <w:pPr>
        <w:ind w:right="2880"/>
        <w:spacing w:after="0" w:line="253" w:lineRule="auto"/>
        <w:rPr>
          <w:sz w:val="20"/>
          <w:szCs w:val="20"/>
          <w:color w:val="auto"/>
        </w:rPr>
      </w:pPr>
      <w:r>
        <w:rPr>
          <w:rFonts w:ascii="Times New Roman" w:cs="Times New Roman" w:eastAsia="Times New Roman" w:hAnsi="Times New Roman"/>
          <w:sz w:val="18"/>
          <w:szCs w:val="18"/>
          <w:color w:val="auto"/>
        </w:rPr>
        <w:t>In July 2023, the company sold its minority investment in an Australian business for AUD $235 million (the equivalent of $157 million upon settlement). The sale resulted in a pre-tax gain of $97 million, which is reflected in Other, net on the unaudited condensed consolidated statements of earnings and comprehensive income for the three and nine months ended September 30, 2023. Proceeds from the sale are included in investing activities on the unaudited condensed consolidated statement of cash flows for the nine months ended September 30, 2023.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November 27,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Among other new disclosure requirements, ASU 2023-07 requires companies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continuing to evaluate the disclosure impact of ASU 2023-07; however, the standard will not have an impact on the company’s consolidated financial position, results of operations and/or cash flows.</w:t>
      </w:r>
    </w:p>
    <w:p>
      <w:pPr>
        <w:spacing w:after="0" w:line="6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continuing to evaluate the disclosure impact of ASU 2023-09; however, the standard will not have an impact on the company’s consolidated financial position, results of operations and/or cash flows.</w:t>
      </w:r>
    </w:p>
    <w:p>
      <w:pPr>
        <w:spacing w:after="0" w:line="3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On March 6, 2024, the SEC issued its final climate disclosure rule, which requires registrants to include climate-related disclosures in registration statements and annual reports. The final rule requires registrants to provide information about the financial statement impacts of severe weather events and other natural conditions. The final rule also requires certain disclosures related to risk management and governance over climate-related risks, material climate targets and goals, and material Scope 1 and Scope 2 greenhouse gas emissions. The requirements would be phased in beginning with fiscal year 2025. On April 4, 2024, the SEC voluntarily stayed the final rule pending the completion of judicial review of cases pending in the Eighth Circuit. We are continuing to evaluate the disclosure impact of the final rule.</w:t>
      </w:r>
    </w:p>
    <w:p>
      <w:pPr>
        <w:spacing w:after="0" w:line="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September 30, 2024, are not expected to have a material effect on the company’s consolidated financial position, results of operations and/or cash flows.</w:t>
      </w:r>
    </w:p>
    <w:p>
      <w:pPr>
        <w:spacing w:after="0" w:line="23" w:lineRule="exact"/>
        <w:rPr>
          <w:sz w:val="20"/>
          <w:szCs w:val="20"/>
          <w:color w:val="auto"/>
        </w:rPr>
      </w:pPr>
    </w:p>
    <w:p>
      <w:pPr>
        <w:ind w:right="3380"/>
        <w:spacing w:after="0" w:line="318"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ind w:right="20"/>
        <w:spacing w:after="0" w:line="297"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0.3 million shares for each of the three and nine months ended September 30, 2024. The dilutive effect of these securities totaled 0.5 million shares and 0.6 million shares for the three and nine months ended September 30, 2023,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share repurchase program of up to $3.0 billion of the company’s common stock (the “2021 Repurchase Program”). Repurchases under the 2021 Repurchase Program commenced in October 2021 and were completed in April 2023.</w:t>
      </w:r>
    </w:p>
    <w:p>
      <w:pPr>
        <w:spacing w:after="0" w:line="6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new share repurchase program of up to an additional $2.0 billion in share repurchases of the company’s common stock (the “2022 Repurchase Program”). Repurchases under the 2022 Repurchase Program commenced in April 2023 and were completed in February 2024.</w:t>
      </w:r>
    </w:p>
    <w:p>
      <w:pPr>
        <w:spacing w:after="0" w:line="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6, 2023, the company’s board of directors authorized a new share repurchase program of up to an additional $2.5 billion in share repurchases of the company’s common stock (the “2023 Repurchase Program”). Repurchases under the 2023 Repurchase Program commenced in February 2024 upon completion of the 2022 Repurchase Program. As of September 30, 2024, repurchases under the 2023 Repurchase Program totaled $0.9 billion; $1.6 billion remained under this share repurchase authorization. By its terms, the 2023 Repurchase Program will expire when we have used all authorized funds for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 Agreements</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first quarter of 2023, the company entered into an accelerated share repurchase (ASR) agreement with Bank of America, N.A. (Bank of America) to repurchase $500 million of the company’s common stock as part of the 2021 and 2022 Repurchase Programs. Under the agreement, we made a payment of $500 million to Bank of America and received an initial delivery of 0.9 million shares valued at $400 million that were immediately canceled by the company. The remaining balance of $100 million was settled on April 27, 2023 with a final delivery of 0.2 million shares from Bank of America. The final average purchase price was $458.28 per share.</w:t>
      </w:r>
    </w:p>
    <w:p>
      <w:pPr>
        <w:spacing w:after="0" w:line="6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During the first quarter of 2024, the company entered into an ASR agreement with Morgan Stanley &amp; Co. LLC (Morgan Stanley) to repurchase $1.0 billion of the company’s common stock as part of the 2022 Repurchase Program. Under the agreement, we made a payment of $1.0 billion to Morgan Stanley and received an initial delivery of 1.8 million shares valued at $800 million that were immediately canceled by the company. The remaining balance of</w:t>
      </w:r>
    </w:p>
    <w:p>
      <w:pPr>
        <w:spacing w:after="0" w:line="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$200 million was settled on May 1, 2024 with a final delivery of 0.4 million shares from Morgan Stanley. The final average purchase price was $455.73 per share.</w:t>
      </w:r>
    </w:p>
    <w:p>
      <w:pPr>
        <w:spacing w:after="0" w:line="4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38"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color w:val="auto"/>
        </w:rPr>
        <w:t>Shares Repurchased</w:t>
      </w:r>
    </w:p>
    <w:p>
      <w:pPr>
        <w:jc w:val="center"/>
        <w:ind w:left="8660"/>
        <w:spacing w:after="0"/>
        <w:rPr>
          <w:sz w:val="20"/>
          <w:szCs w:val="20"/>
          <w:color w:val="auto"/>
        </w:rPr>
      </w:pPr>
      <w:r>
        <w:rPr>
          <w:rFonts w:ascii="Times New Roman" w:cs="Times New Roman" w:eastAsia="Times New Roman" w:hAnsi="Times New Roman"/>
          <w:sz w:val="18"/>
          <w:szCs w:val="18"/>
          <w:color w:val="auto"/>
        </w:rPr>
        <w:t>(in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restart"/>
          </w:tcPr>
          <w:p>
            <w:pPr>
              <w:jc w:val="center"/>
              <w:ind w:right="232"/>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15"/>
                <w:szCs w:val="15"/>
                <w:color w:val="auto"/>
              </w:rPr>
            </w:pPr>
          </w:p>
        </w:tc>
        <w:tc>
          <w:tcPr>
            <w:tcW w:w="1320" w:type="dxa"/>
            <w:vAlign w:val="bottom"/>
            <w:vMerge w:val="restart"/>
          </w:tcPr>
          <w:p>
            <w:pPr>
              <w:jc w:val="center"/>
              <w:ind w:right="312"/>
              <w:spacing w:after="0"/>
              <w:rPr>
                <w:sz w:val="20"/>
                <w:szCs w:val="20"/>
                <w:color w:val="auto"/>
              </w:rPr>
            </w:pPr>
            <w:r>
              <w:rPr>
                <w:rFonts w:ascii="Times New Roman" w:cs="Times New Roman" w:eastAsia="Times New Roman" w:hAnsi="Times New Roman"/>
                <w:sz w:val="18"/>
                <w:szCs w:val="18"/>
                <w:color w:val="auto"/>
                <w:w w:val="98"/>
              </w:rPr>
              <w:t>Average</w:t>
            </w:r>
          </w:p>
        </w:tc>
        <w:tc>
          <w:tcPr>
            <w:tcW w:w="1800" w:type="dxa"/>
            <w:vAlign w:val="bottom"/>
          </w:tcPr>
          <w:p>
            <w:pPr>
              <w:spacing w:after="0"/>
              <w:rPr>
                <w:sz w:val="15"/>
                <w:szCs w:val="15"/>
                <w:color w:val="auto"/>
              </w:rPr>
            </w:pPr>
          </w:p>
        </w:tc>
        <w:tc>
          <w:tcPr>
            <w:tcW w:w="24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Nine Months Ended September</w:t>
            </w:r>
          </w:p>
        </w:tc>
        <w:tc>
          <w:tcPr>
            <w:tcW w:w="0" w:type="dxa"/>
            <w:vAlign w:val="bottom"/>
          </w:tcPr>
          <w:p>
            <w:pPr>
              <w:spacing w:after="0"/>
              <w:rPr>
                <w:sz w:val="1"/>
                <w:szCs w:val="1"/>
                <w:color w:val="auto"/>
              </w:rPr>
            </w:pPr>
          </w:p>
        </w:tc>
      </w:tr>
      <w:tr>
        <w:trPr>
          <w:trHeight w:val="94"/>
        </w:trPr>
        <w:tc>
          <w:tcPr>
            <w:tcW w:w="2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2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144"/>
        </w:trPr>
        <w:tc>
          <w:tcPr>
            <w:tcW w:w="2060" w:type="dxa"/>
            <w:vAlign w:val="bottom"/>
          </w:tcPr>
          <w:p>
            <w:pPr>
              <w:jc w:val="center"/>
              <w:ind w:left="12"/>
              <w:spacing w:after="0" w:line="145" w:lineRule="exact"/>
              <w:rPr>
                <w:sz w:val="20"/>
                <w:szCs w:val="20"/>
                <w:color w:val="auto"/>
              </w:rPr>
            </w:pPr>
            <w:r>
              <w:rPr>
                <w:rFonts w:ascii="Times New Roman" w:cs="Times New Roman" w:eastAsia="Times New Roman" w:hAnsi="Times New Roman"/>
                <w:sz w:val="16"/>
                <w:szCs w:val="16"/>
                <w:color w:val="auto"/>
              </w:rPr>
              <w:t>Repurchase Program</w:t>
            </w:r>
          </w:p>
        </w:tc>
        <w:tc>
          <w:tcPr>
            <w:tcW w:w="380" w:type="dxa"/>
            <w:vAlign w:val="bottom"/>
          </w:tcPr>
          <w:p>
            <w:pPr>
              <w:spacing w:after="0"/>
              <w:rPr>
                <w:sz w:val="12"/>
                <w:szCs w:val="12"/>
                <w:color w:val="auto"/>
              </w:rPr>
            </w:pPr>
          </w:p>
        </w:tc>
        <w:tc>
          <w:tcPr>
            <w:tcW w:w="1320" w:type="dxa"/>
            <w:vAlign w:val="bottom"/>
          </w:tcPr>
          <w:p>
            <w:pPr>
              <w:jc w:val="center"/>
              <w:ind w:right="232"/>
              <w:spacing w:after="0" w:line="145" w:lineRule="exact"/>
              <w:rPr>
                <w:sz w:val="20"/>
                <w:szCs w:val="20"/>
                <w:color w:val="auto"/>
              </w:rPr>
            </w:pPr>
            <w:r>
              <w:rPr>
                <w:rFonts w:ascii="Times New Roman" w:cs="Times New Roman" w:eastAsia="Times New Roman" w:hAnsi="Times New Roman"/>
                <w:sz w:val="16"/>
                <w:szCs w:val="16"/>
                <w:color w:val="auto"/>
              </w:rPr>
              <w:t>Authorized</w:t>
            </w:r>
          </w:p>
        </w:tc>
        <w:tc>
          <w:tcPr>
            <w:tcW w:w="160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rPr>
              <w:t>Shares Retired</w:t>
            </w:r>
          </w:p>
        </w:tc>
        <w:tc>
          <w:tcPr>
            <w:tcW w:w="280" w:type="dxa"/>
            <w:vAlign w:val="bottom"/>
          </w:tcPr>
          <w:p>
            <w:pPr>
              <w:spacing w:after="0"/>
              <w:rPr>
                <w:sz w:val="12"/>
                <w:szCs w:val="12"/>
                <w:color w:val="auto"/>
              </w:rPr>
            </w:pPr>
          </w:p>
        </w:tc>
        <w:tc>
          <w:tcPr>
            <w:tcW w:w="1320" w:type="dxa"/>
            <w:vAlign w:val="bottom"/>
          </w:tcPr>
          <w:p>
            <w:pPr>
              <w:jc w:val="center"/>
              <w:ind w:right="272"/>
              <w:spacing w:after="0" w:line="145" w:lineRule="exact"/>
              <w:rPr>
                <w:sz w:val="20"/>
                <w:szCs w:val="20"/>
                <w:color w:val="auto"/>
              </w:rPr>
            </w:pPr>
            <w:r>
              <w:rPr>
                <w:rFonts w:ascii="Times New Roman" w:cs="Times New Roman" w:eastAsia="Times New Roman" w:hAnsi="Times New Roman"/>
                <w:sz w:val="16"/>
                <w:szCs w:val="16"/>
                <w:color w:val="auto"/>
              </w:rPr>
              <w:t>Price</w:t>
            </w:r>
          </w:p>
        </w:tc>
        <w:tc>
          <w:tcPr>
            <w:tcW w:w="180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6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Authorization Date</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color w:val="auto"/>
                <w:w w:val="98"/>
              </w:rPr>
              <w:t>(in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72"/>
              <w:spacing w:after="0" w:line="254"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Date Completed</w:t>
            </w: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3,000</w:t>
            </w: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431.05</w:t>
            </w:r>
          </w:p>
        </w:tc>
        <w:tc>
          <w:tcPr>
            <w:tcW w:w="18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April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January 24, 2022</w:t>
            </w:r>
            <w:r>
              <w:rPr>
                <w:rFonts w:ascii="Times New Roman" w:cs="Times New Roman" w:eastAsia="Times New Roman" w:hAnsi="Times New Roman"/>
                <w:sz w:val="23"/>
                <w:szCs w:val="23"/>
                <w:color w:val="auto"/>
                <w:vertAlign w:val="superscript"/>
              </w:rPr>
              <w:t>(2)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2,000</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455.01</w:t>
            </w:r>
          </w:p>
        </w:tc>
        <w:tc>
          <w:tcPr>
            <w:tcW w:w="1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February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6, 2023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2,500</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461.06</w:t>
            </w:r>
          </w:p>
        </w:tc>
        <w:tc>
          <w:tcPr>
            <w:tcW w:w="1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480" w:hanging="172"/>
        <w:spacing w:after="0" w:line="254" w:lineRule="auto"/>
        <w:tabs>
          <w:tab w:leader="none" w:pos="168"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a part of the 2023 Repurchase Program, the board of directors approved that the purchases under this program, and the authorization under the 2022 Repurchase Program, be exclusive of brokerage commissions and other costs of execution, including taxes. Commissions paid are included for the 2021 Repurchase Program.</w:t>
      </w:r>
    </w:p>
    <w:p>
      <w:pPr>
        <w:spacing w:after="0" w:line="60" w:lineRule="exact"/>
        <w:rPr>
          <w:rFonts w:ascii="Times New Roman" w:cs="Times New Roman" w:eastAsia="Times New Roman" w:hAnsi="Times New Roman"/>
          <w:sz w:val="20"/>
          <w:szCs w:val="20"/>
          <w:color w:val="auto"/>
          <w:vertAlign w:val="superscript"/>
        </w:rPr>
      </w:pPr>
    </w:p>
    <w:p>
      <w:pPr>
        <w:ind w:left="180" w:right="40" w:hanging="172"/>
        <w:spacing w:after="0"/>
        <w:tabs>
          <w:tab w:leader="none" w:pos="168"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2022 Repurchase Program completed in February 2024; however, it included the $1.0 billion ASR for which the final delivery of shares was outstanding at the end of the first quarter of 2024. On May 1, 2024, the company received a final delivery of 0.4 million shares for that ASR, which are included in the 2022 Repurchase Program authorization.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the company increased the quarterly common stock dividend 10 percent to $2.06 per share from the previous amount of $1.87 per share.</w:t>
      </w:r>
    </w:p>
    <w:p>
      <w:pPr>
        <w:spacing w:after="0" w:line="149" w:lineRule="exact"/>
        <w:rPr>
          <w:sz w:val="20"/>
          <w:szCs w:val="20"/>
          <w:color w:val="auto"/>
        </w:rPr>
      </w:pPr>
    </w:p>
    <w:p>
      <w:pPr>
        <w:ind w:right="7880" w:firstLine="8"/>
        <w:spacing w:after="0" w:line="375"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INVENTORIED COSTS, NET </w:t>
      </w:r>
      <w:r>
        <w:rPr>
          <w:rFonts w:ascii="Times New Roman" w:cs="Times New Roman" w:eastAsia="Times New Roman" w:hAnsi="Times New Roman"/>
          <w:sz w:val="18"/>
          <w:szCs w:val="18"/>
          <w:color w:val="auto"/>
        </w:rPr>
        <w:t>Inventoried costs, net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in process</w:t>
            </w:r>
          </w:p>
        </w:tc>
        <w:tc>
          <w:tcPr>
            <w:tcW w:w="2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inventory:</w:t>
            </w:r>
          </w:p>
        </w:tc>
        <w:tc>
          <w:tcPr>
            <w:tcW w:w="28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28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8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43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8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product inventory</w:t>
            </w:r>
          </w:p>
        </w:tc>
        <w:tc>
          <w:tcPr>
            <w:tcW w:w="28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2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INCOME TAXES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8"/>
        </w:trPr>
        <w:tc>
          <w:tcPr>
            <w:tcW w:w="582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555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13.6 %</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third quarter 2024 effective tax rate (ETR) decreased to 13.6 percent from 16.2 percent in the prior year period principally driven by a net reduction in tax reserves largely due to a recent federal court decision, partially offset by higher interest expense on unrecognized tax benefits. The third quarter 2024 ETR includes benefits of $191 million for research credits, partially offset by $64 million of interest expense on unrecognized tax benefits and $41 million in tax expense related to foreign-derived intangible income (FDII). The third quarter 2023 ETR included benefits of $62 million for research credits and $19 million for FDII, partially offset by $21 million of interest expense on unrecognized tax benefits.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company’s year to date 2024 ETR decreased to 16.0 percent from 16.5 percent in the prior year period principally driven by a net reduction in tax reserves largely due to a recent federal court decision, partially offset by higher interest expense on unrecognized tax benefits. The year to date 2024 ETR includes benefits of $280 million for research credits, partially offset by $110 million of interest expense on unrecognized tax benefits and $11 million in tax expense related to FDII. The year to date 2023 ETR included benefits of $140 million for research credits and $48 million for FDII, partially offset by $48 million of interest expense on unrecognized tax benefits.</w:t>
      </w:r>
    </w:p>
    <w:p>
      <w:pPr>
        <w:spacing w:after="0" w:line="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Taxes receivable, which are included in Prepaid expenses and other current assets in the unaudited condensed consolidated statements of financial position, were $402 million as of September 30, 2024 and $1.5 billion as of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recorded unrecognized tax benefits related to our methods of accounting associated with the timing of revenue recognition and related</w:t>
      </w:r>
    </w:p>
    <w:p>
      <w:pPr>
        <w:spacing w:after="0" w:line="237" w:lineRule="auto"/>
        <w:rPr>
          <w:sz w:val="20"/>
          <w:szCs w:val="20"/>
          <w:color w:val="auto"/>
        </w:rPr>
      </w:pPr>
      <w:r>
        <w:rPr>
          <w:rFonts w:ascii="Times New Roman" w:cs="Times New Roman" w:eastAsia="Times New Roman" w:hAnsi="Times New Roman"/>
          <w:sz w:val="18"/>
          <w:szCs w:val="18"/>
          <w:color w:val="auto"/>
        </w:rPr>
        <w:t>costs and the 2017 Tax Cuts and Jobs Act, which includes related final revenue recognition regulations issued in December 2020 under IRC Section 451(b)</w:t>
      </w:r>
    </w:p>
    <w:p>
      <w:pPr>
        <w:spacing w:after="0" w:line="234" w:lineRule="auto"/>
        <w:rPr>
          <w:sz w:val="20"/>
          <w:szCs w:val="20"/>
          <w:color w:val="auto"/>
        </w:rPr>
      </w:pPr>
      <w:r>
        <w:rPr>
          <w:rFonts w:ascii="Times New Roman" w:cs="Times New Roman" w:eastAsia="Times New Roman" w:hAnsi="Times New Roman"/>
          <w:sz w:val="18"/>
          <w:szCs w:val="18"/>
          <w:color w:val="auto"/>
        </w:rPr>
        <w:t>and procedural guidance issued in August 2021. As of September 30, 2024, we have approximately $2.1 billion in unrecognized tax benefits, including</w:t>
      </w:r>
    </w:p>
    <w:p>
      <w:pPr>
        <w:spacing w:after="0" w:line="235" w:lineRule="auto"/>
        <w:rPr>
          <w:sz w:val="20"/>
          <w:szCs w:val="20"/>
          <w:color w:val="auto"/>
        </w:rPr>
      </w:pPr>
      <w:r>
        <w:rPr>
          <w:rFonts w:ascii="Times New Roman" w:cs="Times New Roman" w:eastAsia="Times New Roman" w:hAnsi="Times New Roman"/>
          <w:sz w:val="18"/>
          <w:szCs w:val="18"/>
          <w:color w:val="auto"/>
        </w:rPr>
        <w:t>$938 million related to our position on IRC Section 451(b). If these matters, including our position on IRC Section 451(b), are unfavorably resolved, there</w:t>
      </w:r>
    </w:p>
    <w:p>
      <w:pPr>
        <w:spacing w:after="0" w:line="235" w:lineRule="auto"/>
        <w:rPr>
          <w:sz w:val="20"/>
          <w:szCs w:val="20"/>
          <w:color w:val="auto"/>
        </w:rPr>
      </w:pPr>
      <w:r>
        <w:rPr>
          <w:rFonts w:ascii="Times New Roman" w:cs="Times New Roman" w:eastAsia="Times New Roman" w:hAnsi="Times New Roman"/>
          <w:sz w:val="18"/>
          <w:szCs w:val="18"/>
          <w:color w:val="auto"/>
        </w:rPr>
        <w:t>could be a material impact on our future cash flows. It is also reasonably possible that within the next 12 months our unrecognized tax benefits related to</w:t>
      </w:r>
    </w:p>
    <w:p>
      <w:pPr>
        <w:spacing w:after="0"/>
        <w:rPr>
          <w:sz w:val="20"/>
          <w:szCs w:val="20"/>
          <w:color w:val="auto"/>
        </w:rPr>
      </w:pPr>
      <w:r>
        <w:rPr>
          <w:rFonts w:ascii="Times New Roman" w:cs="Times New Roman" w:eastAsia="Times New Roman" w:hAnsi="Times New Roman"/>
          <w:sz w:val="18"/>
          <w:szCs w:val="18"/>
          <w:color w:val="auto"/>
        </w:rPr>
        <w:t>these matters may decrease by approximately $700 million, reflecting our best estimate of the most likely outcome of ongoing IRS negotiations.</w:t>
      </w:r>
    </w:p>
    <w:p>
      <w:pPr>
        <w:spacing w:after="0" w:line="70"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Our current unrecognized tax benefits, which are included in Other current liabilities in the unaudited condensed consolidated statements of financial position, were $1.2 billion and $964 million as of September 30, 2024 and December 31, 2023, respectively, with the remainder of our unrecognized tax benefits included within Other non-current liabilities.</w:t>
      </w:r>
    </w:p>
    <w:p>
      <w:pPr>
        <w:spacing w:after="0" w:line="4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We file income tax returns in the U.S. federal jurisdiction and in various state and foreign jurisdictions. The Northrop Grumman 2018-2020 federal tax returns are currently under Internal Revenue Service (IRS) examination. During the second quarter of 2023, the company entered into an agreed Revenue Agent’s Report (“RAR”) for certain matters related to the company’s 2014-2017 federal income tax returns, resulting in a $90 million reduction to our unrecognized tax benefits and an immaterial impact to income tax expense. The matters not addressed by the agreed RAR related to the company’s 2014-2017 federal income tax returns and refund claims related to its 2007-2016 federal tax returns are currently under review by the IRS Appeals Office.</w:t>
      </w:r>
    </w:p>
    <w:p>
      <w:pPr>
        <w:spacing w:after="0" w:line="3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issued Pillar Two model rules for a new global minimum tax of 15% effective January 1, 2024. While it is uncertain whether the United States will enact legislation to adopt Pillar Two, certain countries in which we operate have adopted legislation, and other countries are in the process of introducing legislation to implement Pillar Two. Pillar Two had no impact on our third quarter or year to date 2024 effective tax rate, and we do not currently expect Pillar Two to significantly impact our effective tax rate going forward.</w:t>
      </w:r>
    </w:p>
    <w:p>
      <w:pPr>
        <w:spacing w:after="0" w:line="1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holds a portfolio of marketable securities to partially fund non-qualified employee benefit plans. A portion of these securities are held in common/collective trust funds and are measured at fair value using net asset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value (NAV) per share as a practical expedient; therefore, they are not categorized in the fair value hierarchy table below. Marketable securities are included in Other non-current assets in the unaudited condensed consolidated statements of financial position.</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2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2</w:t>
            </w: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September 30, 2024 and December 31, 2023 was $399 million and $286 million, respectively. The portion of notional value designated as a cash flow hedge at September 30, 2024 and December 31, 2023 was $269 million and $162 million,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September 30, 2024 and December 31, 2023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nine months ended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approximates fair value.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company’s long-term debt was $16.1 billion and $13.4 billion as of September 30, 2024 and December 31, 2023,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Senior Notes</w:t>
      </w:r>
    </w:p>
    <w:p>
      <w:pPr>
        <w:spacing w:after="0" w:line="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In January 2024, the company issued $2.5 billion of unsecured senior notes for general corporate purposes, including debt repayment, share repurchases, and working capital, as follows:</w:t>
      </w:r>
    </w:p>
    <w:p>
      <w:pPr>
        <w:spacing w:after="0" w:line="6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4.60% senior notes due 2029 (the “2029 Notes”),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 million of 4.90% senior notes due 2034 (the “2034 Notes”),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billion of 5.20% senior notes due 2054 (the “2054 Notes”).</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February 2023, the company issued $2.0 billion of unsecured senior notes for general corporate purposes, including debt repayment, share repurchases, and working capital, as follows:</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4.70% senior notes due 2033 (the “2033 Notes”)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4.95% senior notes due 2053 (the “2053 Notes”).</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refer to the 2029 Notes, 2033 Notes, 2034 Notes, 2053 Notes and 2054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INVESTIGATIONS, CLAIMS AND LITIGATION</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7,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other remediation-related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court has stayed the filed individual lawsuits, pending its decision on class certification, which the court will undertake if an ongoing mediation between the parties is unsuccessful. We are also a party, and may become a party, to other lawsuits brought by or against insurance carriers, and by other individual plaintiffs and/or putative classes, as well as other parties. We cannot at this time predict or reasonably estimate the potential cumulative outcomes or ranges of possible liability of these Bethpage lawsuits.</w:t>
      </w:r>
    </w:p>
    <w:p>
      <w:pPr>
        <w:spacing w:after="0" w:line="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 received from the U.S. Department of Justice (DOJ) a criminal subpoena on December 9, 2022, and a civil investigative demand (CID) on February 2, 2023, both seeking information regarding financial and cost accounting and controls that appears focused on the interest rate assumptions the company used to determine our U.S. Government Cost Accounting Standards (CAS) pension expense, which we discuss in Note 7 below. The company is engaging with the government and responding to the requests. We cannot at this point predict the outcome of these matters.</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September 30, 2024, or its annual results of operations and/or cash flows.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September 30, 2024, or its annual results of operations and/or cash flows.</w:t>
      </w:r>
    </w:p>
    <w:p>
      <w:pPr>
        <w:spacing w:after="0" w:line="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subsequently continued to exchange correspondence and engage with DCMA on this matter, including responding to requests for and providing additional information. On February 15, 2024, DCMA sent to the company a Contracting Officer’s determination of noncompliance with CAS, which is an interim, non-final determination, and the parties engaged in discussions. As noted in Note 6 above, the company received from the DOJ a criminal subpoena on December 9, 2022 and a CID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February 2, 2023, both seeking information that appears related to the interest rate assumptions at issue in our discussions with DCMA. The company has responded to requests and expects to continue discussions with the DOJ and DCMA as these matters progress.We cannot at this point predict the outcome of these matters. The sensitivity to changes in interest rate assumptions makes it reasonably possible the outcome of the DCMA matter could have a material adverse effect on our financial position, results of operations and/or cash flows, although we are not currently able to estimate a range of any potential loss.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September 30, 2024 and December 31, 2023:</w:t>
      </w:r>
    </w:p>
    <w:tbl>
      <w:tblPr>
        <w:tblLayout w:type="fixed"/>
        <w:tblInd w:w="0" w:type="dxa"/>
        <w:tblCellMar>
          <w:top w:w="0" w:type="dxa"/>
          <w:left w:w="0" w:type="dxa"/>
          <w:bottom w:w="0" w:type="dxa"/>
          <w:right w:w="0" w:type="dxa"/>
        </w:tblCellMar>
      </w:tblPr>
      <w:tr>
        <w:trPr>
          <w:trHeight w:val="19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Reasonably Possible Future Costs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tcBorders>
              <w:bottom w:val="single" w:sz="8" w:color="auto"/>
            </w:tcBorders>
            <w:vMerge w:val="continue"/>
          </w:tcPr>
          <w:p>
            <w:pPr>
              <w:spacing w:after="0"/>
              <w:rPr>
                <w:sz w:val="20"/>
                <w:szCs w:val="20"/>
                <w:color w:val="auto"/>
              </w:rPr>
            </w:pPr>
          </w:p>
        </w:tc>
        <w:tc>
          <w:tcPr>
            <w:tcW w:w="3500" w:type="dxa"/>
            <w:vAlign w:val="bottom"/>
            <w:tcBorders>
              <w:bottom w:val="single" w:sz="8" w:color="auto"/>
            </w:tcBorders>
            <w:gridSpan w:val="2"/>
          </w:tcPr>
          <w:p>
            <w:pPr>
              <w:jc w:val="right"/>
              <w:ind w:right="30"/>
              <w:spacing w:after="0" w:line="237" w:lineRule="exact"/>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50"/>
              <w:spacing w:after="0" w:line="237" w:lineRule="exact"/>
              <w:rPr>
                <w:sz w:val="20"/>
                <w:szCs w:val="20"/>
                <w:color w:val="auto"/>
              </w:rPr>
            </w:pPr>
            <w:r>
              <w:rPr>
                <w:rFonts w:ascii="Times New Roman" w:cs="Times New Roman" w:eastAsia="Times New Roman" w:hAnsi="Times New Roman"/>
                <w:sz w:val="18"/>
                <w:szCs w:val="18"/>
                <w:color w:val="auto"/>
                <w:w w:val="99"/>
              </w:rPr>
              <w:t>in Excess of Accrued Costs</w:t>
            </w:r>
            <w:r>
              <w:rPr>
                <w:rFonts w:ascii="Times New Roman" w:cs="Times New Roman" w:eastAsia="Times New Roman" w:hAnsi="Times New Roman"/>
                <w:sz w:val="23"/>
                <w:szCs w:val="23"/>
                <w:color w:val="auto"/>
                <w:w w:val="99"/>
                <w:vertAlign w:val="superscript"/>
              </w:rPr>
              <w:t>(2)</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line="237" w:lineRule="exact"/>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568</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September 30, 2024, $213 million is recorded in Other current liabilities and $355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60" w:hanging="172"/>
        <w:spacing w:after="0" w:line="238"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3" w:lineRule="exact"/>
        <w:rPr>
          <w:rFonts w:ascii="Times New Roman" w:cs="Times New Roman" w:eastAsia="Times New Roman" w:hAnsi="Times New Roman"/>
          <w:sz w:val="20"/>
          <w:szCs w:val="20"/>
          <w:color w:val="auto"/>
          <w:vertAlign w:val="superscript"/>
        </w:rPr>
      </w:pPr>
    </w:p>
    <w:p>
      <w:pPr>
        <w:jc w:val="both"/>
        <w:ind w:left="180" w:right="100" w:hanging="172"/>
        <w:spacing w:after="0"/>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September 30, 2024, $203 million is deferred in Prepaid expenses and other current assets and $327 million is deferred in Other non-current assets. These amounts reflect a $26 million increase during the second quarter of 2024 in our estimated recovery of certain environmental remediation costs and are evaluated for recoverability on a routine basis.</w:t>
      </w:r>
    </w:p>
    <w:p>
      <w:pPr>
        <w:spacing w:after="0" w:line="26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September 30, 2024, or its annual results of operations and/or cash flows.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September 30, 2024, there were $469 million of stand-by letters of credit and guarantees and $272 million of surety bonds outstanding.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$2.5 billion. At September 30, 2024, there were no commercial paper borrowings outstanding.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The company maintains a five-year senior unsecured credit facility in an aggregate principal amount of $2.5 billion (the “2022 Credit Agreement”) that matures in August 2027 and is intended to support the company's commercial paper program and other general corporate purposes. Commercial paper borrowings reduce the amount available for borrowing under the 2022 Credit Agreement. At September 30, 2024, there were no borrowings outstanding under this facility.</w:t>
      </w:r>
    </w:p>
    <w:p>
      <w:pPr>
        <w:spacing w:after="0" w:line="6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company was in compliance with all covenants under its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RETIREMENT BENEFITS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11"/>
        </w:trPr>
        <w:tc>
          <w:tcPr>
            <w:tcW w:w="84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cost to the company of its pension and other postretirement benefit (OPB) plans is shown in the following table: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6"/>
        </w:trPr>
        <w:tc>
          <w:tcPr>
            <w:tcW w:w="3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7"/>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20" w:type="dxa"/>
            <w:vAlign w:val="bottom"/>
            <w:tcBorders>
              <w:bottom w:val="single" w:sz="8" w:color="auto"/>
            </w:tcBorders>
          </w:tcPr>
          <w:p>
            <w:pPr>
              <w:spacing w:after="0"/>
              <w:rPr>
                <w:sz w:val="22"/>
                <w:szCs w:val="22"/>
                <w:color w:val="auto"/>
              </w:rPr>
            </w:pPr>
          </w:p>
        </w:tc>
      </w:tr>
      <w:tr>
        <w:trPr>
          <w:trHeight w:val="169"/>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Pension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Pension</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43"/>
        </w:trPr>
        <w:tc>
          <w:tcPr>
            <w:tcW w:w="3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OPB</w:t>
            </w:r>
          </w:p>
        </w:tc>
        <w:tc>
          <w:tcPr>
            <w:tcW w:w="620" w:type="dxa"/>
            <w:vAlign w:val="bottom"/>
            <w:tcBorders>
              <w:bottom w:val="single" w:sz="8" w:color="auto"/>
            </w:tcBorders>
          </w:tcPr>
          <w:p>
            <w:pPr>
              <w:spacing w:after="0"/>
              <w:rPr>
                <w:sz w:val="21"/>
                <w:szCs w:val="2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2023</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4"/>
              </w:rPr>
              <w:t>2023</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1,144</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3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(1,647)</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3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made by the company to its retirement plans are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2"/>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3"/>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7"/>
                <w:szCs w:val="17"/>
                <w:color w:val="auto"/>
              </w:rPr>
            </w:pPr>
          </w:p>
        </w:tc>
        <w:tc>
          <w:tcPr>
            <w:tcW w:w="2040" w:type="dxa"/>
            <w:vAlign w:val="bottom"/>
            <w:gridSpan w:val="3"/>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6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0"/>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OPB plans</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bl>
    <w:p>
      <w:pPr>
        <w:spacing w:after="0" w:line="221" w:lineRule="exact"/>
        <w:rPr>
          <w:sz w:val="20"/>
          <w:szCs w:val="20"/>
          <w:color w:val="auto"/>
        </w:rPr>
      </w:pPr>
    </w:p>
    <w:p>
      <w:pPr>
        <w:ind w:right="3880"/>
        <w:spacing w:after="0" w:line="318" w:lineRule="auto"/>
        <w:rPr>
          <w:sz w:val="20"/>
          <w:szCs w:val="20"/>
          <w:color w:val="auto"/>
        </w:rPr>
      </w:pPr>
      <w:r>
        <w:rPr>
          <w:rFonts w:ascii="Times New Roman" w:cs="Times New Roman" w:eastAsia="Times New Roman" w:hAnsi="Times New Roman"/>
          <w:sz w:val="18"/>
          <w:szCs w:val="18"/>
          <w:b w:val="1"/>
          <w:bCs w:val="1"/>
          <w:color w:val="auto"/>
        </w:rPr>
        <w:t>9. STOCK COMPENSATION PLANS AND OTHER COMPENSATION ARRANGEMENTS Stock Awards</w:t>
      </w: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jc w:val="center"/>
        <w:ind w:left="8840"/>
        <w:spacing w:after="0" w:line="233" w:lineRule="auto"/>
        <w:rPr>
          <w:sz w:val="20"/>
          <w:szCs w:val="20"/>
          <w:color w:val="auto"/>
        </w:rPr>
      </w:pPr>
      <w:r>
        <w:rPr>
          <w:rFonts w:ascii="Times New Roman" w:cs="Times New Roman" w:eastAsia="Times New Roman" w:hAnsi="Times New Roman"/>
          <w:sz w:val="18"/>
          <w:szCs w:val="18"/>
          <w:color w:val="auto"/>
        </w:rPr>
        <w:t>Nine Months Ended September</w:t>
      </w:r>
    </w:p>
    <w:p>
      <w:pPr>
        <w:jc w:val="center"/>
        <w:ind w:left="8840"/>
        <w:spacing w:after="0"/>
        <w:rPr>
          <w:sz w:val="20"/>
          <w:szCs w:val="20"/>
          <w:color w:val="auto"/>
        </w:rPr>
      </w:pPr>
      <w:r>
        <w:rPr>
          <w:rFonts w:ascii="Times New Roman" w:cs="Times New Roman" w:eastAsia="Times New Roman" w:hAnsi="Times New Roman"/>
          <w:sz w:val="18"/>
          <w:szCs w:val="18"/>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RSRs granted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RPSRs granted</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aggregate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RSRs typically vest on the third anniversary of the grant date, while RPSRs generally vest and pay out based on the achievement of certain performance metrics and market conditions over a three-year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minimum and maximum aggregate payout amounts related to cash units (CUs) and cash performance units (CPUs) granted to employees in the periods presented:</w:t>
      </w:r>
    </w:p>
    <w:tbl>
      <w:tblPr>
        <w:tblLayout w:type="fixed"/>
        <w:tblInd w:w="0" w:type="dxa"/>
        <w:tblCellMar>
          <w:top w:w="0" w:type="dxa"/>
          <w:left w:w="0" w:type="dxa"/>
          <w:bottom w:w="0" w:type="dxa"/>
          <w:right w:w="0" w:type="dxa"/>
        </w:tblCellMar>
      </w:tblPr>
      <w:tr>
        <w:trPr>
          <w:trHeight w:val="186"/>
        </w:trPr>
        <w:tc>
          <w:tcPr>
            <w:tcW w:w="8860" w:type="dxa"/>
            <w:vAlign w:val="bottom"/>
          </w:tcPr>
          <w:p>
            <w:pPr>
              <w:spacing w:after="0"/>
              <w:rPr>
                <w:sz w:val="16"/>
                <w:szCs w:val="16"/>
                <w:color w:val="auto"/>
              </w:rPr>
            </w:pPr>
          </w:p>
        </w:tc>
        <w:tc>
          <w:tcPr>
            <w:tcW w:w="2380" w:type="dxa"/>
            <w:vAlign w:val="bottom"/>
            <w:gridSpan w:val="4"/>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Nine Months Ended September</w:t>
            </w:r>
          </w:p>
        </w:tc>
      </w:tr>
      <w:tr>
        <w:trPr>
          <w:trHeight w:val="236"/>
        </w:trPr>
        <w:tc>
          <w:tcPr>
            <w:tcW w:w="8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30</w:t>
            </w:r>
          </w:p>
        </w:tc>
        <w:tc>
          <w:tcPr>
            <w:tcW w:w="880" w:type="dxa"/>
            <w:vAlign w:val="bottom"/>
            <w:tcBorders>
              <w:bottom w:val="single" w:sz="8" w:color="auto"/>
            </w:tcBorders>
          </w:tcPr>
          <w:p>
            <w:pPr>
              <w:spacing w:after="0"/>
              <w:rPr>
                <w:sz w:val="20"/>
                <w:szCs w:val="20"/>
                <w:color w:val="auto"/>
              </w:rPr>
            </w:pP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7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sales and operating income by segment: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0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500" w:type="dxa"/>
            <w:vAlign w:val="bottom"/>
            <w:gridSpan w:val="4"/>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Three Months Ended September</w:t>
            </w:r>
          </w:p>
        </w:tc>
        <w:tc>
          <w:tcPr>
            <w:tcW w:w="250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Nine Months Ended September</w:t>
            </w:r>
          </w:p>
        </w:tc>
      </w:tr>
      <w:tr>
        <w:trPr>
          <w:trHeight w:val="236"/>
        </w:trPr>
        <w:tc>
          <w:tcPr>
            <w:tcW w:w="10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bottom w:val="single" w:sz="8" w:color="auto"/>
            </w:tcBorders>
          </w:tcPr>
          <w:p>
            <w:pPr>
              <w:spacing w:after="0"/>
              <w:rPr>
                <w:sz w:val="20"/>
                <w:szCs w:val="20"/>
                <w:color w:val="auto"/>
              </w:rPr>
            </w:pPr>
          </w:p>
        </w:tc>
      </w:tr>
      <w:tr>
        <w:trPr>
          <w:trHeight w:val="230"/>
        </w:trPr>
        <w:tc>
          <w:tcPr>
            <w:tcW w:w="6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2,878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8,810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2,084</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6,227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2,823</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2,628</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8,255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r>
      <w:tr>
        <w:trPr>
          <w:trHeight w:val="23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2,870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9,021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29"/>
        </w:trPr>
        <w:tc>
          <w:tcPr>
            <w:tcW w:w="6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23"/>
        </w:trPr>
        <w:tc>
          <w:tcPr>
            <w:tcW w:w="6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9,996</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9,775</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30,347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28,652</w:t>
            </w: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196</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1,129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345</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979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9"/>
        </w:trPr>
        <w:tc>
          <w:tcPr>
            <w:tcW w:w="62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1,146</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1,089</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3,351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6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6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3,281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62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6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3,465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Federal Acquisition Regulation (FAR) and CAS requirements. The FAS/CAS operating adjustment reflects the difference between CAS pension expense included as cost in segment operating income and the service cost component of FAS expense included in total operating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1"/>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60" w:type="dxa"/>
            <w:vAlign w:val="bottom"/>
            <w:tcBorders>
              <w:bottom w:val="single" w:sz="8" w:color="auto"/>
            </w:tcBorders>
          </w:tcPr>
          <w:p>
            <w:pPr>
              <w:spacing w:after="0"/>
              <w:rPr>
                <w:sz w:val="24"/>
                <w:szCs w:val="24"/>
                <w:color w:val="auto"/>
              </w:rPr>
            </w:pPr>
          </w:p>
        </w:tc>
      </w:tr>
      <w:tr>
        <w:trPr>
          <w:trHeight w:val="223"/>
        </w:trPr>
        <w:tc>
          <w:tcPr>
            <w:tcW w:w="3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31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25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2,382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83 %</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2,331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7,443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6,654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430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1,174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1,016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183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2,878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2,766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8,810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7,876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1,541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1,476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4,633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4,351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627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2,084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2,050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6,227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6,058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2,093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1,917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6,033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5,729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1,308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849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783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2,823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2,628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8,255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7,832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2,606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2,707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8,245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7,963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2,870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2,953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9,021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8,775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8,622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8,431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26,354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24,697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1,218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1,239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3,565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3,607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3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348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9,996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9,775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30,347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28,652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62" w:lineRule="exact"/>
        <w:rPr>
          <w:sz w:val="20"/>
          <w:szCs w:val="20"/>
          <w:color w:val="auto"/>
        </w:rPr>
      </w:pPr>
    </w:p>
    <w:p>
      <w:pPr>
        <w:ind w:left="180" w:right="360" w:hanging="172"/>
        <w:spacing w:after="0" w:line="238" w:lineRule="auto"/>
        <w:tabs>
          <w:tab w:leader="none" w:pos="167"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60" w:hanging="172"/>
        <w:spacing w:after="0" w:line="232" w:lineRule="auto"/>
        <w:tabs>
          <w:tab w:leader="none" w:pos="181"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9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60" w:type="dxa"/>
            <w:vAlign w:val="bottom"/>
            <w:tcBorders>
              <w:bottom w:val="single" w:sz="8" w:color="auto"/>
            </w:tcBorders>
          </w:tcPr>
          <w:p>
            <w:pPr>
              <w:spacing w:after="0"/>
              <w:rPr>
                <w:sz w:val="20"/>
                <w:szCs w:val="20"/>
                <w:color w:val="auto"/>
              </w:rPr>
            </w:pPr>
          </w:p>
        </w:tc>
      </w:tr>
      <w:tr>
        <w:trPr>
          <w:trHeight w:val="250"/>
        </w:trPr>
        <w:tc>
          <w:tcPr>
            <w:tcW w:w="3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21"/>
                <w:szCs w:val="21"/>
                <w:color w:val="auto"/>
              </w:rPr>
            </w:pPr>
          </w:p>
        </w:tc>
      </w:tr>
      <w:tr>
        <w:trPr>
          <w:trHeight w:val="25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61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5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7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23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1,296</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xml:space="preserve">46 %  </w:t>
            </w: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1,370</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 xml:space="preserve">51 %  </w:t>
            </w: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3,990</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 xml:space="preserve">46 %  </w:t>
            </w:r>
            <w:r>
              <w:rPr>
                <w:rFonts w:ascii="Times New Roman" w:cs="Times New Roman" w:eastAsia="Times New Roman" w:hAnsi="Times New Roman"/>
                <w:sz w:val="18"/>
                <w:szCs w:val="18"/>
                <w:color w:val="auto"/>
              </w:rPr>
              <w: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1,522</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54 %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1,342</w:t>
            </w:r>
          </w:p>
        </w:tc>
        <w:tc>
          <w:tcPr>
            <w:tcW w:w="9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49 %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4,642</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54 %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3,773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60</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178</w:t>
            </w: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183</w:t>
            </w:r>
          </w:p>
        </w:tc>
        <w:tc>
          <w:tcPr>
            <w:tcW w:w="66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2,878</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2,766</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8,810</w:t>
            </w:r>
          </w:p>
        </w:tc>
        <w:tc>
          <w:tcPr>
            <w:tcW w:w="10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7,876</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990</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53 %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1,007</w:t>
            </w:r>
          </w:p>
        </w:tc>
        <w:tc>
          <w:tcPr>
            <w:tcW w:w="9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54 %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2,933</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52 %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877</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47 %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846</w:t>
            </w: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46 %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2,667</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48 %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2,492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217</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197</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627</w:t>
            </w:r>
          </w:p>
        </w:tc>
        <w:tc>
          <w:tcPr>
            <w:tcW w:w="10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549</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2,084</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2,050</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6,227</w:t>
            </w: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6,058</w:t>
            </w:r>
          </w:p>
        </w:tc>
        <w:tc>
          <w:tcPr>
            <w:tcW w:w="660" w:type="dxa"/>
            <w:vAlign w:val="bottom"/>
            <w:tcBorders>
              <w:bottom w:val="single" w:sz="8" w:color="auto"/>
            </w:tcBorders>
          </w:tcPr>
          <w:p>
            <w:pPr>
              <w:spacing w:after="0"/>
              <w:rPr>
                <w:sz w:val="19"/>
                <w:szCs w:val="19"/>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1,216</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48 %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1,002</w:t>
            </w: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42 %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3,390</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46 %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1,332</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52 %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1,363</w:t>
            </w:r>
          </w:p>
        </w:tc>
        <w:tc>
          <w:tcPr>
            <w:tcW w:w="9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58 %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4,016</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54 %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275</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263</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849</w:t>
            </w: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783</w:t>
            </w:r>
          </w:p>
        </w:tc>
        <w:tc>
          <w:tcPr>
            <w:tcW w:w="66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2,823</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2,628</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8,255</w:t>
            </w:r>
          </w:p>
        </w:tc>
        <w:tc>
          <w:tcPr>
            <w:tcW w:w="10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7,832</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1,750</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63 %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1,882</w:t>
            </w:r>
          </w:p>
        </w:tc>
        <w:tc>
          <w:tcPr>
            <w:tcW w:w="9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66 %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5,429</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62 %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5,717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1,013</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37 %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963</w:t>
            </w: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34 %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3,280</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38 %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2,684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108</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312</w:t>
            </w:r>
          </w:p>
        </w:tc>
        <w:tc>
          <w:tcPr>
            <w:tcW w:w="10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374</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2,870</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2,953</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9,021</w:t>
            </w: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8,775</w:t>
            </w:r>
          </w:p>
        </w:tc>
        <w:tc>
          <w:tcPr>
            <w:tcW w:w="660" w:type="dxa"/>
            <w:vAlign w:val="bottom"/>
            <w:tcBorders>
              <w:bottom w:val="single" w:sz="8" w:color="auto"/>
            </w:tcBorders>
          </w:tcPr>
          <w:p>
            <w:pPr>
              <w:spacing w:after="0"/>
              <w:rPr>
                <w:sz w:val="19"/>
                <w:szCs w:val="19"/>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5,252</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53 %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5,261</w:t>
            </w: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54 %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15,742</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52 %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15,574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4,744</w:t>
            </w:r>
          </w:p>
        </w:tc>
        <w:tc>
          <w:tcPr>
            <w:tcW w:w="108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47 %</w:t>
            </w: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4,514</w:t>
            </w:r>
          </w:p>
        </w:tc>
        <w:tc>
          <w:tcPr>
            <w:tcW w:w="9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46 %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14,605</w:t>
            </w:r>
          </w:p>
        </w:tc>
        <w:tc>
          <w:tcPr>
            <w:tcW w:w="10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48 %</w:t>
            </w: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13,078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9,996</w:t>
            </w: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9,775</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30,347</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28,652</w:t>
            </w:r>
          </w:p>
        </w:tc>
        <w:tc>
          <w:tcPr>
            <w:tcW w:w="66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1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23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2,388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2,335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7,458</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 xml:space="preserve">86 %  </w:t>
            </w: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495</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653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60</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178</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183</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2,878</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2,766</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8,810</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7,876</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1,556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1,495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4,688</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84 %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4,406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536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217</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197</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627</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549</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2,084</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2,050</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6,227</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6,058</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2,121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1,933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6,098</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82 %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5,787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346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727</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235</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275</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263</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849</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783</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2,823</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2,628</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8,255</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7,832</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2,773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8,538</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98 %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8,175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112</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107</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108</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312</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374</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2,870</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2,953</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9,021</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8,775</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8,778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8,536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26,782</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88 %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25,045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378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1,114</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1,149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685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1,788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330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423</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670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9,996</w:t>
            </w: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9,775</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30,347</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28,652</w:t>
            </w:r>
          </w:p>
        </w:tc>
        <w:tc>
          <w:tcPr>
            <w:tcW w:w="68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other is principally comprised of the Middle East.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reviewed the accompanying condensed consolidated statement of financial position of Northrop Grumman Corporation and subsidiaries (the “Company”) as of September 30, 2024, and the related condensed consolidated statements of earnings and comprehensive income and changes in shareholders’ equity for the three-month and nine-month periods ended September 30, 2024 and 2023, and of cash flows for the nine-month periods ended September 30, 2024 and 2023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2023, and the related consolidated statements of earnings and comprehensive income, changes in shareholders’ equity, and cash flows for the year then ended (not presented herein); and in our report dated January 24, 2024, we expressed an unqualified opinion on those consolidated financial statements. In our opinion, the information set forth in the accompanying condensed consolidated statement of financial position as of December 31, 2023, is fairly stated, in all material respects, in relation to the audited consolidated statement of financial position from which it has been derived.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Deloitte &amp; Touche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2024</w:t>
      </w:r>
    </w:p>
    <w:p>
      <w:pPr>
        <w:spacing w:after="0" w:line="200" w:lineRule="exact"/>
        <w:rPr>
          <w:sz w:val="20"/>
          <w:szCs w:val="20"/>
          <w:color w:val="auto"/>
        </w:rPr>
      </w:pPr>
    </w:p>
    <w:p>
      <w:pPr>
        <w:sectPr>
          <w:pgSz w:w="11900" w:h="16838" w:orient="portrait"/>
          <w:cols w:equalWidth="0" w:num="2">
            <w:col w:w="200" w:space="540"/>
            <w:col w:w="10480"/>
          </w:cols>
          <w:pgMar w:left="320" w:top="10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680"/>
        <w:spacing w:after="0" w:line="31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ind w:right="160"/>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United States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2023 Annual Report on Form 10-K, which provides additional information on our business, the environment in which we operate and our operating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these events, including global unrest. The same is true for our suppliers and other business partners.</w:t>
      </w:r>
    </w:p>
    <w:p>
      <w:pPr>
        <w:spacing w:after="0" w:line="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ongoing conflicts in Ukraine and the escalating hostilities in the Middle East and threats elsewhere, particularly in the Pacific region, have increased global tensions and instability and highlighted security requirements globally, including in Europe, the Middle East and the Pacific region, as well as the U.S. These conflicts have resulted in and may continue to result in increased demand for defense products and services from allies and partner nations, particularly in those areas. For example, we have experienced, and, while difficult to predict, may continue to experience, an increase in demand for certain of our products and services directly and indirectly related to the conflict in Ukraine. Sales may occur directly or through the U.S. if it provides increased military assistance and support to Ukraine. We have not experienced, and do not anticipate experiencing, significant adverse financial impacts directly from the ongoing conflicts in Ukraine or the Middle East.</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the current global security environment highlights the significant national security threats to the U.S. and its allies, and the need for strong deterrence and robust defense capabilities, and are actively evaluating both opportunities and risks associated with this environment. We believe our capabilities, particularly in space, C4ISR, missile defense, battle management, advanced weapons, strategic deterrence, and survivable aircraft and mission systems should help our customers in the U.S. and globally defend against current and future threats and, as a result, continue to allow for long-term profitable business growth.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Environment</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Over the past several years, the global economic environment has experienced extraordinary challenges, including inflationary pressures; widespread delays and disruptions in supply chains; business slowdowns or shutdowns; workforce challenges and labor shortfalls; and market volatility. These macroeconomic factors have contributed, and we expect will continue to contribute, to increased costs, delays, disruptions and other performance challenges, as well as increased competing demands for limited resources to address such increased costs and other challenges, for our company, our suppliers and partners, and our customers. We continue to work hard to mitigate challenges caused by the macroeconomic environment on our business. We are seeing positive progress in the supply chain as on-time deliveries and quality have improved. In remaining areas of pressure, we are proactively working with our suppliers to ensure we meet our contract commitments. Although certain pockets of our business were adversely affected by the broader macroeconomic environment during the third quarter of 2024, the overall financial impact on our company has continued to subside.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although the federal funds interest rate decreased in the third quarter of 2024, an overall increase in interest rates in recent years has raised the cost of borrowing for governments, and if rates were to increase again, it could further impact government spending priorities (in the U.S. and allied countries, in particular), including their demand for defense products. Economic tensions and changes in international trade policies, including higher tariffs on imported goods and materials and renegotiation of free trade agreements, could also further impact the global market for defense products, services and solutions.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 U.S. continues to face an uncertain and evolving political, budget and regulatory environment. In particular, it is difficult to predict the specific course of future defense budgets. Current and future requirements related to the conflicts in Ukraine and the Middle East, threats in the Pacific regions and other security priorities, as well as global inflation, the national debt, and other domestic priorities, among other things, in the U.S. and globally, will continue to impact our customers’ budgets, spending and priorities, and our industry. The U.S. political environment, including the U.S. election cycle, may also impact defense budgets and priorities, issues related to the national debt, and government spending more broadly. We anticipate that issues related to budgetary priorities and defense spending levels, the debt ceiling, and the spending caps imposed by the Fiscal Responsibility Act of 2023 (FRA), particularly with respect to discretionary spending, will continue to be a subject of considerable debate, with a potentially significant impact on our programs and the company.</w:t>
      </w:r>
    </w:p>
    <w:p>
      <w:pPr>
        <w:spacing w:after="0" w:line="5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On March 11, 2024, the Administration released its budget request for FY 2025. The request included $895 billion for national security, $850 billion of which is for the DoD. FY 2025 appropriations have not been enacted and, on September 26, 2024, the President signed into law a continuing resolution (CR) to carry forward FY 2024 funding levels into FY 2025 while negotiations continue regarding full-year appropriations. The CR runs through December 20, 2024. It remains uncertain when the government will approve final FY 2025 appropriations, and the levels of funding that FY 2025 appropriations will provide. Government operations under an extended CR could have potential impacts on our programs and new starts, in particular.</w:t>
      </w:r>
    </w:p>
    <w:p>
      <w:pPr>
        <w:spacing w:after="0" w:line="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March 23, 2024, the President signed into law the Further Consolidated Appropriations Act for FY 2024, which provided funding for government agencies, including $825 billion for the DoD, through September 30, 2024. On April 24, 2024, the President signed into law bills providing $95 billion in supplemental funding for Ukraine, Israel and Indo-Pacific, which include $67 billion in DoD funding for the restock of U.S. munitions and additional capacity.</w:t>
      </w:r>
    </w:p>
    <w:p>
      <w:pPr>
        <w:spacing w:after="0" w:line="5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political environment, federal budget, debt ceiling and regulatory environment, including potential tax reform, are expected to continue to be the subject of considerable debate, especially in light of the ongoing conflicts and heightened global tensions, the macroeconomic environment and political tensions. The results of those debates could have material impacts on defense spending broadly and the company’s programs in particular.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0"/>
                <w:szCs w:val="20"/>
                <w:color w:val="auto"/>
              </w:rPr>
            </w:pPr>
          </w:p>
        </w:tc>
        <w:tc>
          <w:tcPr>
            <w:tcW w:w="1300" w:type="dxa"/>
            <w:vAlign w:val="bottom"/>
            <w:vMerge w:val="continue"/>
          </w:tcPr>
          <w:p>
            <w:pPr>
              <w:spacing w:after="0"/>
              <w:rPr>
                <w:sz w:val="20"/>
                <w:szCs w:val="20"/>
                <w:color w:val="auto"/>
              </w:rPr>
            </w:pPr>
          </w:p>
        </w:tc>
        <w:tc>
          <w:tcPr>
            <w:tcW w:w="2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9,996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9,775</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2 %</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30,347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28,652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8,876</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8,759</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w:t>
            </w:r>
          </w:p>
        </w:tc>
        <w:tc>
          <w:tcPr>
            <w:tcW w:w="2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27,066</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88.8 %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89.6 %</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89.2 %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89.8 %</w:t>
            </w: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1,120</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10 %</w:t>
            </w:r>
          </w:p>
        </w:tc>
        <w:tc>
          <w:tcPr>
            <w:tcW w:w="2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3,281</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2,930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11.2 %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10.4 %</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10.8 %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162</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555</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13.6 %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16.2 %</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16.0 %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1,026</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937</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9 %</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2,910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2,591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6.18</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13 %</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19.69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Third quarter 2024 sales increased $221 million, or 2 percent, due to higher sales at Mission Systems, Aeronautics Systems and Defense Systems, partially offset by lower sales at Space Systems largely driven by a reduction of $224 million associated with wind-down of our work on the restricted space and NGI programs, as previously disclosed. Third quarter 2024 sales reflect continued strong demand for our products and services.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2024 sales increased $1.7 billion, or 6 percent, due to higher sales at all four sectors, including 12 percent growth at Aeronautics Systems.</w:t>
      </w:r>
    </w:p>
    <w:p>
      <w:pPr>
        <w:spacing w:after="0" w:line="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10 to the financial statements for information regarding the company’s sales by customer type, contract type and geographic region for each of our segments.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Third quarter 2024 operating income increased $104 million, or 10 percent, primarily due to $57 million of higher segment operating income and a $40 million increase in the FAS/CAS operating adjustment. Operating margin rate increased to 11.2 percent from 10.4 percent primarily due to benefits associated with the FAS/CAS operating adjustment and a higher segment operating margin rate.</w:t>
      </w:r>
    </w:p>
    <w:p>
      <w:pPr>
        <w:spacing w:after="0" w:line="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Third quarter 2024 general and administrative (G&amp;A) costs as a percentage of sales decreased to 9.9 percent from 10.5 percent in the prior year period primarily due to cost management and higher sales.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Year to date 2024 operating income increased $351 million, or 12 percent, due to $208 million of higher segment operating income, a $94 million increase in the FAS/CAS operating adjustment and $49 million of lower unallocated corporate expense. Operating margin rate increased to 10.8 percent from 10.2 percent primarily due to benefits associated with the FAS/CAS operating adjustment and lower unallocated corporate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2024 G&amp;A costs as a percentage of sales decreased to 10.4 percent from 10.9 percent in the prior year period primarily due to higher sales.</w:t>
      </w:r>
    </w:p>
    <w:p>
      <w:pPr>
        <w:spacing w:after="0" w:line="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For information regarding product and service operating costs and expenses, see “Product and Service Analysis”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The company’s third quarter 2024 ETR decreased to 13.6 percent from 16.2 percent in the prior year period principally driven by a net reduction in tax reserves largely due to a recent federal court decision, partially offset by higher interest expense on unrecognized tax benefits.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year to date 2024 ETR decreased to 16.0 percent from 16.5 percent in the prior year period principally driven by a net reduction in tax reserves largely due to a recent federal court decision, partially offset by higher interest expense on unrecognized tax benefits.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Third quarter 2024 net earnings increased $89 million, or 9 percent, primarily due to $104 million of higher operating income, a $36 million increase in the non-operating FAS pension benefit and a lower effective tax rate, partially offset by a $97 million gain recognized in the prior year upon the sale of a minority investment.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Year to date 2024 net earnings increased $319 million, or 12 percent, primarily due to $351 million of higher operating income and a $106 million increase in the non-operating FAS pension benefit, partially offset by a $97 million gain recognized in the prior year upon the sale of a minority investment and $44 million of higher interest expense.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Third quarter 2024 diluted earnings per share increased 13 percent, reflecting a 9 percent increase in net earnings and a 3 percent reduction in weighted-average diluted shares outstanding.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Year to date 2024 diluted earnings per share increased 16 percent, reflecting a 12 percent increase in net earnings and a 3 percent reduction in weighted-average diluted shares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Effective July 1, 2024, the company realigned the Strategic Deterrent Systems (SDS) division, which includes the Sentinel program, from Space Systems to Defense Systems. This realignment is reflected in the accompanying financial information.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Performance Assessment and Reporting</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periodically record losses and restructure contract terms, conditions and pricing for certain programs. For additional information on the B-21, Sentinel and HALO programs, please see Note 1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4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42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1,120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1,016</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3,281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11.2 %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10.4 %</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10.8 %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2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(80)</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105 %</w:t>
            </w:r>
          </w:p>
        </w:tc>
        <w:tc>
          <w:tcPr>
            <w:tcW w:w="2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(211)</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83 %</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60</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2 %</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179</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2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Intangible asset amortization and PP&amp;E step-up</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72</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5 %</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46</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102</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1,146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1,089</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3,351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36"/>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11.5 %</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11.1 %</w:t>
            </w:r>
          </w:p>
        </w:tc>
        <w:tc>
          <w:tcPr>
            <w:tcW w:w="14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11.0 %</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3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Third quarter 2024 segment operating income increased $57 million, or 5 percent, primarily due to a higher segment operating margin rate and higher sales. Segment operating margin rate increased to 11.5 percent and reflects higher operating margin rates at Space Systems and Aeronautics Systems, partially offset by lower operating margin rates at Mission Systems and Defense Systems.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580"/>
        <w:spacing w:after="0" w:line="255" w:lineRule="auto"/>
        <w:rPr>
          <w:sz w:val="20"/>
          <w:szCs w:val="20"/>
          <w:color w:val="auto"/>
        </w:rPr>
      </w:pPr>
      <w:r>
        <w:rPr>
          <w:rFonts w:ascii="Times New Roman" w:cs="Times New Roman" w:eastAsia="Times New Roman" w:hAnsi="Times New Roman"/>
          <w:sz w:val="18"/>
          <w:szCs w:val="18"/>
          <w:color w:val="auto"/>
        </w:rPr>
        <w:t>Year to date 2024 segment operating income increased $208 million, or 7 percent, primarily due to higher sales. Segment operating margin rate was comparable to the prior year period and reflects a higher operating margin rate at Space Systems, partially offset by a lower operating margin rate at Mission Systems.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Third quarter 2024 and year to date 2024 FAS/CAS operating adjustment reflects higher CAS pension expense largely driven by plan asset returns in prior years and changes in certain CAS actuarial assumptions as of December 31,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third quarter 2024 unallocated corporate expense is primarily due to lower intangible asset amortization and PP&amp;E step-up depreciation.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decrease in year to date 2024 unallocated corporate expense is primarily due to lower intangible asset amortization and PP&amp;E step-up depreciation and a loss recognized in the prior year in connection with the divestiture of a small international subsidiary.</w:t>
      </w:r>
    </w:p>
    <w:p>
      <w:pPr>
        <w:spacing w:after="0" w:line="4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EAC Adjustments </w:t>
      </w:r>
      <w:r>
        <w:rPr>
          <w:rFonts w:ascii="Times New Roman" w:cs="Times New Roman" w:eastAsia="Times New Roman" w:hAnsi="Times New Roman"/>
          <w:sz w:val="18"/>
          <w:szCs w:val="18"/>
          <w:color w:val="auto"/>
        </w:rPr>
        <w:t>- We record changes in estimated contract earnings at completion (net EAC adjustments) using the cumulative catch-up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Net EAC adjustments can have a significant effect on segment operating income and margin rate.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favorable and unfavorable EAC adjustments are presented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17"/>
                <w:szCs w:val="17"/>
                <w:color w:val="auto"/>
              </w:rPr>
            </w:pPr>
          </w:p>
        </w:tc>
        <w:tc>
          <w:tcPr>
            <w:tcW w:w="20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7"/>
        </w:trPr>
        <w:tc>
          <w:tcPr>
            <w:tcW w:w="6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39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24"/>
                <w:szCs w:val="24"/>
                <w:color w:val="auto"/>
              </w:rPr>
            </w:pPr>
          </w:p>
        </w:tc>
        <w:tc>
          <w:tcPr>
            <w:tcW w:w="20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7"/>
        </w:trPr>
        <w:tc>
          <w:tcPr>
            <w:tcW w:w="6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40" w:type="dxa"/>
            <w:vAlign w:val="bottom"/>
          </w:tcPr>
          <w:p>
            <w:pPr>
              <w:spacing w:after="0"/>
              <w:rPr>
                <w:sz w:val="17"/>
                <w:szCs w:val="17"/>
                <w:color w:val="auto"/>
              </w:rPr>
            </w:pPr>
          </w:p>
        </w:tc>
        <w:tc>
          <w:tcPr>
            <w:tcW w:w="21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2,878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2,766</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8,810</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7,876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298</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5 %</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890</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10.4 %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10.1 %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Third quarter 2024 sales increased $112 million, or 4 percent, primarily due to higher F-35 production volume largely driven by the timing of materials, increased E-2 fleet sustainment and modernization work, higher Triton LRIP production volume and an increase in Global Hawk sustainment activities. These increases were partially offset by lower restricted sales.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Year to date 2024 sales increased $934 million, or 12 percent, primarily due to higher restricted sales, a $300 million increase in F-35 production and sustainment volume due, in part, to the timing of materials, a $137 million increase in Triton LRIP production volume, a $129 million increase in E-2 fleet sustainment and modernization work, and higher volume on Global Hawk sustainment activities.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Third quarter 2024 operating income increased $15 million, or 5 percent, due to higher sales and a higher operating margin rate. Operating margin rate increased to 10.4 percent from 10.2 percent principally due to higher net EAC adjustments, largely driven by improved performance and cost efficiencies on certain mature production programs.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7"/>
          <w:szCs w:val="17"/>
          <w:color w:val="auto"/>
        </w:rPr>
        <w:t>Year to date 2024 operating income increased $92 million, or 12 percent, due to higher sales and increased net EAC adjustments, largely driven by improved performance and cost efficiencies on certain mature production programs, partially offset by sales growth on low margin restricted programs.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2,084</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2,050</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6,227</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6,058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614</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9.4 %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9.9 %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Third quarter 2024 sales increased $34 million, or 2 percent, primarily due to higher volume on the Sentinel program, ramp-up on the Stand-in Attack Weapon (SiAW) program and higher volume on certain military ammunition programs. These increases were partially offset by lower volume due to the completion of an international training program and lower volume on the Special Electronic Mission Aircraft (SEMA) program as that program nears completion.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Year to date 2024 sales increased $169 million, or 3 percent, primarily due to a $115 million increase on certain military ammunition programs, a $112 million increase on the Guided Multiple Launch Rocket System (GMLRS) program driven by the timing of materials and increased order quantities, a $108 million increase on SiAW as the program ramps, and higher volume on the Sentinel program. These increases were partially offset by a $212 million decrease due to the completion of an international training program and lower volume on the SEMA program as it nears completion.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Third quarter 2024 operating income decreased $5 million, or 2 percent, due to a lower operating margin rate, partially offset by higher sales. Operating margin rate decreased to 9.4 percent from 9.8 percent principally due to lower net EAC adjustments and changes in contract mix.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Year to date 2024 operating income increased $9 million, or 1 percent, principally due to higher sales. Operating margin rate was comparable to the prior period.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2,823</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2,628</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8,255</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7,832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390</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386</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1,129</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13.8 %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14.7 %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13.7 %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Third quarter 2024 sales increased $195 million, or 7 percent, primarily due to higher volume on restricted advanced microelectronics and technology programs, increased marine systems sales due, in part, to the timing of materials, and higher Ground/Air Task Oriented Radar (G/ATOR) volume due to continued ramp-up on full-rate production (FRP) awards.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Year to date 2024 sales increased $423 million, or 5 percent, primarily due to higher volume on restricted advanced microelectronics and technology programs, the timing of materials on marine systems programs and FRP ramp-up on G/ATOR. These increases were partially offset by lower sales on the Scalable Agile Beam Radar (SABR) and F-35 programs.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Third quarter 2024 operating income increased $4 million, or 1 percent, due to higher sales, partially offset by a lower operating margin rate. Operating margin rate decreased to 13.8 percent from 14.7 percent primarily due to lower net EAC adjustments and changes in contract mix toward more cost-type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Year to date 2024 operating income decreased $18 million, or 2 percent, due to a lower operating margin rate, partially offset by higher sales. Operating margin rate decreased to 13.7 percent from 14.6 percent, primarily due to lower net EAC adjustments on certain airborne radar production programs due, in part, to production inefficiencies that have driven higher labor costs, as well as changes in contract mix toward more cost-type content. These decreases were partially offset by sales growth on higher margin advanced microelectronics programs.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2,870</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2,953</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9,021</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8,775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345</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14 %</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979</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12.0 %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10.9 %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9.6 %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Third quarter 2024 sales decreased $83 million, or 3 percent, primarily due to wind-down of our work on the restricted space and NGI programs, which reduced sales by $224 million. This reduction was partially offset by a $129 million increase on Space Development Agency (SDA) satellite programs and higher sales across our remaining restricted space portfolio.</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Year to date 2024 sales increased $246 million, or 3 percent, primarily due to a $322 million increase on SDA satellite programs, a $123 million increase on HALO, and higher materials volume on the GEM 63 program in support of Amazon’s Project Kuiper. These increases were partially offset by $365 million of lower sales associated with wind-down of our work on the restricted space and NGI programs. Lower sales associated with the wind-down of our work on the restricted space program were largely offset by higher sales across our remaining restricted space portfolio.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Third quarter 2024 operating income increased $43 million, or 14 percent, due to a higher operating margin rate, which more than offset lower sales. Operating margin rate increased to 12.0 percent from 10.2 percent principally due to an improvement in net EAC adjustments, partially offset by a $16 million benefit in the prior year from insurance recoveries in our commercial space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Year to date 2024 operating income increased $139 million, or 17 percent, due to a higher operating margin rate and higher sales. Operating margin rate increased to 10.9 percent from 9.6 percent principally due to an improvement in net EAC adjustments, partially offset by a $16 million benefit in the prior year from insurance recoveries in our commercial space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PRODUCT AND SERVICE ANALYSIS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0" w:type="dxa"/>
            <w:vAlign w:val="bottom"/>
          </w:tcPr>
          <w:p>
            <w:pPr>
              <w:spacing w:after="0"/>
              <w:rPr>
                <w:sz w:val="1"/>
                <w:szCs w:val="1"/>
                <w:color w:val="auto"/>
              </w:rPr>
            </w:pPr>
          </w:p>
        </w:tc>
      </w:tr>
      <w:tr>
        <w:trPr>
          <w:trHeight w:val="17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20" w:type="dxa"/>
            <w:vAlign w:val="bottom"/>
          </w:tcPr>
          <w:p>
            <w:pPr>
              <w:spacing w:after="0"/>
              <w:rPr>
                <w:sz w:val="15"/>
                <w:szCs w:val="15"/>
                <w:color w:val="auto"/>
              </w:rPr>
            </w:pPr>
          </w:p>
        </w:tc>
        <w:tc>
          <w:tcPr>
            <w:tcW w:w="6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0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280" w:type="dxa"/>
            <w:vAlign w:val="bottom"/>
          </w:tcPr>
          <w:p>
            <w:pPr>
              <w:spacing w:after="0"/>
              <w:rPr>
                <w:sz w:val="15"/>
                <w:szCs w:val="15"/>
                <w:color w:val="auto"/>
              </w:rPr>
            </w:pPr>
          </w:p>
        </w:tc>
        <w:tc>
          <w:tcPr>
            <w:tcW w:w="5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1,811</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2,878</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2,483</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8,810</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Defense Systems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2,084</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1,849</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6,227</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5,613</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1,590</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5,793</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Mission Systems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2,823</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2,433</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2,242</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8,255</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7,126</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6,706</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Space Systems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2,870</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2,525</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2,651</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8,042</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Service</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2,057</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1,788</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5,446</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Segment</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8,686</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 reconciliation of segment operating income to total operating income is included in “Segment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Third quarter 2024 product sales increased $261 million, or 3 percent, primarily due to an increase in product sales at Mission Systems and Defense Systems, partially offset by a decrease in product sales at Space Systems. The increases were principally due to higher restricted sales at Mission Systems and higher volume on Sentinel, SiAW and certain military ammunition programs at Defense Systems. The Space Systems decrease was principally due to wind-down of our work on the restricted space and NGI programs, partially offset by higher volume on the SDA T2TL programs at Space Systems.</w:t>
      </w:r>
    </w:p>
    <w:p>
      <w:pPr>
        <w:spacing w:after="0" w:line="6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Third quarter 2024 product costs increased $151 million, or 2 percent, consistent with the higher product sales described above and reflect a higher operating margin rate principally due to higher net EAC adjustments on Space Systems product programs.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Year to date 2024 product sales increased $1.7 billion, or 8 percent, primarily due to an increase in product sales at all four sectors. The increase was principally driven by higher volume on restricted programs, F-35, E-2 and Triton at Aeronautics Systems, higher volume on SiAW, certain military ammunition programs and GMLRS at Defense Systems, sales growth on SDA T2TL, HALO and GEM 63 at Space Systems, and higher restricted sales, partially offset by lower SABR and F-35 volume, at Mission Systems.</w:t>
      </w:r>
    </w:p>
    <w:p>
      <w:pPr>
        <w:spacing w:after="0" w:line="5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Year to date 2024 product costs increased $1.5 billion, or 7 percent, consistent with the higher product sales described above and reflect a higher operating margin rate principally due to higher net EAC adjustments on Space Systems product programs.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Third quarter 2024 service sales decreased $40 million, or 2 percent, primarily due to a decrease in service sales at Defense Systems principally due to the completion of an international training program and lower volume on SEMA, partially offset by an increase in service sales at Aeronautics Systems driven by higher volume on restricted programs.</w:t>
      </w:r>
    </w:p>
    <w:p>
      <w:pPr>
        <w:spacing w:after="0" w:line="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Third quarter 2024 service costs increased $13 million, or 1 percent, reflecting a lower operating margin rate principally due to a $16 million prior year benefit for insurance recoveries at Space Systems, changes in contract mix at Defense Systems and lower net EAC adjustments on Mission Systems service programs.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Year to date 2024 service sales decreased $32 million, or 1 percent, primarily due to a decrease in service sales at Defense Systems principally due to the completion of an international training program and lower volume on SEMA, partially offset by an increase in service sales at Aeronautics Systems driven by higher volume on restricted programs and Global Hawk.</w:t>
      </w:r>
    </w:p>
    <w:p>
      <w:pPr>
        <w:spacing w:after="0" w:line="6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Year to date 2024 service costs were comparable with the prior year period reflecting a lower operating margin rate principally due to lower net EAC adjustments on Mission Systems service programs, as well as a $16 million prior year benefit for insurance recoveries at Space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as of September 30, 2024 and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43"/>
        </w:trPr>
        <w:tc>
          <w:tcPr>
            <w:tcW w:w="44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8,541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10,171</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17,398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5,256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13,937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45,132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84,800</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84,230</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Third quarter and year to date 2024 net awards totaled $11.7 billion and $33.3 billion, respectively, and backlog totaled $84.8 billion. Significant third quarter new awards include $2.7 billion for restricted programs (primarily at Mission Systems, Aeronautics Systems, and Space Systems), $1.6 billion for E-2 and $0.7 billion for certain military ammunition programs.</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reduced unfunded backlog by $1.6 billion related to a termination for convenience in our restricted space business.</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reduced unfunded backlog by $0.7 billion related to a termination for convenience on the Next Generation Interceptor (NGI) program at Space Systems.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 September 30, 2024, we had $3.3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$2.5 billion, and in April 2024, we renewed our one-year $500 million uncommitted credit facility. At September 30, 2024, there were no borrowings outstanding under these credit facilities. In January 2024, we issued $2.5 billion of unsecured senior notes for general corporate purposes, including debt repayment, share repurchases and working capital.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IRC Section 174</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eliminated the option to deduct research and development expenditures in the current year and requires taxpayers to amortize them over five years pursuant to IRC Section 174. Our 2023 cash from operations were reduced by approximately $500 million for federal estimated tax payments we made related to Section 174. In the future, Congress may consider legislation that would defer the amortization requirement to later years, possibly with retroactive effect. In the meantime, we expect to continue to make additional federal tax payments based on the current Section 174 tax law, which we estimate will reduce our 2024 cash from operations by approximately $350 million. The impact of Section 174 on our cash from operations depends on the amount of research and development expenditures incurred by the company and whether the IRS issues guidance on the provision which differs from our current interpretation, among other things.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free cash flow, a non-GAAP measure described in more detail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provided by operating activities: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2,910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depreciation and amortization, stock based compensation expense, deferred income taxes and net periodic pension and OPB income.</w:t>
      </w:r>
    </w:p>
    <w:p>
      <w:pPr>
        <w:spacing w:after="0" w:line="7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Year to date 2024 net cash provided by operating activities increased $365 million as compared with the same period in 2023 primarily due to higher net earnings and improved trade working capital, largely driven by lower net federal tax payments, partially offset by the timing of billings and cash collections.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measure defined as net cash provided by or used in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reconciles net cash provided by operating activities to free cash flow:</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September 30</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1,810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(951)</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859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Year to date 2024 free cash flow increased $386 million, or 82 percent, as compared with the same period in 2023 principally due to higher net cash provided by operating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Year to date 2024 net cash used in investing activities increased $139 million, or 17 percent, as compared with the same period in 2023 principally due to $157 million of proceeds received in the prior year from the sale of a minority investment, partially offset by lower capital expenditures largely driven by timing.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Year to date 2024 net cash used in financing activities decreased $486 million, or 43 percent, as compared with the same period in 2023, primarily due to $1.05 billion of fewer debt repayments and a $500 million increase in proceeds from long-term debt, partially offset by a $919 million increase in share repurchases and a $53 million increase in dividends paid.</w:t>
      </w:r>
    </w:p>
    <w:p>
      <w:pPr>
        <w:spacing w:after="0" w:line="62"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Commercial Paper and Financial Arrangements - </w:t>
      </w:r>
      <w:r>
        <w:rPr>
          <w:rFonts w:ascii="Times New Roman" w:cs="Times New Roman" w:eastAsia="Times New Roman" w:hAnsi="Times New Roman"/>
          <w:sz w:val="18"/>
          <w:szCs w:val="18"/>
          <w:color w:val="auto"/>
        </w:rPr>
        <w:t>See Note 7 to the financial statements for further information on our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our use of standby letters of credit and guarantees.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2 to the financial statements for further information on our share repurchase programs.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See Note 5 to the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discussed in our 2023 Annual Report on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2023 Annual Report on Form 10-K and from time to time in our other filings with the SEC. They include: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90"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103" w:lineRule="exact"/>
        <w:rPr>
          <w:rFonts w:ascii="Times New Roman" w:cs="Times New Roman" w:eastAsia="Times New Roman" w:hAnsi="Times New Roman"/>
          <w:sz w:val="18"/>
          <w:szCs w:val="18"/>
          <w:color w:val="auto"/>
        </w:rPr>
      </w:pPr>
    </w:p>
    <w:p>
      <w:pPr>
        <w:ind w:left="340" w:right="80" w:hanging="332"/>
        <w:spacing w:after="0" w:line="312" w:lineRule="auto"/>
        <w:tabs>
          <w:tab w:leader="none" w:pos="3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18"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payments as a result of or related to a breach of the debt ceiling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left="340" w:right="100" w:hanging="332"/>
        <w:spacing w:after="0" w:line="26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 judgments and assumptions in estimating and/or projecting contract revenue and performance which may be inaccurate</w:t>
      </w:r>
    </w:p>
    <w:p>
      <w:pPr>
        <w:spacing w:after="0" w:line="5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pressures from macroeconomic trends, including on costs, schedules, performance and ability to meet expectations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10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(including criminal, civil and administrative) and/or other legal proceedings</w:t>
      </w:r>
    </w:p>
    <w:p>
      <w:pPr>
        <w:spacing w:after="0" w:line="9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40"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climate change, unforeseen environmental costs and government and third party claims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10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talented and diverse workforce with the necessary security clearances to meet our performance obligations</w:t>
      </w:r>
    </w:p>
    <w:p>
      <w:pPr>
        <w:spacing w:after="0" w:line="103"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and components, particularly with inflationary pressures, increased costs, shortages in labor and financial resources, supply chain disruptions, and extended material lead times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related to health epidemics and pandemics and similar outbreaks</w:t>
      </w:r>
    </w:p>
    <w:p>
      <w:pPr>
        <w:spacing w:after="0" w:line="90"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new products and technologies, progress and benefit from digital transformation and maintain technologies to meet the needs of our customers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9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exploit and/or protect intellectual property rights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and ability to obtain, insurance coverage, customer indemnifications or other liability protections</w:t>
      </w:r>
    </w:p>
    <w:p>
      <w:pPr>
        <w:spacing w:after="0" w:line="103"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40" w:lineRule="exact"/>
        <w:rPr>
          <w:rFonts w:ascii="Times New Roman" w:cs="Times New Roman" w:eastAsia="Times New Roman" w:hAnsi="Times New Roman"/>
          <w:sz w:val="18"/>
          <w:szCs w:val="18"/>
          <w:i w:val="1"/>
          <w:iCs w:val="1"/>
          <w:color w:val="auto"/>
        </w:rPr>
      </w:pPr>
    </w:p>
    <w:p>
      <w:pPr>
        <w:ind w:left="340" w:right="40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 and other potential future liabilities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from those discussed in our 2023 Annual Report on Form 10-K.</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September 30, 2024,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2024,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6 and 7 to the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2023 Annual Report on Form 10-K.</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risk factors please see the section entitled “Risk Factors” in our 2023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September 30,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140" w:type="dxa"/>
            <w:vAlign w:val="bottom"/>
            <w:vMerge w:val="restart"/>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18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80" w:type="dxa"/>
            <w:vAlign w:val="bottom"/>
          </w:tcPr>
          <w:p>
            <w:pPr>
              <w:spacing w:after="0"/>
              <w:rPr>
                <w:sz w:val="16"/>
                <w:szCs w:val="16"/>
                <w:color w:val="auto"/>
              </w:rPr>
            </w:pPr>
          </w:p>
        </w:tc>
        <w:tc>
          <w:tcPr>
            <w:tcW w:w="116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3"/>
                <w:szCs w:val="23"/>
                <w:b w:val="1"/>
                <w:bCs w:val="1"/>
                <w:color w:val="auto"/>
                <w:w w:val="92"/>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29, 2024 - July 26, 2024</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283,079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437.69</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283,079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2024 - August 23, 2024</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185,039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495.77</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185,039</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24, 2024 - September 27, 2024</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182,754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520.80</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182,754</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650,872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477.54</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650,872</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commissions paid and other costs of execution, including taxes.</w:t>
      </w:r>
    </w:p>
    <w:p>
      <w:pPr>
        <w:spacing w:after="0" w:line="71"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Consistent with Item 408 of Regulation S-K, the following table reflects Rule 10b5-1 trading arrangements and non-Rule 10b5-1 trading arrangements (as defined in Item 408) entered into by any director or officer (as defined in Rule 16a-1(f) of the Exchange Act) during the quarter ended September 30, 2024.</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5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1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0" w:type="dxa"/>
            <w:vAlign w:val="bottom"/>
          </w:tcPr>
          <w:p>
            <w:pPr>
              <w:spacing w:after="0"/>
              <w:rPr>
                <w:sz w:val="1"/>
                <w:szCs w:val="1"/>
                <w:color w:val="auto"/>
              </w:rPr>
            </w:pPr>
          </w:p>
        </w:tc>
      </w:tr>
      <w:tr>
        <w:trPr>
          <w:trHeight w:val="176"/>
        </w:trPr>
        <w:tc>
          <w:tcPr>
            <w:tcW w:w="104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3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Expiration Date of Trading Arrangement</w:t>
            </w:r>
          </w:p>
        </w:tc>
        <w:tc>
          <w:tcPr>
            <w:tcW w:w="218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Securities to Be Purchased</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580" w:type="dxa"/>
            <w:vAlign w:val="bottom"/>
            <w:vMerge w:val="continue"/>
          </w:tcPr>
          <w:p>
            <w:pPr>
              <w:spacing w:after="0"/>
              <w:rPr>
                <w:sz w:val="21"/>
                <w:szCs w:val="21"/>
                <w:color w:val="auto"/>
              </w:rPr>
            </w:pPr>
          </w:p>
        </w:tc>
        <w:tc>
          <w:tcPr>
            <w:tcW w:w="3500" w:type="dxa"/>
            <w:vAlign w:val="bottom"/>
            <w:vMerge w:val="continue"/>
          </w:tcPr>
          <w:p>
            <w:pPr>
              <w:spacing w:after="0"/>
              <w:rPr>
                <w:sz w:val="21"/>
                <w:szCs w:val="21"/>
                <w:color w:val="auto"/>
              </w:rPr>
            </w:pPr>
          </w:p>
        </w:tc>
        <w:tc>
          <w:tcPr>
            <w:tcW w:w="21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or Sold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74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tbl>
      <w:tblPr>
        <w:tblLayout w:type="fixed"/>
        <w:tblInd w:w="20" w:type="dxa"/>
        <w:tblCellMar>
          <w:top w:w="0" w:type="dxa"/>
          <w:left w:w="0" w:type="dxa"/>
          <w:bottom w:w="0" w:type="dxa"/>
          <w:right w:w="0" w:type="dxa"/>
        </w:tblCellMar>
      </w:tblPr>
      <w:tr>
        <w:trPr>
          <w:trHeight w:val="189"/>
        </w:trPr>
        <w:tc>
          <w:tcPr>
            <w:tcW w:w="2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Kathy J. Warden</w:t>
            </w: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Rule 10b5-1</w:t>
            </w:r>
          </w:p>
        </w:tc>
        <w:tc>
          <w:tcPr>
            <w:tcW w:w="50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August 22, 2024  Until January 31, 2025 or such earlier date upon</w:t>
            </w:r>
          </w:p>
        </w:tc>
        <w:tc>
          <w:tcPr>
            <w:tcW w:w="0" w:type="dxa"/>
            <w:vAlign w:val="bottom"/>
          </w:tcPr>
          <w:p>
            <w:pPr>
              <w:spacing w:after="0"/>
              <w:rPr>
                <w:sz w:val="1"/>
                <w:szCs w:val="1"/>
                <w:color w:val="auto"/>
              </w:rPr>
            </w:pPr>
          </w:p>
        </w:tc>
      </w:tr>
      <w:tr>
        <w:trPr>
          <w:trHeight w:val="184"/>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(Chair, Chief Executive Officer</w:t>
            </w:r>
          </w:p>
        </w:tc>
        <w:tc>
          <w:tcPr>
            <w:tcW w:w="1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Trading</w:t>
            </w:r>
          </w:p>
        </w:tc>
        <w:tc>
          <w:tcPr>
            <w:tcW w:w="5040" w:type="dxa"/>
            <w:vAlign w:val="bottom"/>
          </w:tcPr>
          <w:p>
            <w:pPr>
              <w:ind w:left="1540"/>
              <w:spacing w:after="0" w:line="184" w:lineRule="exact"/>
              <w:rPr>
                <w:sz w:val="20"/>
                <w:szCs w:val="20"/>
                <w:color w:val="auto"/>
              </w:rPr>
            </w:pPr>
            <w:r>
              <w:rPr>
                <w:rFonts w:ascii="Times New Roman" w:cs="Times New Roman" w:eastAsia="Times New Roman" w:hAnsi="Times New Roman"/>
                <w:sz w:val="18"/>
                <w:szCs w:val="18"/>
                <w:color w:val="auto"/>
                <w:w w:val="99"/>
              </w:rPr>
              <w:t>the completion of all trades under the plan or the</w:t>
            </w:r>
          </w:p>
        </w:tc>
        <w:tc>
          <w:tcPr>
            <w:tcW w:w="0" w:type="dxa"/>
            <w:vAlign w:val="bottom"/>
          </w:tcPr>
          <w:p>
            <w:pPr>
              <w:spacing w:after="0"/>
              <w:rPr>
                <w:sz w:val="1"/>
                <w:szCs w:val="1"/>
                <w:color w:val="auto"/>
              </w:rPr>
            </w:pPr>
          </w:p>
        </w:tc>
      </w:tr>
      <w:tr>
        <w:trPr>
          <w:trHeight w:val="59"/>
        </w:trPr>
        <w:tc>
          <w:tcPr>
            <w:tcW w:w="2500" w:type="dxa"/>
            <w:vAlign w:val="bottom"/>
            <w:vMerge w:val="continue"/>
          </w:tcPr>
          <w:p>
            <w:pPr>
              <w:spacing w:after="0"/>
              <w:rPr>
                <w:sz w:val="5"/>
                <w:szCs w:val="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Arrangement</w:t>
            </w:r>
          </w:p>
        </w:tc>
        <w:tc>
          <w:tcPr>
            <w:tcW w:w="5040" w:type="dxa"/>
            <w:vAlign w:val="bottom"/>
            <w:vMerge w:val="restart"/>
          </w:tcPr>
          <w:p>
            <w:pPr>
              <w:ind w:left="1540"/>
              <w:spacing w:after="0"/>
              <w:rPr>
                <w:sz w:val="20"/>
                <w:szCs w:val="20"/>
                <w:color w:val="auto"/>
              </w:rPr>
            </w:pPr>
            <w:r>
              <w:rPr>
                <w:rFonts w:ascii="Times New Roman" w:cs="Times New Roman" w:eastAsia="Times New Roman" w:hAnsi="Times New Roman"/>
                <w:sz w:val="18"/>
                <w:szCs w:val="18"/>
                <w:color w:val="auto"/>
              </w:rPr>
              <w:t>occurrence of such other termination events as</w:t>
            </w:r>
          </w:p>
        </w:tc>
        <w:tc>
          <w:tcPr>
            <w:tcW w:w="0" w:type="dxa"/>
            <w:vAlign w:val="bottom"/>
          </w:tcPr>
          <w:p>
            <w:pPr>
              <w:spacing w:after="0"/>
              <w:rPr>
                <w:sz w:val="1"/>
                <w:szCs w:val="1"/>
                <w:color w:val="auto"/>
              </w:rPr>
            </w:pPr>
          </w:p>
        </w:tc>
      </w:tr>
      <w:tr>
        <w:trPr>
          <w:trHeight w:val="175"/>
        </w:trPr>
        <w:tc>
          <w:tcPr>
            <w:tcW w:w="25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 President)</w:t>
            </w:r>
          </w:p>
        </w:tc>
        <w:tc>
          <w:tcPr>
            <w:tcW w:w="1380" w:type="dxa"/>
            <w:vAlign w:val="bottom"/>
            <w:vMerge w:val="continue"/>
          </w:tcPr>
          <w:p>
            <w:pPr>
              <w:spacing w:after="0"/>
              <w:rPr>
                <w:sz w:val="15"/>
                <w:szCs w:val="15"/>
                <w:color w:val="auto"/>
              </w:rPr>
            </w:pP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0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specified in the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320"/>
        <w:spacing w:after="0" w:line="237" w:lineRule="auto"/>
        <w:rPr>
          <w:sz w:val="20"/>
          <w:szCs w:val="20"/>
          <w:color w:val="auto"/>
        </w:rPr>
      </w:pPr>
      <w:r>
        <w:rPr>
          <w:rFonts w:ascii="Times New Roman" w:cs="Times New Roman" w:eastAsia="Times New Roman" w:hAnsi="Times New Roman"/>
          <w:sz w:val="18"/>
          <w:szCs w:val="18"/>
          <w:color w:val="auto"/>
        </w:rPr>
        <w:t>Sale of 15,000 shares of common stock</w:t>
      </w:r>
    </w:p>
    <w:p>
      <w:pPr>
        <w:spacing w:after="0" w:line="624" w:lineRule="exact"/>
        <w:rPr>
          <w:sz w:val="20"/>
          <w:szCs w:val="20"/>
          <w:color w:val="auto"/>
        </w:rPr>
      </w:pPr>
    </w:p>
    <w:p>
      <w:pPr>
        <w:sectPr>
          <w:pgSz w:w="11900" w:h="16838" w:orient="portrait"/>
          <w:cols w:equalWidth="0" w:num="2">
            <w:col w:w="8940" w:space="220"/>
            <w:col w:w="2040"/>
          </w:cols>
          <w:pgMar w:left="320" w:top="114" w:right="379" w:bottom="1440" w:gutter="0" w:footer="0" w:header="0"/>
          <w:type w:val="continuous"/>
        </w:sect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Benjamin R. Davies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Rule 10b5-1</w:t>
            </w: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6, 2024  Until March 14, 2025 or such earlier date upon the</w:t>
            </w:r>
          </w:p>
        </w:tc>
        <w:tc>
          <w:tcPr>
            <w:tcW w:w="0" w:type="dxa"/>
            <w:vAlign w:val="bottom"/>
          </w:tcPr>
          <w:p>
            <w:pPr>
              <w:spacing w:after="0"/>
              <w:rPr>
                <w:sz w:val="1"/>
                <w:szCs w:val="1"/>
                <w:color w:val="auto"/>
              </w:rPr>
            </w:pPr>
          </w:p>
        </w:tc>
      </w:tr>
      <w:tr>
        <w:trPr>
          <w:trHeight w:val="184"/>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 Vice President and</w:t>
            </w:r>
          </w:p>
        </w:tc>
        <w:tc>
          <w:tcPr>
            <w:tcW w:w="1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Trading</w:t>
            </w:r>
          </w:p>
        </w:tc>
        <w:tc>
          <w:tcPr>
            <w:tcW w:w="5140" w:type="dxa"/>
            <w:vAlign w:val="bottom"/>
          </w:tcPr>
          <w:p>
            <w:pPr>
              <w:ind w:left="1500"/>
              <w:spacing w:after="0" w:line="184" w:lineRule="exact"/>
              <w:rPr>
                <w:sz w:val="20"/>
                <w:szCs w:val="20"/>
                <w:color w:val="auto"/>
              </w:rPr>
            </w:pPr>
            <w:r>
              <w:rPr>
                <w:rFonts w:ascii="Times New Roman" w:cs="Times New Roman" w:eastAsia="Times New Roman" w:hAnsi="Times New Roman"/>
                <w:sz w:val="18"/>
                <w:szCs w:val="18"/>
                <w:color w:val="auto"/>
              </w:rPr>
              <w:t>completion of all trades under the plan or the</w:t>
            </w:r>
          </w:p>
        </w:tc>
        <w:tc>
          <w:tcPr>
            <w:tcW w:w="0" w:type="dxa"/>
            <w:vAlign w:val="bottom"/>
          </w:tcPr>
          <w:p>
            <w:pPr>
              <w:spacing w:after="0"/>
              <w:rPr>
                <w:sz w:val="1"/>
                <w:szCs w:val="1"/>
                <w:color w:val="auto"/>
              </w:rPr>
            </w:pPr>
          </w:p>
        </w:tc>
      </w:tr>
      <w:tr>
        <w:trPr>
          <w:trHeight w:val="72"/>
        </w:trPr>
        <w:tc>
          <w:tcPr>
            <w:tcW w:w="2460" w:type="dxa"/>
            <w:vAlign w:val="bottom"/>
            <w:vMerge w:val="continue"/>
          </w:tcPr>
          <w:p>
            <w:pPr>
              <w:spacing w:after="0"/>
              <w:rPr>
                <w:sz w:val="6"/>
                <w:szCs w:val="6"/>
                <w:color w:val="auto"/>
              </w:rPr>
            </w:pPr>
          </w:p>
        </w:tc>
        <w:tc>
          <w:tcPr>
            <w:tcW w:w="14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Arrangement</w:t>
            </w:r>
          </w:p>
        </w:tc>
        <w:tc>
          <w:tcPr>
            <w:tcW w:w="5140" w:type="dxa"/>
            <w:vAlign w:val="bottom"/>
            <w:vMerge w:val="restart"/>
          </w:tcPr>
          <w:p>
            <w:pPr>
              <w:ind w:left="1500"/>
              <w:spacing w:after="0" w:line="181" w:lineRule="exact"/>
              <w:rPr>
                <w:sz w:val="20"/>
                <w:szCs w:val="20"/>
                <w:color w:val="auto"/>
              </w:rPr>
            </w:pPr>
            <w:r>
              <w:rPr>
                <w:rFonts w:ascii="Times New Roman" w:cs="Times New Roman" w:eastAsia="Times New Roman" w:hAnsi="Times New Roman"/>
                <w:sz w:val="18"/>
                <w:szCs w:val="18"/>
                <w:color w:val="auto"/>
              </w:rPr>
              <w:t>occurrence of such other termination events as</w:t>
            </w:r>
          </w:p>
        </w:tc>
        <w:tc>
          <w:tcPr>
            <w:tcW w:w="0" w:type="dxa"/>
            <w:vAlign w:val="bottom"/>
          </w:tcPr>
          <w:p>
            <w:pPr>
              <w:spacing w:after="0"/>
              <w:rPr>
                <w:sz w:val="1"/>
                <w:szCs w:val="1"/>
                <w:color w:val="auto"/>
              </w:rPr>
            </w:pPr>
          </w:p>
        </w:tc>
      </w:tr>
      <w:tr>
        <w:trPr>
          <w:trHeight w:val="108"/>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President, Defense Systems)</w:t>
            </w:r>
          </w:p>
        </w:tc>
        <w:tc>
          <w:tcPr>
            <w:tcW w:w="1460" w:type="dxa"/>
            <w:vAlign w:val="bottom"/>
            <w:vMerge w:val="continue"/>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514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color w:val="auto"/>
              </w:rPr>
              <w:t>specified in the plan.</w:t>
            </w: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8"/>
          <w:szCs w:val="18"/>
          <w:color w:val="auto"/>
        </w:rPr>
        <w:t>Sale of 1,449 shares of common stock</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Sale of shares to be received upon payout of 2022 RPSRs and RSRs</w:t>
      </w:r>
      <w:r>
        <w:rPr>
          <w:rFonts w:ascii="Times New Roman" w:cs="Times New Roman" w:eastAsia="Times New Roman" w:hAnsi="Times New Roman"/>
          <w:sz w:val="23"/>
          <w:szCs w:val="23"/>
          <w:color w:val="auto"/>
          <w:vertAlign w:val="superscript"/>
        </w:rPr>
        <w:t>(1)</w:t>
      </w:r>
    </w:p>
    <w:p>
      <w:pPr>
        <w:spacing w:after="0" w:line="188" w:lineRule="exact"/>
        <w:rPr>
          <w:sz w:val="20"/>
          <w:szCs w:val="20"/>
          <w:color w:val="auto"/>
        </w:rPr>
      </w:pPr>
    </w:p>
    <w:p>
      <w:pPr>
        <w:sectPr>
          <w:pgSz w:w="11900" w:h="16838" w:orient="portrait"/>
          <w:cols w:equalWidth="0" w:num="2">
            <w:col w:w="9080" w:space="80"/>
            <w:col w:w="2040"/>
          </w:cols>
          <w:pgMar w:left="320" w:top="114" w:right="379" w:bottom="1440" w:gutter="0" w:footer="0" w:header="0"/>
          <w:type w:val="continuous"/>
        </w:sectPr>
      </w:pPr>
    </w:p>
    <w:p>
      <w:pPr>
        <w:ind w:left="240" w:hanging="232"/>
        <w:spacing w:after="0"/>
        <w:tabs>
          <w:tab w:leader="none" w:pos="2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shares to be sold will depend, in part, on future company performance.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56" w:lineRule="exact"/>
        <w:rPr>
          <w:rFonts w:ascii="Times New Roman" w:cs="Times New Roman" w:eastAsia="Times New Roman" w:hAnsi="Times New Roman"/>
          <w:sz w:val="16"/>
          <w:szCs w:val="16"/>
          <w:color w:val="auto"/>
        </w:rPr>
      </w:pPr>
    </w:p>
    <w:p>
      <w:pPr>
        <w:ind w:left="5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0000FF"/>
        </w:rPr>
        <w:t>Letter from Independent Registered Public Accounting Firm</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Kathy J. Warden pursuant to Section 302 of the Sarbanes-Oxley Act of 2002</w:t>
      </w:r>
    </w:p>
    <w:p>
      <w:pPr>
        <w:spacing w:after="0" w:line="77" w:lineRule="exact"/>
        <w:rPr>
          <w:sz w:val="20"/>
          <w:szCs w:val="20"/>
          <w:color w:val="auto"/>
        </w:rPr>
      </w:pPr>
    </w:p>
    <w:p>
      <w:pPr>
        <w:ind w:left="440" w:right="3320" w:firstLine="90"/>
        <w:spacing w:after="0" w:line="348"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0000FF"/>
        </w:rPr>
        <w:t>Certification of Kenneth B. Crews pursuant to Section 302 of the Sarbanes-Oxley Act of 2002</w:t>
      </w:r>
      <w:r>
        <w:rPr>
          <w:rFonts w:ascii="Times New Roman" w:cs="Times New Roman" w:eastAsia="Times New Roman" w:hAnsi="Times New Roman"/>
          <w:sz w:val="17"/>
          <w:szCs w:val="17"/>
          <w:color w:val="auto"/>
        </w:rPr>
        <w:t xml:space="preserve"> **32.1 </w:t>
      </w:r>
      <w:r>
        <w:rPr>
          <w:rFonts w:ascii="Times New Roman" w:cs="Times New Roman" w:eastAsia="Times New Roman" w:hAnsi="Times New Roman"/>
          <w:sz w:val="17"/>
          <w:szCs w:val="17"/>
          <w:u w:val="single" w:color="auto"/>
          <w:color w:val="0000FF"/>
        </w:rPr>
        <w:t>Certification of Kathy J. Warden pursuant to Section 906 of the Sarbanes-Oxley Act of 2002</w:t>
      </w:r>
      <w:r>
        <w:rPr>
          <w:rFonts w:ascii="Times New Roman" w:cs="Times New Roman" w:eastAsia="Times New Roman" w:hAnsi="Times New Roman"/>
          <w:sz w:val="17"/>
          <w:szCs w:val="17"/>
          <w:color w:val="auto"/>
        </w:rPr>
        <w:t xml:space="preserve"> **32.2 </w:t>
      </w:r>
      <w:r>
        <w:rPr>
          <w:rFonts w:ascii="Times New Roman" w:cs="Times New Roman" w:eastAsia="Times New Roman" w:hAnsi="Times New Roman"/>
          <w:sz w:val="17"/>
          <w:szCs w:val="17"/>
          <w:u w:val="single" w:color="auto"/>
          <w:color w:val="0000FF"/>
        </w:rPr>
        <w:t>Certification of Kenneth B. Crews pursuant to Section 906 of the Sarbanes-Oxley Act of 2002</w:t>
      </w:r>
    </w:p>
    <w:p>
      <w:pPr>
        <w:ind w:left="980" w:right="280" w:hanging="395"/>
        <w:spacing w:after="0" w:line="236" w:lineRule="auto"/>
        <w:rPr>
          <w:sz w:val="20"/>
          <w:szCs w:val="20"/>
          <w:color w:val="auto"/>
        </w:rPr>
      </w:pPr>
      <w:r>
        <w:rPr>
          <w:rFonts w:ascii="Times New Roman" w:cs="Times New Roman" w:eastAsia="Times New Roman" w:hAnsi="Times New Roman"/>
          <w:sz w:val="17"/>
          <w:szCs w:val="17"/>
          <w:color w:val="auto"/>
        </w:rPr>
        <w:t>*101 Northrop Grumman Corporation Quarterly Report on Form 10-Q for the quarter ended September 30, 2024, formatted as inline XBRL (Extensible Business Reporting Language): (i) the Cover Page, (ii) Condensed Consolidated Statements of Earnings and Comprehensive</w:t>
      </w:r>
    </w:p>
    <w:p>
      <w:pPr>
        <w:ind w:left="980"/>
        <w:spacing w:after="0" w:line="231" w:lineRule="auto"/>
        <w:rPr>
          <w:sz w:val="20"/>
          <w:szCs w:val="20"/>
          <w:color w:val="auto"/>
        </w:rPr>
      </w:pPr>
      <w:r>
        <w:rPr>
          <w:rFonts w:ascii="Times New Roman" w:cs="Times New Roman" w:eastAsia="Times New Roman" w:hAnsi="Times New Roman"/>
          <w:sz w:val="17"/>
          <w:szCs w:val="17"/>
          <w:color w:val="auto"/>
        </w:rPr>
        <w:t>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80" w:lineRule="exact"/>
        <w:rPr>
          <w:sz w:val="20"/>
          <w:szCs w:val="20"/>
          <w:color w:val="auto"/>
        </w:rPr>
      </w:pPr>
    </w:p>
    <w:p>
      <w:pPr>
        <w:ind w:left="980" w:hanging="630"/>
        <w:spacing w:after="0"/>
        <w:tabs>
          <w:tab w:leader="none" w:pos="98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Filed with this report</w:t>
      </w:r>
    </w:p>
    <w:p>
      <w:pPr>
        <w:ind w:left="980" w:hanging="630"/>
        <w:spacing w:after="0" w:line="204" w:lineRule="auto"/>
        <w:tabs>
          <w:tab w:leader="none" w:pos="98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ind w:left="7360"/>
        <w:spacing w:after="0"/>
        <w:rPr>
          <w:sz w:val="20"/>
          <w:szCs w:val="20"/>
          <w:color w:val="auto"/>
        </w:rPr>
      </w:pP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8"/>
          <w:szCs w:val="18"/>
          <w:color w:val="auto"/>
        </w:rPr>
        <w:t>Michael A. Hardesty</w:t>
      </w:r>
    </w:p>
    <w:p>
      <w:pPr>
        <w:jc w:val="center"/>
        <w:ind w:left="5240"/>
        <w:spacing w:after="0" w:line="205" w:lineRule="auto"/>
        <w:rPr>
          <w:sz w:val="20"/>
          <w:szCs w:val="20"/>
          <w:color w:val="auto"/>
        </w:rPr>
      </w:pPr>
      <w:r>
        <w:rPr>
          <w:rFonts w:ascii="Times New Roman" w:cs="Times New Roman" w:eastAsia="Times New Roman" w:hAnsi="Times New Roman"/>
          <w:sz w:val="18"/>
          <w:szCs w:val="18"/>
          <w:color w:val="auto"/>
        </w:rPr>
        <w:t>Corporate Vice President, Controller and</w:t>
      </w:r>
    </w:p>
    <w:p>
      <w:pPr>
        <w:jc w:val="center"/>
        <w:ind w:left="5240"/>
        <w:spacing w:after="0" w:line="204"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11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39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We are aware that our report dated October 23, 2024, on our review of the interim financial information of Northrop Grumman Corporation and subsidiaries appearing in this Quarterly Report on Form 10-Q for the quarter ended September 30, 2024, is incorporated by reference in Registration Statement Nos. 033-59815, 033-59853, 333-67266, 333-100179, 333-107734, 333-121104, 333-125120, 333-127317, 333-175798, 333-273482, and 333-281008 on Form S-8, 333-270497 on Form S-3, and 333-264549 on Form S-4.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ectPr>
          <w:pgSz w:w="11900" w:h="16838" w:orient="portrait"/>
          <w:cols w:equalWidth="0" w:num="1">
            <w:col w:w="11240"/>
          </w:cols>
          <w:pgMar w:left="320" w:top="8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B. Crews, certify that:</w:t>
      </w:r>
    </w:p>
    <w:p>
      <w:pPr>
        <w:spacing w:after="0" w:line="90"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00" w:lineRule="exact"/>
        <w:rPr>
          <w:sz w:val="20"/>
          <w:szCs w:val="20"/>
          <w:color w:val="auto"/>
        </w:rPr>
      </w:pPr>
    </w:p>
    <w:p>
      <w:pPr>
        <w:spacing w:after="0" w:line="22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/s/ Kenneth B. Crews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Kenneth B. Crews</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September 30, 2024,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September 30, 2024, as filed with the Securities and Exchange Commission on the date hereof (the “Report”), I, Kenneth B. Crews,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00" w:lineRule="exact"/>
        <w:rPr>
          <w:sz w:val="20"/>
          <w:szCs w:val="20"/>
          <w:color w:val="auto"/>
        </w:rPr>
      </w:pPr>
    </w:p>
    <w:p>
      <w:pPr>
        <w:spacing w:after="0" w:line="26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/s/ Kenneth B. Crews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Kenneth B. Crews</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2024-10-24T15:17:58Z</dcterms:created>
  <dcterms:modified xsi:type="dcterms:W3CDTF">2024-10-24T15:17:58Z</dcterms:modified>
</cp:coreProperties>
</file>