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78105</wp:posOffset>
            </wp:positionV>
            <wp:extent cx="2520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17145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1" w:lineRule="exact"/>
        <w:rPr>
          <w:sz w:val="24"/>
          <w:szCs w:val="24"/>
          <w:color w:val="auto"/>
        </w:rPr>
      </w:pPr>
    </w:p>
    <w:p>
      <w:pPr>
        <w:ind w:left="1380" w:right="2000" w:hanging="825"/>
        <w:spacing w:after="0" w:line="232" w:lineRule="auto"/>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QUARTERLY REPORT PURSUANT TO SECTION 13 OR 15(d) OF THE SECURITIES EXCHANGE ACT OF 1934</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September 30, 2021</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or</w:t>
      </w:r>
    </w:p>
    <w:p>
      <w:pPr>
        <w:spacing w:after="0" w:line="104" w:lineRule="exact"/>
        <w:rPr>
          <w:sz w:val="24"/>
          <w:szCs w:val="24"/>
          <w:color w:val="auto"/>
        </w:rPr>
      </w:pPr>
    </w:p>
    <w:p>
      <w:pPr>
        <w:ind w:left="1380" w:right="1980" w:hanging="825"/>
        <w:spacing w:after="0" w:line="232" w:lineRule="auto"/>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22"/>
          <w:szCs w:val="22"/>
          <w:color w:val="auto"/>
        </w:rPr>
        <w:t>TRANSITION REPORT PURSUANT TO SECTION 13 OR 15(d) OF THE SECURITIES EXCHANGE ACT OF 1934</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1-16411</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NORTHROP GRUMMAN CORPORATION</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tcPr>
          <w:p>
            <w:pPr>
              <w:jc w:val="right"/>
              <w:ind w:right="2250"/>
              <w:spacing w:after="0"/>
              <w:rPr>
                <w:sz w:val="20"/>
                <w:szCs w:val="20"/>
                <w:color w:val="auto"/>
              </w:rPr>
            </w:pPr>
            <w:r>
              <w:rPr>
                <w:rFonts w:ascii="Arial" w:cs="Arial" w:eastAsia="Arial" w:hAnsi="Arial"/>
                <w:sz w:val="18"/>
                <w:szCs w:val="18"/>
                <w:b w:val="1"/>
                <w:bCs w:val="1"/>
                <w:color w:val="auto"/>
              </w:rPr>
              <w:t>80-0640649</w:t>
            </w:r>
          </w:p>
        </w:tc>
      </w:tr>
      <w:tr>
        <w:trPr>
          <w:trHeight w:val="176"/>
        </w:trPr>
        <w:tc>
          <w:tcPr>
            <w:tcW w:w="1480" w:type="dxa"/>
            <w:vAlign w:val="bottom"/>
          </w:tcPr>
          <w:p>
            <w:pPr>
              <w:spacing w:after="0"/>
              <w:rPr>
                <w:sz w:val="15"/>
                <w:szCs w:val="15"/>
                <w:color w:val="auto"/>
              </w:rPr>
            </w:pPr>
          </w:p>
        </w:tc>
        <w:tc>
          <w:tcPr>
            <w:tcW w:w="5640" w:type="dxa"/>
            <w:vAlign w:val="bottom"/>
            <w:gridSpan w:val="2"/>
          </w:tcPr>
          <w:p>
            <w:pPr>
              <w:jc w:val="center"/>
              <w:ind w:right="3110"/>
              <w:spacing w:after="0" w:line="176" w:lineRule="exact"/>
              <w:rPr>
                <w:sz w:val="20"/>
                <w:szCs w:val="20"/>
                <w:color w:val="auto"/>
              </w:rPr>
            </w:pPr>
            <w:r>
              <w:rPr>
                <w:rFonts w:ascii="Arial" w:cs="Arial" w:eastAsia="Arial" w:hAnsi="Arial"/>
                <w:sz w:val="18"/>
                <w:szCs w:val="18"/>
                <w:color w:val="auto"/>
                <w:w w:val="92"/>
              </w:rPr>
              <w:t>(State or other jurisdiction of</w:t>
            </w:r>
          </w:p>
        </w:tc>
        <w:tc>
          <w:tcPr>
            <w:tcW w:w="4140" w:type="dxa"/>
            <w:vAlign w:val="bottom"/>
          </w:tcPr>
          <w:p>
            <w:pPr>
              <w:jc w:val="center"/>
              <w:ind w:right="131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color w:val="auto"/>
                <w:w w:val="92"/>
              </w:rPr>
              <w:t>incorporation or organization)</w:t>
            </w:r>
          </w:p>
        </w:tc>
        <w:tc>
          <w:tcPr>
            <w:tcW w:w="4140" w:type="dxa"/>
            <w:vAlign w:val="bottom"/>
          </w:tcPr>
          <w:p>
            <w:pPr>
              <w:jc w:val="center"/>
              <w:ind w:right="1310"/>
              <w:spacing w:after="0"/>
              <w:rPr>
                <w:sz w:val="20"/>
                <w:szCs w:val="20"/>
                <w:color w:val="auto"/>
              </w:rPr>
            </w:pPr>
            <w:r>
              <w:rPr>
                <w:rFonts w:ascii="Arial" w:cs="Arial" w:eastAsia="Arial" w:hAnsi="Arial"/>
                <w:sz w:val="18"/>
                <w:szCs w:val="18"/>
                <w:color w:val="auto"/>
                <w:w w:val="95"/>
              </w:rPr>
              <w:t>Identification No.)</w:t>
            </w:r>
          </w:p>
        </w:tc>
      </w:tr>
      <w:tr>
        <w:trPr>
          <w:trHeight w:val="332"/>
        </w:trPr>
        <w:tc>
          <w:tcPr>
            <w:tcW w:w="1480" w:type="dxa"/>
            <w:vAlign w:val="bottom"/>
          </w:tcPr>
          <w:p>
            <w:pPr>
              <w:spacing w:after="0"/>
              <w:rPr>
                <w:sz w:val="24"/>
                <w:szCs w:val="24"/>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b w:val="1"/>
                <w:bCs w:val="1"/>
                <w:color w:val="auto"/>
                <w:w w:val="94"/>
              </w:rPr>
              <w:t>2980 Fairview Park Drive</w:t>
            </w:r>
          </w:p>
        </w:tc>
        <w:tc>
          <w:tcPr>
            <w:tcW w:w="414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30"/>
              <w:spacing w:after="0"/>
              <w:rPr>
                <w:sz w:val="20"/>
                <w:szCs w:val="20"/>
                <w:color w:val="auto"/>
              </w:rPr>
            </w:pPr>
            <w:r>
              <w:rPr>
                <w:rFonts w:ascii="Arial" w:cs="Arial" w:eastAsia="Arial" w:hAnsi="Arial"/>
                <w:sz w:val="18"/>
                <w:szCs w:val="18"/>
                <w:b w:val="1"/>
                <w:bCs w:val="1"/>
                <w:color w:val="auto"/>
                <w:w w:val="91"/>
              </w:rPr>
              <w:t>Falls Church, Virginia</w:t>
            </w:r>
          </w:p>
        </w:tc>
        <w:tc>
          <w:tcPr>
            <w:tcW w:w="4140" w:type="dxa"/>
            <w:vAlign w:val="bottom"/>
          </w:tcPr>
          <w:p>
            <w:pPr>
              <w:jc w:val="right"/>
              <w:ind w:right="2450"/>
              <w:spacing w:after="0"/>
              <w:rPr>
                <w:sz w:val="20"/>
                <w:szCs w:val="20"/>
                <w:color w:val="auto"/>
              </w:rPr>
            </w:pPr>
            <w:r>
              <w:rPr>
                <w:rFonts w:ascii="Arial" w:cs="Arial" w:eastAsia="Arial" w:hAnsi="Arial"/>
                <w:sz w:val="18"/>
                <w:szCs w:val="18"/>
                <w:b w:val="1"/>
                <w:bCs w:val="1"/>
                <w:color w:val="auto"/>
              </w:rPr>
              <w:t>22042</w:t>
            </w:r>
          </w:p>
        </w:tc>
      </w:tr>
      <w:tr>
        <w:trPr>
          <w:trHeight w:val="230"/>
        </w:trPr>
        <w:tc>
          <w:tcPr>
            <w:tcW w:w="7120" w:type="dxa"/>
            <w:vAlign w:val="bottom"/>
            <w:gridSpan w:val="3"/>
          </w:tcPr>
          <w:p>
            <w:pPr>
              <w:jc w:val="center"/>
              <w:ind w:right="1630"/>
              <w:spacing w:after="0"/>
              <w:rPr>
                <w:sz w:val="20"/>
                <w:szCs w:val="20"/>
                <w:color w:val="auto"/>
              </w:rPr>
            </w:pPr>
            <w:r>
              <w:rPr>
                <w:rFonts w:ascii="Arial" w:cs="Arial" w:eastAsia="Arial" w:hAnsi="Arial"/>
                <w:sz w:val="18"/>
                <w:szCs w:val="18"/>
                <w:color w:val="auto"/>
                <w:w w:val="92"/>
              </w:rPr>
              <w:t>(Address of principal executive offices)</w:t>
            </w:r>
          </w:p>
        </w:tc>
        <w:tc>
          <w:tcPr>
            <w:tcW w:w="4140" w:type="dxa"/>
            <w:vAlign w:val="bottom"/>
          </w:tcPr>
          <w:p>
            <w:pPr>
              <w:jc w:val="center"/>
              <w:ind w:right="1290"/>
              <w:spacing w:after="0"/>
              <w:rPr>
                <w:sz w:val="20"/>
                <w:szCs w:val="20"/>
                <w:color w:val="auto"/>
              </w:rPr>
            </w:pPr>
            <w:r>
              <w:rPr>
                <w:rFonts w:ascii="Arial" w:cs="Arial" w:eastAsia="Arial" w:hAnsi="Arial"/>
                <w:sz w:val="18"/>
                <w:szCs w:val="18"/>
                <w:color w:val="auto"/>
                <w:w w:val="94"/>
              </w:rPr>
              <w:t>(Zip Code)</w:t>
            </w:r>
          </w:p>
        </w:tc>
      </w:tr>
      <w:tr>
        <w:trPr>
          <w:trHeight w:val="283"/>
        </w:trPr>
        <w:tc>
          <w:tcPr>
            <w:tcW w:w="1480" w:type="dxa"/>
            <w:vAlign w:val="bottom"/>
          </w:tcPr>
          <w:p>
            <w:pPr>
              <w:spacing w:after="0"/>
              <w:rPr>
                <w:sz w:val="24"/>
                <w:szCs w:val="24"/>
                <w:color w:val="auto"/>
              </w:rPr>
            </w:pPr>
          </w:p>
        </w:tc>
        <w:tc>
          <w:tcPr>
            <w:tcW w:w="56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(703) 280-2900</w:t>
            </w:r>
          </w:p>
        </w:tc>
        <w:tc>
          <w:tcPr>
            <w:tcW w:w="414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10"/>
        </w:trPr>
        <w:tc>
          <w:tcPr>
            <w:tcW w:w="71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21"/>
        </w:trPr>
        <w:tc>
          <w:tcPr>
            <w:tcW w:w="14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8"/>
              </w:rPr>
              <w:t>Title of each class</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NOC</w:t>
            </w: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York Stock Exchange</w:t>
            </w:r>
          </w:p>
        </w:tc>
      </w:tr>
    </w:tbl>
    <w:p>
      <w:pPr>
        <w:spacing w:after="0" w:line="121" w:lineRule="exact"/>
        <w:rPr>
          <w:sz w:val="24"/>
          <w:szCs w:val="24"/>
          <w:color w:val="auto"/>
        </w:rPr>
      </w:pPr>
    </w:p>
    <w:p>
      <w:pPr>
        <w:ind w:right="32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40"/>
        <w:spacing w:after="0" w:line="29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8"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p>
      <w:pPr>
        <w:ind w:left="80"/>
        <w:spacing w:after="0" w:line="207" w:lineRule="exact"/>
        <w:tabs>
          <w:tab w:leader="none" w:pos="2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0" w:lineRule="exact"/>
        <w:rPr>
          <w:sz w:val="24"/>
          <w:szCs w:val="24"/>
          <w:color w:val="auto"/>
        </w:rPr>
      </w:pPr>
    </w:p>
    <w:p>
      <w:pPr>
        <w:ind w:left="80"/>
        <w:spacing w:after="0" w:line="207" w:lineRule="exact"/>
        <w:tabs>
          <w:tab w:leader="none" w:pos="202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0" w:lineRule="exact"/>
        <w:rPr>
          <w:sz w:val="24"/>
          <w:szCs w:val="24"/>
          <w:color w:val="auto"/>
        </w:rPr>
      </w:pPr>
    </w:p>
    <w:p>
      <w:pPr>
        <w:ind w:left="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7"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25, 2021, 158,537,643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920" w:type="dxa"/>
            <w:vAlign w:val="bottom"/>
            <w:gridSpan w:val="19"/>
          </w:tcPr>
          <w:p>
            <w:pPr>
              <w:jc w:val="center"/>
              <w:ind w:right="378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480" w:type="dxa"/>
            <w:vAlign w:val="bottom"/>
            <w:gridSpan w:val="5"/>
          </w:tcPr>
          <w:p>
            <w:pPr>
              <w:spacing w:after="0"/>
              <w:rPr>
                <w:sz w:val="18"/>
                <w:szCs w:val="18"/>
                <w:color w:val="auto"/>
              </w:rPr>
            </w:pPr>
          </w:p>
        </w:tc>
        <w:tc>
          <w:tcPr>
            <w:tcW w:w="3140" w:type="dxa"/>
            <w:vAlign w:val="bottom"/>
            <w:tcBorders>
              <w:top w:val="single" w:sz="8" w:color="0000FF"/>
            </w:tcBorders>
            <w:gridSpan w:val="16"/>
          </w:tcPr>
          <w:p>
            <w:pPr>
              <w:spacing w:after="0"/>
              <w:rPr>
                <w:sz w:val="18"/>
                <w:szCs w:val="18"/>
                <w:color w:val="auto"/>
              </w:rPr>
            </w:pPr>
          </w:p>
        </w:tc>
        <w:tc>
          <w:tcPr>
            <w:tcW w:w="3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Earnings and Comprehensive Income</w:t>
              </w:r>
            </w:hyperlink>
          </w:p>
        </w:tc>
        <w:tc>
          <w:tcPr>
            <w:tcW w:w="3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40" w:type="dxa"/>
            <w:vAlign w:val="bottom"/>
            <w:gridSpan w:val="3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Financial Position</w:t>
              </w:r>
            </w:hyperlink>
          </w:p>
        </w:tc>
        <w:tc>
          <w:tcPr>
            <w:tcW w:w="3940" w:type="dxa"/>
            <w:vAlign w:val="bottom"/>
            <w:gridSpan w:val="5"/>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29"/>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Condensed Consolidated Statements of Cash Flows</w:t>
              </w:r>
            </w:hyperlink>
          </w:p>
        </w:tc>
        <w:tc>
          <w:tcPr>
            <w:tcW w:w="5340" w:type="dxa"/>
            <w:vAlign w:val="bottom"/>
            <w:gridSpan w:val="9"/>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gridSpan w:val="31"/>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Changes in Shareholders’ Equity</w:t>
              </w:r>
            </w:hyperlink>
          </w:p>
        </w:tc>
        <w:tc>
          <w:tcPr>
            <w:tcW w:w="4260" w:type="dxa"/>
            <w:vAlign w:val="bottom"/>
            <w:gridSpan w:val="7"/>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Borders>
              <w:top w:val="single" w:sz="8" w:color="0000FF"/>
            </w:tcBorders>
            <w:gridSpan w:val="3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426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gridSpan w:val="2"/>
          </w:tcPr>
          <w:p>
            <w:pPr>
              <w:jc w:val="right"/>
              <w:ind w:right="2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1540" w:type="dxa"/>
            <w:vAlign w:val="bottom"/>
            <w:tcBorders>
              <w:top w:val="single" w:sz="8" w:color="0000FF"/>
            </w:tcBorders>
            <w:gridSpan w:val="8"/>
          </w:tcPr>
          <w:p>
            <w:pPr>
              <w:ind w:left="20"/>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Basis of Presentation</w:t>
              </w:r>
            </w:hyperlink>
          </w:p>
        </w:tc>
        <w:tc>
          <w:tcPr>
            <w:tcW w:w="1960" w:type="dxa"/>
            <w:vAlign w:val="bottom"/>
            <w:tcBorders>
              <w:top w:val="single" w:sz="8" w:color="0000FF"/>
            </w:tcBorders>
            <w:gridSpan w:val="15"/>
          </w:tcPr>
          <w:p>
            <w:pPr>
              <w:spacing w:after="0"/>
              <w:rPr>
                <w:sz w:val="18"/>
                <w:szCs w:val="18"/>
                <w:color w:val="auto"/>
              </w:rPr>
            </w:pPr>
          </w:p>
        </w:tc>
        <w:tc>
          <w:tcPr>
            <w:tcW w:w="5520" w:type="dxa"/>
            <w:vAlign w:val="bottom"/>
            <w:gridSpan w:val="11"/>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2.</w:t>
              </w:r>
            </w:hyperlink>
          </w:p>
        </w:tc>
        <w:tc>
          <w:tcPr>
            <w:tcW w:w="5340" w:type="dxa"/>
            <w:vAlign w:val="bottom"/>
            <w:gridSpan w:val="32"/>
          </w:tcPr>
          <w:p>
            <w:pPr>
              <w:ind w:left="20"/>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Earnings Per Share, Share Repurchases and Dividends on Common Stock</w:t>
              </w:r>
            </w:hyperlink>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3.</w:t>
              </w:r>
            </w:hyperlink>
          </w:p>
        </w:tc>
        <w:tc>
          <w:tcPr>
            <w:tcW w:w="5340" w:type="dxa"/>
            <w:vAlign w:val="bottom"/>
            <w:gridSpan w:val="32"/>
          </w:tcPr>
          <w:p>
            <w:pPr>
              <w:ind w:left="20"/>
              <w:spacing w:after="0"/>
              <w:rPr>
                <w:rFonts w:ascii="Arial" w:cs="Arial" w:eastAsia="Arial" w:hAnsi="Arial"/>
                <w:sz w:val="18"/>
                <w:szCs w:val="18"/>
                <w:color w:val="0000FF"/>
              </w:rPr>
            </w:pPr>
            <w:hyperlink w:anchor="page10">
              <w:r>
                <w:rPr>
                  <w:rFonts w:ascii="Arial" w:cs="Arial" w:eastAsia="Arial" w:hAnsi="Arial"/>
                  <w:sz w:val="18"/>
                  <w:szCs w:val="18"/>
                  <w:color w:val="0000FF"/>
                </w:rPr>
                <w:t>Income Taxes</w:t>
              </w:r>
            </w:hyperlink>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4.</w:t>
              </w:r>
            </w:hyperlink>
          </w:p>
        </w:tc>
        <w:tc>
          <w:tcPr>
            <w:tcW w:w="9020" w:type="dxa"/>
            <w:vAlign w:val="bottom"/>
            <w:gridSpan w:val="34"/>
          </w:tcPr>
          <w:p>
            <w:pPr>
              <w:ind w:left="20"/>
              <w:spacing w:after="0"/>
              <w:rPr>
                <w:rFonts w:ascii="Arial" w:cs="Arial" w:eastAsia="Arial" w:hAnsi="Arial"/>
                <w:sz w:val="18"/>
                <w:szCs w:val="18"/>
                <w:color w:val="0000FF"/>
              </w:rPr>
            </w:pPr>
            <w:hyperlink w:anchor="page11">
              <w:r>
                <w:rPr>
                  <w:rFonts w:ascii="Arial" w:cs="Arial" w:eastAsia="Arial" w:hAnsi="Arial"/>
                  <w:sz w:val="18"/>
                  <w:szCs w:val="18"/>
                  <w:color w:val="0000FF"/>
                </w:rPr>
                <w:t>Fair Value of Financial Instruments</w:t>
              </w:r>
            </w:hyperlink>
          </w:p>
        </w:tc>
        <w:tc>
          <w:tcPr>
            <w:tcW w:w="300" w:type="dxa"/>
            <w:vAlign w:val="bottom"/>
            <w:gridSpan w:val="3"/>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5.</w:t>
              </w:r>
            </w:hyperlink>
          </w:p>
        </w:tc>
        <w:tc>
          <w:tcPr>
            <w:tcW w:w="9020" w:type="dxa"/>
            <w:vAlign w:val="bottom"/>
            <w:gridSpan w:val="34"/>
          </w:tcPr>
          <w:p>
            <w:pPr>
              <w:ind w:left="20"/>
              <w:spacing w:after="0"/>
              <w:rPr>
                <w:rFonts w:ascii="Arial" w:cs="Arial" w:eastAsia="Arial" w:hAnsi="Arial"/>
                <w:sz w:val="18"/>
                <w:szCs w:val="18"/>
                <w:color w:val="0000FF"/>
              </w:rPr>
            </w:pPr>
            <w:hyperlink w:anchor="page12">
              <w:r>
                <w:rPr>
                  <w:rFonts w:ascii="Arial" w:cs="Arial" w:eastAsia="Arial" w:hAnsi="Arial"/>
                  <w:sz w:val="18"/>
                  <w:szCs w:val="18"/>
                  <w:color w:val="0000FF"/>
                </w:rPr>
                <w:t>Investigations, Claims and Litigation</w:t>
              </w:r>
            </w:hyperlink>
          </w:p>
        </w:tc>
        <w:tc>
          <w:tcPr>
            <w:tcW w:w="300" w:type="dxa"/>
            <w:vAlign w:val="bottom"/>
            <w:gridSpan w:val="3"/>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10</w:t>
              </w:r>
            </w:hyperlink>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ind w:right="20"/>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6.</w:t>
              </w:r>
            </w:hyperlink>
          </w:p>
        </w:tc>
        <w:tc>
          <w:tcPr>
            <w:tcW w:w="2420" w:type="dxa"/>
            <w:vAlign w:val="bottom"/>
            <w:tcBorders>
              <w:top w:val="single" w:sz="8" w:color="0000FF"/>
              <w:bottom w:val="single" w:sz="8" w:color="0000FF"/>
            </w:tcBorders>
            <w:gridSpan w:val="17"/>
          </w:tcPr>
          <w:p>
            <w:pPr>
              <w:ind w:left="2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Commitments and Contingencies</w:t>
              </w:r>
            </w:hyperlink>
          </w:p>
        </w:tc>
        <w:tc>
          <w:tcPr>
            <w:tcW w:w="260" w:type="dxa"/>
            <w:vAlign w:val="bottom"/>
            <w:tcBorders>
              <w:top w:val="single" w:sz="8" w:color="0000FF"/>
            </w:tcBorders>
            <w:gridSpan w:val="2"/>
          </w:tcPr>
          <w:p>
            <w:pPr>
              <w:spacing w:after="0"/>
              <w:rPr>
                <w:sz w:val="18"/>
                <w:szCs w:val="18"/>
                <w:color w:val="auto"/>
              </w:rPr>
            </w:pPr>
          </w:p>
        </w:tc>
        <w:tc>
          <w:tcPr>
            <w:tcW w:w="634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11</w:t>
              </w:r>
            </w:hyperlink>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7.</w:t>
              </w:r>
            </w:hyperlink>
          </w:p>
        </w:tc>
        <w:tc>
          <w:tcPr>
            <w:tcW w:w="9020" w:type="dxa"/>
            <w:vAlign w:val="bottom"/>
            <w:gridSpan w:val="34"/>
          </w:tcPr>
          <w:p>
            <w:pPr>
              <w:ind w:left="20"/>
              <w:spacing w:after="0"/>
              <w:rPr>
                <w:rFonts w:ascii="Arial" w:cs="Arial" w:eastAsia="Arial" w:hAnsi="Arial"/>
                <w:sz w:val="18"/>
                <w:szCs w:val="18"/>
                <w:color w:val="0000FF"/>
              </w:rPr>
            </w:pPr>
            <w:hyperlink w:anchor="page14">
              <w:r>
                <w:rPr>
                  <w:rFonts w:ascii="Arial" w:cs="Arial" w:eastAsia="Arial" w:hAnsi="Arial"/>
                  <w:sz w:val="18"/>
                  <w:szCs w:val="18"/>
                  <w:color w:val="0000FF"/>
                </w:rPr>
                <w:t>Retirement Benefits</w:t>
              </w:r>
            </w:hyperlink>
          </w:p>
        </w:tc>
        <w:tc>
          <w:tcPr>
            <w:tcW w:w="30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12</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8.</w:t>
              </w:r>
            </w:hyperlink>
          </w:p>
        </w:tc>
        <w:tc>
          <w:tcPr>
            <w:tcW w:w="4860" w:type="dxa"/>
            <w:vAlign w:val="bottom"/>
            <w:tcBorders>
              <w:bottom w:val="single" w:sz="8" w:color="0000FF"/>
            </w:tcBorders>
            <w:gridSpan w:val="28"/>
          </w:tcPr>
          <w:p>
            <w:pPr>
              <w:ind w:left="2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Stock Compensation Plans and Other Compensation Arrangements</w:t>
              </w:r>
            </w:hyperlink>
          </w:p>
        </w:tc>
        <w:tc>
          <w:tcPr>
            <w:tcW w:w="416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13</w:t>
              </w:r>
            </w:hyperlink>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jc w:val="right"/>
              <w:ind w:right="2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9.</w:t>
              </w:r>
            </w:hyperlink>
          </w:p>
        </w:tc>
        <w:tc>
          <w:tcPr>
            <w:tcW w:w="1560" w:type="dxa"/>
            <w:vAlign w:val="bottom"/>
            <w:tcBorders>
              <w:bottom w:val="single" w:sz="8" w:color="0000FF"/>
            </w:tcBorders>
            <w:gridSpan w:val="9"/>
          </w:tcPr>
          <w:p>
            <w:pPr>
              <w:ind w:left="20"/>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Segment Information</w:t>
              </w:r>
            </w:hyperlink>
          </w:p>
        </w:tc>
        <w:tc>
          <w:tcPr>
            <w:tcW w:w="7460" w:type="dxa"/>
            <w:vAlign w:val="bottom"/>
            <w:gridSpan w:val="2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14</w:t>
              </w:r>
            </w:hyperlink>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0" w:type="dxa"/>
            <w:vAlign w:val="bottom"/>
            <w:tcBorders>
              <w:bottom w:val="single" w:sz="8" w:color="0000FF"/>
            </w:tcBorders>
            <w:gridSpan w:val="30"/>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Report of Independent Registered Public Accounting Firm</w:t>
              </w:r>
            </w:hyperlink>
          </w:p>
        </w:tc>
        <w:tc>
          <w:tcPr>
            <w:tcW w:w="528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18</w:t>
              </w:r>
            </w:hyperlink>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39"/>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100" w:type="dxa"/>
            <w:vAlign w:val="bottom"/>
            <w:tcBorders>
              <w:top w:val="single" w:sz="8" w:color="0000FF"/>
            </w:tcBorders>
            <w:gridSpan w:val="37"/>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Overview</w:t>
              </w:r>
            </w:hyperlink>
          </w:p>
        </w:tc>
        <w:tc>
          <w:tcPr>
            <w:tcW w:w="3380" w:type="dxa"/>
            <w:vAlign w:val="bottom"/>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8"/>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Consolidated Operating Results</w:t>
              </w:r>
            </w:hyperlink>
          </w:p>
        </w:tc>
        <w:tc>
          <w:tcPr>
            <w:tcW w:w="30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Borders>
              <w:top w:val="single" w:sz="8" w:color="0000FF"/>
            </w:tcBorders>
            <w:gridSpan w:val="17"/>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Segment Operating Results</w:t>
              </w:r>
            </w:hyperlink>
          </w:p>
        </w:tc>
        <w:tc>
          <w:tcPr>
            <w:tcW w:w="72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25</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Product and Service Analysis</w:t>
              </w:r>
            </w:hyperlink>
          </w:p>
        </w:tc>
        <w:tc>
          <w:tcPr>
            <w:tcW w:w="30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7"/>
              </w:rPr>
            </w:pPr>
            <w:hyperlink w:anchor="page33">
              <w:r>
                <w:rPr>
                  <w:rFonts w:ascii="Arial" w:cs="Arial" w:eastAsia="Arial" w:hAnsi="Arial"/>
                  <w:sz w:val="18"/>
                  <w:szCs w:val="18"/>
                  <w:color w:val="0000FF"/>
                  <w:w w:val="87"/>
                </w:rPr>
                <w:t>Backlog</w:t>
              </w:r>
            </w:hyperlink>
          </w:p>
        </w:tc>
        <w:tc>
          <w:tcPr>
            <w:tcW w:w="1520" w:type="dxa"/>
            <w:vAlign w:val="bottom"/>
            <w:tcBorders>
              <w:top w:val="single" w:sz="8" w:color="0000FF"/>
            </w:tcBorders>
            <w:gridSpan w:val="9"/>
          </w:tcPr>
          <w:p>
            <w:pPr>
              <w:spacing w:after="0"/>
              <w:rPr>
                <w:sz w:val="18"/>
                <w:szCs w:val="18"/>
                <w:color w:val="auto"/>
              </w:rPr>
            </w:pPr>
          </w:p>
        </w:tc>
        <w:tc>
          <w:tcPr>
            <w:tcW w:w="738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Liquidity and Capital Resources</w:t>
              </w:r>
            </w:hyperlink>
          </w:p>
        </w:tc>
        <w:tc>
          <w:tcPr>
            <w:tcW w:w="718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32</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Critical Accounting Policies, Estimates and Judgments</w:t>
              </w:r>
            </w:hyperlink>
          </w:p>
        </w:tc>
        <w:tc>
          <w:tcPr>
            <w:tcW w:w="30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top w:val="single" w:sz="8" w:color="0000FF"/>
            </w:tcBorders>
            <w:gridSpan w:val="26"/>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Accounting Standards Updates</w:t>
              </w:r>
            </w:hyperlink>
          </w:p>
        </w:tc>
        <w:tc>
          <w:tcPr>
            <w:tcW w:w="556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33</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Forward-Looking Statements and Projections</w:t>
              </w:r>
            </w:hyperlink>
          </w:p>
        </w:tc>
        <w:tc>
          <w:tcPr>
            <w:tcW w:w="30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Borders>
              <w:top w:val="single" w:sz="8" w:color="0000FF"/>
            </w:tcBorders>
            <w:gridSpan w:val="2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Contractual Obligations</w:t>
              </w:r>
            </w:hyperlink>
          </w:p>
        </w:tc>
        <w:tc>
          <w:tcPr>
            <w:tcW w:w="6240" w:type="dxa"/>
            <w:vAlign w:val="bottom"/>
            <w:gridSpan w:val="1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35</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3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30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2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35</w:t>
              </w:r>
            </w:hyperlink>
          </w:p>
        </w:tc>
      </w:tr>
      <w:tr>
        <w:trPr>
          <w:trHeight w:val="480"/>
        </w:trPr>
        <w:tc>
          <w:tcPr>
            <w:tcW w:w="10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14"/>
          </w:tcPr>
          <w:p>
            <w:pPr>
              <w:jc w:val="cente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 – OTHER INFORMATION</w:t>
              </w:r>
            </w:hyperlink>
          </w:p>
        </w:tc>
        <w:tc>
          <w:tcPr>
            <w:tcW w:w="39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39"/>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30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7"/>
              </w:rPr>
            </w:pPr>
            <w:hyperlink w:anchor="page38">
              <w:r>
                <w:rPr>
                  <w:rFonts w:ascii="Arial" w:cs="Arial" w:eastAsia="Arial" w:hAnsi="Arial"/>
                  <w:sz w:val="18"/>
                  <w:szCs w:val="18"/>
                  <w:color w:val="0000FF"/>
                  <w:w w:val="87"/>
                </w:rPr>
                <w:t>Risk Factors</w:t>
              </w:r>
            </w:hyperlink>
          </w:p>
        </w:tc>
        <w:tc>
          <w:tcPr>
            <w:tcW w:w="420" w:type="dxa"/>
            <w:vAlign w:val="bottom"/>
            <w:tcBorders>
              <w:top w:val="single" w:sz="8" w:color="0000FF"/>
            </w:tcBorders>
            <w:gridSpan w:val="3"/>
          </w:tcPr>
          <w:p>
            <w:pPr>
              <w:spacing w:after="0"/>
              <w:rPr>
                <w:sz w:val="18"/>
                <w:szCs w:val="18"/>
                <w:color w:val="auto"/>
              </w:rPr>
            </w:pPr>
          </w:p>
        </w:tc>
        <w:tc>
          <w:tcPr>
            <w:tcW w:w="8500" w:type="dxa"/>
            <w:vAlign w:val="bottom"/>
            <w:gridSpan w:val="3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36</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29"/>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Unregistered Sales of Equity Securities and Use of Proceeds</w:t>
              </w:r>
            </w:hyperlink>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36</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Exhibits</w:t>
              </w:r>
            </w:hyperlink>
          </w:p>
        </w:tc>
        <w:tc>
          <w:tcPr>
            <w:tcW w:w="2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37</w:t>
              </w:r>
            </w:hyperlink>
          </w:p>
        </w:tc>
      </w:tr>
      <w:tr>
        <w:trPr>
          <w:trHeight w:val="209"/>
        </w:trPr>
        <w:tc>
          <w:tcPr>
            <w:tcW w:w="108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Signatures</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644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66"/>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7"/>
        </w:trPr>
        <w:tc>
          <w:tcPr>
            <w:tcW w:w="1080" w:type="dxa"/>
            <w:vAlign w:val="bottom"/>
          </w:tcPr>
          <w:p>
            <w:pPr>
              <w:spacing w:after="0"/>
              <w:rPr>
                <w:sz w:val="24"/>
                <w:szCs w:val="24"/>
                <w:color w:val="auto"/>
              </w:rPr>
            </w:pPr>
          </w:p>
        </w:tc>
        <w:tc>
          <w:tcPr>
            <w:tcW w:w="65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2"/>
        </w:trPr>
        <w:tc>
          <w:tcPr>
            <w:tcW w:w="8820" w:type="dxa"/>
            <w:vAlign w:val="bottom"/>
            <w:gridSpan w:val="6"/>
          </w:tcPr>
          <w:p>
            <w:pPr>
              <w:spacing w:after="0"/>
              <w:rPr>
                <w:sz w:val="20"/>
                <w:szCs w:val="20"/>
                <w:color w:val="auto"/>
              </w:rPr>
            </w:pPr>
            <w:r>
              <w:rPr>
                <w:rFonts w:ascii="Arial" w:cs="Arial" w:eastAsia="Arial" w:hAnsi="Arial"/>
                <w:sz w:val="18"/>
                <w:szCs w:val="18"/>
                <w:b w:val="1"/>
                <w:bCs w:val="1"/>
                <w:color w:val="auto"/>
              </w:rPr>
              <w:t>CONDENSED CONSOLIDATED STATEMENTS OF EARNINGS AND COMPREHENSIVE INCOME</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7"/>
        </w:trPr>
        <w:tc>
          <w:tcPr>
            <w:tcW w:w="10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3"/>
          </w:tcPr>
          <w:p>
            <w:pPr>
              <w:jc w:val="right"/>
              <w:ind w:right="370"/>
              <w:spacing w:after="0"/>
              <w:rPr>
                <w:sz w:val="20"/>
                <w:szCs w:val="20"/>
                <w:color w:val="auto"/>
              </w:rPr>
            </w:pPr>
            <w:r>
              <w:rPr>
                <w:rFonts w:ascii="Arial" w:cs="Arial" w:eastAsia="Arial" w:hAnsi="Arial"/>
                <w:sz w:val="18"/>
                <w:szCs w:val="18"/>
                <w:color w:val="auto"/>
                <w:w w:val="98"/>
              </w:rPr>
              <w:t>Three Months Ended</w:t>
            </w:r>
          </w:p>
        </w:tc>
        <w:tc>
          <w:tcPr>
            <w:tcW w:w="2380" w:type="dxa"/>
            <w:vAlign w:val="bottom"/>
            <w:gridSpan w:val="4"/>
          </w:tcPr>
          <w:p>
            <w:pPr>
              <w:ind w:left="80"/>
              <w:spacing w:after="0"/>
              <w:rPr>
                <w:sz w:val="20"/>
                <w:szCs w:val="20"/>
                <w:color w:val="auto"/>
              </w:rPr>
            </w:pPr>
            <w:r>
              <w:rPr>
                <w:rFonts w:ascii="Arial" w:cs="Arial" w:eastAsia="Arial" w:hAnsi="Arial"/>
                <w:sz w:val="18"/>
                <w:szCs w:val="18"/>
                <w:color w:val="auto"/>
                <w:w w:val="90"/>
              </w:rPr>
              <w:t>Nine Months Ended September</w:t>
            </w:r>
          </w:p>
        </w:tc>
      </w:tr>
      <w:tr>
        <w:trPr>
          <w:trHeight w:val="230"/>
        </w:trPr>
        <w:tc>
          <w:tcPr>
            <w:tcW w:w="10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September 30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30</w:t>
            </w:r>
          </w:p>
        </w:tc>
        <w:tc>
          <w:tcPr>
            <w:tcW w:w="860" w:type="dxa"/>
            <w:vAlign w:val="bottom"/>
            <w:tcBorders>
              <w:bottom w:val="single" w:sz="8" w:color="auto"/>
            </w:tcBorders>
          </w:tcPr>
          <w:p>
            <w:pPr>
              <w:spacing w:after="0"/>
              <w:rPr>
                <w:sz w:val="19"/>
                <w:szCs w:val="19"/>
                <w:color w:val="auto"/>
              </w:rPr>
            </w:pP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gridSpan w:val="2"/>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6,845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6,667</w:t>
            </w:r>
          </w:p>
        </w:tc>
        <w:tc>
          <w:tcPr>
            <w:tcW w:w="30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21,060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19,325</w:t>
            </w:r>
          </w:p>
        </w:tc>
      </w:tr>
      <w:tr>
        <w:trPr>
          <w:trHeight w:val="230"/>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1,875</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2,416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5,968</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8,720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9,083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27,028</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26,587</w:t>
            </w:r>
          </w:p>
        </w:tc>
      </w:tr>
      <w:tr>
        <w:trPr>
          <w:trHeight w:val="22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gridSpan w:val="2"/>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5,352</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5,346</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16,662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15,425</w:t>
            </w:r>
          </w:p>
        </w:tc>
      </w:tr>
      <w:tr>
        <w:trPr>
          <w:trHeight w:val="230"/>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4,649</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w:t>
            </w:r>
          </w:p>
        </w:tc>
      </w:tr>
      <w:tr>
        <w:trPr>
          <w:trHeight w:val="229"/>
        </w:trPr>
        <w:tc>
          <w:tcPr>
            <w:tcW w:w="64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891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2,788</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w:t>
            </w:r>
          </w:p>
        </w:tc>
      </w:tr>
      <w:tr>
        <w:trPr>
          <w:trHeight w:val="223"/>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7,677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8,098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24,099</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23,674</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Gain on sale of business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1,980</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4,909</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30"/>
        </w:trPr>
        <w:tc>
          <w:tcPr>
            <w:tcW w:w="6440" w:type="dxa"/>
            <w:vAlign w:val="bottom"/>
            <w:gridSpan w:val="2"/>
          </w:tcPr>
          <w:p>
            <w:pPr>
              <w:ind w:left="220"/>
              <w:spacing w:after="0"/>
              <w:rPr>
                <w:sz w:val="20"/>
                <w:szCs w:val="20"/>
                <w:color w:val="auto"/>
              </w:rPr>
            </w:pPr>
            <w:r>
              <w:rPr>
                <w:rFonts w:ascii="Arial" w:cs="Arial" w:eastAsia="Arial" w:hAnsi="Arial"/>
                <w:sz w:val="18"/>
                <w:szCs w:val="18"/>
                <w:color w:val="auto"/>
              </w:rPr>
              <w:t>Non-operating FAS pension benefit</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367</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1,101</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907</w:t>
            </w:r>
          </w:p>
        </w:tc>
      </w:tr>
      <w:tr>
        <w:trPr>
          <w:trHeight w:val="229"/>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1,275</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1,167</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5,593</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3,423</w:t>
            </w:r>
          </w:p>
        </w:tc>
      </w:tr>
      <w:tr>
        <w:trPr>
          <w:trHeight w:val="229"/>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1,298</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1,063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986</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4,295</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r>
      <w:tr>
        <w:trPr>
          <w:trHeight w:val="203"/>
        </w:trPr>
        <w:tc>
          <w:tcPr>
            <w:tcW w:w="108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6.65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5.91</w:t>
            </w:r>
          </w:p>
        </w:tc>
        <w:tc>
          <w:tcPr>
            <w:tcW w:w="30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26.63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17.11</w:t>
            </w: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159.8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161.3</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6.63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5.89</w:t>
            </w:r>
          </w:p>
        </w:tc>
        <w:tc>
          <w:tcPr>
            <w:tcW w:w="30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26.55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17.05</w:t>
            </w:r>
          </w:p>
        </w:tc>
      </w:tr>
      <w:tr>
        <w:trPr>
          <w:trHeight w:val="236"/>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 in millions</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160.4</w:t>
            </w: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167.3</w:t>
            </w: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161.8</w:t>
            </w:r>
          </w:p>
        </w:tc>
        <w:tc>
          <w:tcPr>
            <w:tcW w:w="3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r>
      <w:tr>
        <w:trPr>
          <w:trHeight w:val="203"/>
        </w:trPr>
        <w:tc>
          <w:tcPr>
            <w:tcW w:w="10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 (from above)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986</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4,295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unamortized prior service credit, net of tax</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4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Change in cumulative translation adjustment and other, net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1,055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982</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4,283</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ind w:right="5080"/>
        <w:spacing w:after="0" w:line="282" w:lineRule="auto"/>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par value</w:t>
            </w:r>
          </w:p>
        </w:tc>
        <w:tc>
          <w:tcPr>
            <w:tcW w:w="17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September 30, 2021</w:t>
            </w: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December 31, 2020</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6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4,055</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1,590</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Unbilled receivables, net</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5,674</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Inventoried costs, net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872</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737</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Assets of disposal group held for sale</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current assets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12,928</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Property, plant and equipment, net of accumulated depreciation of $6,811 for 2021 and $6,335 for 2020</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7,277</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1,552</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17,516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629</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assets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418</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non-current assets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2,026</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42,346</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44,469</w:t>
            </w:r>
          </w:p>
        </w:tc>
        <w:tc>
          <w:tcPr>
            <w:tcW w:w="0" w:type="dxa"/>
            <w:vAlign w:val="bottom"/>
          </w:tcPr>
          <w:p>
            <w:pPr>
              <w:spacing w:after="0"/>
              <w:rPr>
                <w:sz w:val="1"/>
                <w:szCs w:val="1"/>
                <w:color w:val="auto"/>
              </w:rPr>
            </w:pPr>
          </w:p>
        </w:tc>
      </w:tr>
      <w:tr>
        <w:trPr>
          <w:trHeight w:val="257"/>
        </w:trPr>
        <w:tc>
          <w:tcPr>
            <w:tcW w:w="7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Trade accounts payable</w:t>
            </w:r>
          </w:p>
        </w:tc>
        <w:tc>
          <w:tcPr>
            <w:tcW w:w="6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2,184</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employee compensation</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1,811</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Advance payments and billings in excess of costs incurred</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2,594</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2,230</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Liabilities of disposal group held for sale</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8,819</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rPr>
              <w:t>Long-term debt, net of current portion of $6 for 2021 and $742 for 2020</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12,774</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other postretirement benefit plan 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5,667</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1,367</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2,302</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30,929</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33,890</w:t>
            </w:r>
          </w:p>
        </w:tc>
        <w:tc>
          <w:tcPr>
            <w:tcW w:w="0" w:type="dxa"/>
            <w:vAlign w:val="bottom"/>
          </w:tcPr>
          <w:p>
            <w:pPr>
              <w:spacing w:after="0"/>
              <w:rPr>
                <w:sz w:val="1"/>
                <w:szCs w:val="1"/>
                <w:color w:val="auto"/>
              </w:rPr>
            </w:pPr>
          </w:p>
        </w:tc>
      </w:tr>
      <w:tr>
        <w:trPr>
          <w:trHeight w:val="129"/>
        </w:trPr>
        <w:tc>
          <w:tcPr>
            <w:tcW w:w="78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6)</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860" w:type="dxa"/>
            <w:vAlign w:val="bottom"/>
          </w:tcPr>
          <w:p>
            <w:pPr>
              <w:ind w:left="140"/>
              <w:spacing w:after="0" w:line="176" w:lineRule="exact"/>
              <w:rPr>
                <w:sz w:val="20"/>
                <w:szCs w:val="20"/>
                <w:color w:val="auto"/>
              </w:rPr>
            </w:pPr>
            <w:r>
              <w:rPr>
                <w:rFonts w:ascii="Arial" w:cs="Arial" w:eastAsia="Arial" w:hAnsi="Arial"/>
                <w:sz w:val="18"/>
                <w:szCs w:val="18"/>
                <w:color w:val="auto"/>
                <w:w w:val="90"/>
              </w:rPr>
              <w:t>Common stock, $1 par value; 800,000,000 shares authorized; issued and outstanding: 2021—158,761,485</w:t>
            </w:r>
          </w:p>
        </w:tc>
        <w:tc>
          <w:tcPr>
            <w:tcW w:w="620" w:type="dxa"/>
            <w:vAlign w:val="bottom"/>
          </w:tcPr>
          <w:p>
            <w:pPr>
              <w:spacing w:after="0"/>
              <w:rPr>
                <w:sz w:val="15"/>
                <w:szCs w:val="15"/>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159</w:t>
            </w:r>
          </w:p>
        </w:tc>
        <w:tc>
          <w:tcPr>
            <w:tcW w:w="6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and 2020—166,717,179</w:t>
            </w:r>
          </w:p>
        </w:tc>
        <w:tc>
          <w:tcPr>
            <w:tcW w:w="6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Paid-in capital</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11,398</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10,482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shareholders’ equity</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11,417</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42,346</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44,469</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color w:val="auto"/>
                <w:w w:val="93"/>
              </w:rPr>
              <w:t>Nine Months Ended September</w:t>
            </w:r>
          </w:p>
        </w:tc>
      </w:tr>
      <w:tr>
        <w:trPr>
          <w:trHeight w:val="229"/>
        </w:trPr>
        <w:tc>
          <w:tcPr>
            <w:tcW w:w="8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30</w:t>
            </w:r>
          </w:p>
        </w:tc>
        <w:tc>
          <w:tcPr>
            <w:tcW w:w="900" w:type="dxa"/>
            <w:vAlign w:val="bottom"/>
            <w:tcBorders>
              <w:bottom w:val="single" w:sz="8" w:color="auto"/>
            </w:tcBorders>
          </w:tcPr>
          <w:p>
            <w:pPr>
              <w:spacing w:after="0"/>
              <w:rPr>
                <w:sz w:val="19"/>
                <w:szCs w:val="19"/>
                <w:color w:val="auto"/>
              </w:rPr>
            </w:pP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4,295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2,859</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908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business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Net periodic pension and OPB income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(818)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OPB contributions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29"/>
        </w:trPr>
        <w:tc>
          <w:tcPr>
            <w:tcW w:w="8800" w:type="dxa"/>
            <w:vAlign w:val="bottom"/>
          </w:tcPr>
          <w:p>
            <w:pPr>
              <w:ind w:left="360"/>
              <w:spacing w:after="0"/>
              <w:rPr>
                <w:sz w:val="20"/>
                <w:szCs w:val="20"/>
                <w:color w:val="auto"/>
              </w:rPr>
            </w:pPr>
            <w:r>
              <w:rPr>
                <w:rFonts w:ascii="Arial" w:cs="Arial" w:eastAsia="Arial" w:hAnsi="Arial"/>
                <w:sz w:val="18"/>
                <w:szCs w:val="18"/>
                <w:color w:val="auto"/>
              </w:rPr>
              <w:t>Unbilled receivables,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(596)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Inventoried costs,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880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8800" w:type="dxa"/>
            <w:vAlign w:val="bottom"/>
          </w:tcPr>
          <w:p>
            <w:pPr>
              <w:ind w:left="360"/>
              <w:spacing w:after="0"/>
              <w:rPr>
                <w:sz w:val="20"/>
                <w:szCs w:val="20"/>
                <w:color w:val="auto"/>
              </w:rPr>
            </w:pPr>
            <w:r>
              <w:rPr>
                <w:rFonts w:ascii="Arial" w:cs="Arial" w:eastAsia="Arial" w:hAnsi="Arial"/>
                <w:sz w:val="18"/>
                <w:szCs w:val="18"/>
                <w:color w:val="auto"/>
              </w:rPr>
              <w:t>Income taxes payable, net</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663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8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2,125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w:t>
            </w:r>
          </w:p>
        </w:tc>
      </w:tr>
      <w:tr>
        <w:trPr>
          <w:trHeight w:val="236"/>
        </w:trPr>
        <w:tc>
          <w:tcPr>
            <w:tcW w:w="8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Divestiture of IT services business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3,400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(682)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equipment to a customer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2,799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37"/>
        </w:trPr>
        <w:tc>
          <w:tcPr>
            <w:tcW w:w="8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Net proceeds from issuance of long-term debt</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2,239</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long-term debt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Payments to credit facilities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repurchases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Cash dividends paid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(737)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employee taxes withheld from share-based awards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(Decrease) increase in cash and cash equivalents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(852)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4,907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r>
      <w:tr>
        <w:trPr>
          <w:trHeight w:val="23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4,055</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ind w:right="3480"/>
        <w:spacing w:after="0" w:line="282"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3"/>
          </w:tcPr>
          <w:p>
            <w:pPr>
              <w:jc w:val="right"/>
              <w:ind w:right="370"/>
              <w:spacing w:after="0"/>
              <w:rPr>
                <w:sz w:val="20"/>
                <w:szCs w:val="20"/>
                <w:color w:val="auto"/>
              </w:rPr>
            </w:pPr>
            <w:r>
              <w:rPr>
                <w:rFonts w:ascii="Arial" w:cs="Arial" w:eastAsia="Arial" w:hAnsi="Arial"/>
                <w:sz w:val="18"/>
                <w:szCs w:val="18"/>
                <w:color w:val="auto"/>
                <w:w w:val="98"/>
              </w:rPr>
              <w:t>Three Months Ended</w:t>
            </w:r>
          </w:p>
        </w:tc>
        <w:tc>
          <w:tcPr>
            <w:tcW w:w="2380" w:type="dxa"/>
            <w:vAlign w:val="bottom"/>
            <w:gridSpan w:val="4"/>
          </w:tcPr>
          <w:p>
            <w:pPr>
              <w:ind w:left="80"/>
              <w:spacing w:after="0"/>
              <w:rPr>
                <w:sz w:val="20"/>
                <w:szCs w:val="20"/>
                <w:color w:val="auto"/>
              </w:rPr>
            </w:pPr>
            <w:r>
              <w:rPr>
                <w:rFonts w:ascii="Arial" w:cs="Arial" w:eastAsia="Arial" w:hAnsi="Arial"/>
                <w:sz w:val="18"/>
                <w:szCs w:val="18"/>
                <w:color w:val="auto"/>
                <w:w w:val="90"/>
              </w:rPr>
              <w:t>Nine Months Ended September</w:t>
            </w:r>
          </w:p>
        </w:tc>
      </w:tr>
      <w:tr>
        <w:trPr>
          <w:trHeight w:val="229"/>
        </w:trPr>
        <w:tc>
          <w:tcPr>
            <w:tcW w:w="6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September 30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30</w:t>
            </w:r>
          </w:p>
        </w:tc>
        <w:tc>
          <w:tcPr>
            <w:tcW w:w="860" w:type="dxa"/>
            <w:vAlign w:val="bottom"/>
            <w:tcBorders>
              <w:bottom w:val="single" w:sz="8" w:color="auto"/>
            </w:tcBorders>
          </w:tcPr>
          <w:p>
            <w:pPr>
              <w:spacing w:after="0"/>
              <w:rPr>
                <w:sz w:val="19"/>
                <w:szCs w:val="19"/>
                <w:color w:val="auto"/>
              </w:rPr>
            </w:pPr>
          </w:p>
        </w:tc>
      </w:tr>
      <w:tr>
        <w:trPr>
          <w:trHeight w:val="223"/>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160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30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167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6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159</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159</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Paid-in capital</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tcPr>
          <w:p>
            <w:pPr>
              <w:ind w:left="360"/>
              <w:spacing w:after="0"/>
              <w:rPr>
                <w:sz w:val="20"/>
                <w:szCs w:val="20"/>
                <w:color w:val="auto"/>
              </w:rPr>
            </w:pPr>
            <w:r>
              <w:rPr>
                <w:rFonts w:ascii="Arial" w:cs="Arial" w:eastAsia="Arial" w:hAnsi="Arial"/>
                <w:sz w:val="18"/>
                <w:szCs w:val="18"/>
                <w:color w:val="auto"/>
              </w:rPr>
              <w:t>Stock compensation</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11,144</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9,652</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10,482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8,748</w:t>
            </w:r>
          </w:p>
        </w:tc>
      </w:tr>
      <w:tr>
        <w:trPr>
          <w:trHeight w:val="230"/>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(2,676)</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644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1,063</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986</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4,295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2,859</w:t>
            </w:r>
          </w:p>
        </w:tc>
      </w:tr>
      <w:tr>
        <w:trPr>
          <w:trHeight w:val="229"/>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30"/>
        </w:trPr>
        <w:tc>
          <w:tcPr>
            <w:tcW w:w="6440" w:type="dxa"/>
            <w:vAlign w:val="bottom"/>
          </w:tcPr>
          <w:p>
            <w:pPr>
              <w:ind w:left="360"/>
              <w:spacing w:after="0"/>
              <w:rPr>
                <w:sz w:val="20"/>
                <w:szCs w:val="20"/>
                <w:color w:val="auto"/>
              </w:rPr>
            </w:pPr>
            <w:r>
              <w:rPr>
                <w:rFonts w:ascii="Arial" w:cs="Arial" w:eastAsia="Arial" w:hAnsi="Arial"/>
                <w:sz w:val="18"/>
                <w:szCs w:val="18"/>
                <w:color w:val="auto"/>
              </w:rPr>
              <w:t>Stock compensation</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30</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6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11,398</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10,394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11,398</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10,394</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6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11,417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10,467</w:t>
            </w: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11,417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10,467</w:t>
            </w:r>
          </w:p>
        </w:tc>
      </w:tr>
      <w:tr>
        <w:trPr>
          <w:trHeight w:val="237"/>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dividends declared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1.57</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Reporting</w:t>
      </w:r>
    </w:p>
    <w:p>
      <w:pPr>
        <w:spacing w:after="0" w:line="2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5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Effective January 30, 2021 (the “Divestiture date”), we completed the previously announced sale of our IT and mission support services business (the “IT services divestiture”) for $3.4 billion in cash and recorded a pre-tax gain on sale of $2.0 billion. The IT and mission support services business was comprised of the majority of the Information Solutions and Services (IS&amp;S) division of Defense Systems (excluding our Vinnell Arabia business); select cyber, intelligence and missions support programs, which were part of the Cyber and Intelligence Mission Solutions (CIMS) division of Mission Systems; and the Space Technical Services business unit of Space Systems. The assets and liabilities of the IT and mission support services business were classified as held for sale in the consolidated statement of financial position as of December 31, 2020. Operating results include sales and operating income for the IT and mission support services business prior to the Divestiture date. Sales for the IT and mission support services business were $162 million for the nine months ended September 30, 2021 and $602 million and $1.7 billion for the three and nine months ended September 30, 2020, respectively. Pre-tax profit was $20 million for the nine months ended September 30, 2021, and $69 million and $180 million for the three and nine months ended September 30, 2020, respectively.</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results reported in these financial statements are not necessarily indicative of results that may be expected for the entire year. These financial statements should be read in conjunction with the information contained in the company’s 2020 Annual Report on Form 10-K. During the first quarter of 2021, we changed the naming convention for our FAS/CAS pension accounts. The Net FAS (service)/CAS pension adjustment is now referred to as the FAS/CAS operating adjustment and the FAS (non-service) pension benefit is now referred to as the Non-operating FAS pension benefit. This change does not impact any current or previously reported amounts. During the second quarter of 2021, we changed the presentation of the retiree benefits components in the operating cash flow section of the Unaudited condensed consolidated statement of cash flows. Prior period amounts have been conformed to current period presentation and this change does not impact previously reported cash provided by operating activities.</w:t>
      </w:r>
    </w:p>
    <w:p>
      <w:pPr>
        <w:spacing w:after="0" w:line="4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majority of our sales are derived from long-term contracts with the U.S. government for the development or production of goods, the provision of services, or a combination of both. We recognize revenue as control is transferred to the customer, either over time or at a point in time. For most of our contracts, control is effectively transferred during the period of performance, so we generally recognize revenue over time using the cost-to-cost method (cost incurred relative to total cost estimated at completion). The company believes this represents the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appropriate measurement towards satisfaction of our performance obligations. Revenue for contracts in which the control of goods produced does not transfer until delivery to the customer is recognized at a point in time (i.e., typically upon delivery).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sales and cost at completion.</w:t>
      </w:r>
    </w:p>
    <w:p>
      <w:pPr>
        <w:spacing w:after="0" w:line="2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5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recognize changes in estimated contract sales or costs and the resulting changes in contract profit on a cumulative basis. Cumulative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expense, is charged against income in the period the loss is identified.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The following table presents the effect of aggregate net EAC adjustments: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6240" w:type="dxa"/>
            <w:vAlign w:val="bottom"/>
          </w:tcPr>
          <w:p>
            <w:pPr>
              <w:spacing w:after="0"/>
              <w:rPr>
                <w:sz w:val="17"/>
                <w:szCs w:val="17"/>
                <w:color w:val="auto"/>
              </w:rPr>
            </w:pPr>
          </w:p>
        </w:tc>
        <w:tc>
          <w:tcPr>
            <w:tcW w:w="2480" w:type="dxa"/>
            <w:vAlign w:val="bottom"/>
            <w:gridSpan w:val="4"/>
          </w:tcPr>
          <w:p>
            <w:pPr>
              <w:jc w:val="center"/>
              <w:spacing w:after="0" w:line="202" w:lineRule="exact"/>
              <w:rPr>
                <w:sz w:val="20"/>
                <w:szCs w:val="20"/>
                <w:color w:val="auto"/>
              </w:rPr>
            </w:pPr>
            <w:r>
              <w:rPr>
                <w:rFonts w:ascii="Arial" w:cs="Arial" w:eastAsia="Arial" w:hAnsi="Arial"/>
                <w:sz w:val="18"/>
                <w:szCs w:val="18"/>
                <w:color w:val="auto"/>
                <w:w w:val="88"/>
              </w:rPr>
              <w:t>Three Months Ended September</w:t>
            </w:r>
          </w:p>
        </w:tc>
        <w:tc>
          <w:tcPr>
            <w:tcW w:w="2520" w:type="dxa"/>
            <w:vAlign w:val="bottom"/>
            <w:gridSpan w:val="4"/>
          </w:tcPr>
          <w:p>
            <w:pPr>
              <w:jc w:val="center"/>
              <w:spacing w:after="0" w:line="202" w:lineRule="exact"/>
              <w:rPr>
                <w:sz w:val="20"/>
                <w:szCs w:val="20"/>
                <w:color w:val="auto"/>
              </w:rPr>
            </w:pPr>
            <w:r>
              <w:rPr>
                <w:rFonts w:ascii="Arial" w:cs="Arial" w:eastAsia="Arial" w:hAnsi="Arial"/>
                <w:sz w:val="18"/>
                <w:szCs w:val="18"/>
                <w:color w:val="auto"/>
                <w:w w:val="90"/>
              </w:rPr>
              <w:t>Nine Months Ended September</w:t>
            </w:r>
          </w:p>
        </w:tc>
      </w:tr>
      <w:tr>
        <w:trPr>
          <w:trHeight w:val="229"/>
        </w:trPr>
        <w:tc>
          <w:tcPr>
            <w:tcW w:w="6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30</w:t>
            </w: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30</w:t>
            </w:r>
          </w:p>
        </w:tc>
        <w:tc>
          <w:tcPr>
            <w:tcW w:w="900" w:type="dxa"/>
            <w:vAlign w:val="bottom"/>
            <w:tcBorders>
              <w:bottom w:val="single" w:sz="8" w:color="auto"/>
            </w:tcBorders>
          </w:tcPr>
          <w:p>
            <w:pPr>
              <w:spacing w:after="0"/>
              <w:rPr>
                <w:sz w:val="19"/>
                <w:szCs w:val="19"/>
                <w:color w:val="auto"/>
              </w:rPr>
            </w:pPr>
          </w:p>
        </w:tc>
      </w:tr>
      <w:tr>
        <w:trPr>
          <w:trHeight w:val="223"/>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data</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4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453</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earnings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30"/>
        </w:trPr>
        <w:tc>
          <w:tcPr>
            <w:tcW w:w="62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0.54</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0.58</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bl>
    <w:p>
      <w:pPr>
        <w:spacing w:after="0" w:line="165"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b w:val="1"/>
          <w:bCs w:val="1"/>
          <w:color w:val="auto"/>
          <w:vertAlign w:val="superscript"/>
        </w:rPr>
      </w:pPr>
      <w:r>
        <w:rPr>
          <w:rFonts w:ascii="Arial" w:cs="Arial" w:eastAsia="Arial" w:hAnsi="Arial"/>
          <w:sz w:val="14"/>
          <w:szCs w:val="14"/>
          <w:color w:val="auto"/>
        </w:rPr>
        <w:t>Based on a 21 percent statutory tax rate.</w:t>
      </w:r>
    </w:p>
    <w:p>
      <w:pPr>
        <w:spacing w:after="0" w:line="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EAC adjustments on a single performance obligation can have a material effect on the company’s financial statements. When such adjustments occur, we generally disclose the nature, underlying conditions and financial impact of the adjustments. During the third quarter of 2021, we recorded a $42 million unfavorable EAC adjustment on the F-35 program at Aeronautics Systems due to labor-related production inefficiencies largely driven by COVID-19-related impacts on the labor market and employee leave. No such adjustments were material to the financial statements during the three months ended September 30, 2020.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w:t>
      </w:r>
    </w:p>
    <w:p>
      <w:pPr>
        <w:spacing w:after="0" w:line="7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Company backlog as of September 30, 2021 was $74.8 billion. Of our September 30, 2021 backlog, we expect to recognize approximately 40 percent as revenue over the next 12 months and 60 percent as revenue over the next 24 months, with the remainder to be recognized thereafter.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and nine months ended September 30, 2021 that was included in the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contract liability balances was $261 million and $1.8 billion, respectively. The amount of revenue recognized for the three and nine months ended September 30, 2020 that was included in the December 31, 2019 contract liability balance was $232 million and $1.5 billion, respectively.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right="400"/>
        <w:spacing w:after="0" w:line="322" w:lineRule="auto"/>
        <w:rPr>
          <w:sz w:val="20"/>
          <w:szCs w:val="20"/>
          <w:color w:val="auto"/>
        </w:rPr>
      </w:pPr>
      <w:r>
        <w:rPr>
          <w:rFonts w:ascii="Arial" w:cs="Arial" w:eastAsia="Arial" w:hAnsi="Arial"/>
          <w:sz w:val="16"/>
          <w:szCs w:val="16"/>
          <w:color w:val="auto"/>
        </w:rPr>
        <w:t>See Note 9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fourth quarter of 2020, the company completed a sale of equipment to a customer on a restricted Aeronautics Systems program. During the nine months ended September 30, 2021, the company received cash payments of $84 million related to the equipment sale and included it in Proceeds from sale of equipment to a customer in the unaudited condensed consolidated statement of cash flows.</w:t>
      </w:r>
    </w:p>
    <w:p>
      <w:pPr>
        <w:spacing w:after="0" w:line="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Non-cash investing activities include capital expenditures incurred but not yet paid of $105 million and $123 million as of September 30, 2021 and 2020,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7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September 30, 2021</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December 31, 2020</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prior service credit, net of tax expense of $1 for 2021 and $3 for 2020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Cumulative translation adjustment and other, net</w:t>
            </w:r>
          </w:p>
        </w:tc>
        <w:tc>
          <w:tcPr>
            <w:tcW w:w="7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the company had no material related party transactions.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Accounting standards updates adopted and/or issued, but not effective until after September 30, 2021, are not expected to have a material effect on the company’s unaudited condensed consolidated financial position, annual results of operations and/or cash flows.</w:t>
      </w:r>
    </w:p>
    <w:p>
      <w:pPr>
        <w:spacing w:after="0" w:line="127" w:lineRule="exact"/>
        <w:rPr>
          <w:sz w:val="20"/>
          <w:szCs w:val="20"/>
          <w:color w:val="auto"/>
        </w:rPr>
      </w:pPr>
    </w:p>
    <w:p>
      <w:pPr>
        <w:ind w:right="3400"/>
        <w:spacing w:after="0" w:line="308" w:lineRule="auto"/>
        <w:rPr>
          <w:sz w:val="20"/>
          <w:szCs w:val="20"/>
          <w:color w:val="auto"/>
        </w:rPr>
      </w:pPr>
      <w:r>
        <w:rPr>
          <w:rFonts w:ascii="Arial" w:cs="Arial" w:eastAsia="Arial" w:hAnsi="Arial"/>
          <w:sz w:val="18"/>
          <w:szCs w:val="18"/>
          <w:b w:val="1"/>
          <w:bCs w:val="1"/>
          <w:color w:val="auto"/>
        </w:rPr>
        <w:t>2. EARNINGS PER SHARE, SHARE REPURCHASES AND DIVIDENDS ON COMMON STOCK Basic Earnings Per Share</w:t>
      </w:r>
    </w:p>
    <w:p>
      <w:pPr>
        <w:ind w:right="40"/>
        <w:spacing w:after="0" w:line="305" w:lineRule="auto"/>
        <w:rPr>
          <w:sz w:val="20"/>
          <w:szCs w:val="20"/>
          <w:color w:val="auto"/>
        </w:rPr>
      </w:pPr>
      <w:r>
        <w:rPr>
          <w:rFonts w:ascii="Arial" w:cs="Arial" w:eastAsia="Arial" w:hAnsi="Arial"/>
          <w:sz w:val="18"/>
          <w:szCs w:val="18"/>
          <w:color w:val="auto"/>
        </w:rPr>
        <w:t xml:space="preserve">We calculate basic earnings per share by dividing net earnings by the weighted-average number of shares of common stock outstanding during each period. </w:t>
      </w:r>
      <w:r>
        <w:rPr>
          <w:rFonts w:ascii="Arial" w:cs="Arial" w:eastAsia="Arial" w:hAnsi="Arial"/>
          <w:sz w:val="18"/>
          <w:szCs w:val="18"/>
          <w:b w:val="1"/>
          <w:bCs w:val="1"/>
          <w:color w:val="auto"/>
        </w:rPr>
        <w:t>Diluted Earnings Per Share</w:t>
      </w:r>
    </w:p>
    <w:p>
      <w:pPr>
        <w:ind w:right="280"/>
        <w:spacing w:after="0" w:line="302" w:lineRule="auto"/>
        <w:rPr>
          <w:sz w:val="20"/>
          <w:szCs w:val="20"/>
          <w:color w:val="auto"/>
        </w:rPr>
      </w:pPr>
      <w:r>
        <w:rPr>
          <w:rFonts w:ascii="Arial" w:cs="Arial" w:eastAsia="Arial" w:hAnsi="Arial"/>
          <w:sz w:val="16"/>
          <w:szCs w:val="16"/>
          <w:color w:val="auto"/>
        </w:rPr>
        <w:t>Diluted earnings per share include the dilutive effect of awards granted to employees under stock-based compensation plans. The dilutive effect of these securities totaled 0.6 million shares and 0.5 million shares for the three and nine months ended September 30, 2021, respectively. The dilutive effect of these securities totaled 0.5 million shares and 0.6 million shares for the three and nine months ended September 30, 2020, respectively.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On September 16, 2015, the company’s board of directors authorized a share repurchase program of up to $4.0 billion of the company’s common stock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“2015 Repurchase Program”). On December 4, 2018, the company’s board of directors authorized a share repurchase program of up to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 billion in share repurchases of the company’s common stock (the “2018 Repurchase Program”). Repurchases under the 2015 Repurchase Program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commenced in March 2016 and were completed in March 2020 at which time repurchases under the 2018 Repurchase Program commenced.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repurchases under the 2018 Repurchase Program totaled $2.9 billion; $0.1 billion remained under this share repurchase authorization.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its terms, the 2018 Repurchase Program is set to expire when we have used all authorized funds for repurchases.</w:t>
      </w:r>
    </w:p>
    <w:p>
      <w:pPr>
        <w:spacing w:after="0" w:line="7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January 25, 2021, the company’s board of directors authorized a new share repurchase program of up to an additional $3.0 billion in share repurchases of the company’s common stock (the “2021 Repurchase Program”). By its terms, repurchases under the 2021 Repurchase Program will commence upon completion of the 2018 Repurchase Program and will expire when we have used all authorized funds for repurchases.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first quarter of 2021, the company entered into an accelerated share repurchase (ASR) agreement with Goldman Sachs &amp; Co. LLC (Goldman Sachs) to repurchase $2.0 billion of the company’s common stock as part of the 2018 Repurchase Program. Under the agreement, we made a payment of $2.0 billion to Goldman Sachs and received an initial delivery of 5.9 million shares valued at $1.7 billion that were immediately canceled by the company. The remaining balance of $300 million was settled on June 1, 2021 with a final delivery of 0.2 million shares from Goldman Sachs. The final average purchase price was $327.29 per share.</w:t>
      </w:r>
    </w:p>
    <w:p>
      <w:pPr>
        <w:spacing w:after="0" w:line="6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34" w:lineRule="exact"/>
        <w:rPr>
          <w:sz w:val="20"/>
          <w:szCs w:val="20"/>
          <w:color w:val="auto"/>
        </w:rPr>
      </w:pPr>
    </w:p>
    <w:p>
      <w:pPr>
        <w:jc w:val="center"/>
        <w:ind w:left="8660"/>
        <w:spacing w:after="0"/>
        <w:rPr>
          <w:sz w:val="20"/>
          <w:szCs w:val="20"/>
          <w:color w:val="auto"/>
        </w:rPr>
      </w:pPr>
      <w:r>
        <w:rPr>
          <w:rFonts w:ascii="Arial" w:cs="Arial" w:eastAsia="Arial" w:hAnsi="Arial"/>
          <w:sz w:val="18"/>
          <w:szCs w:val="18"/>
          <w:color w:val="auto"/>
        </w:rPr>
        <w:t>Shares Repurchased</w:t>
      </w:r>
    </w:p>
    <w:p>
      <w:pPr>
        <w:jc w:val="center"/>
        <w:ind w:left="866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4445</wp:posOffset>
            </wp:positionV>
            <wp:extent cx="1534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Amount</w:t>
            </w: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17"/>
                <w:szCs w:val="17"/>
                <w:color w:val="auto"/>
              </w:rPr>
            </w:pPr>
          </w:p>
        </w:tc>
        <w:tc>
          <w:tcPr>
            <w:tcW w:w="1320" w:type="dxa"/>
            <w:vAlign w:val="bottom"/>
            <w:vMerge w:val="restart"/>
          </w:tcPr>
          <w:p>
            <w:pPr>
              <w:jc w:val="center"/>
              <w:ind w:right="310"/>
              <w:spacing w:after="0"/>
              <w:rPr>
                <w:sz w:val="20"/>
                <w:szCs w:val="20"/>
                <w:color w:val="auto"/>
              </w:rPr>
            </w:pPr>
            <w:r>
              <w:rPr>
                <w:rFonts w:ascii="Arial" w:cs="Arial" w:eastAsia="Arial" w:hAnsi="Arial"/>
                <w:sz w:val="18"/>
                <w:szCs w:val="18"/>
                <w:color w:val="auto"/>
                <w:w w:val="89"/>
              </w:rPr>
              <w:t>Average</w:t>
            </w:r>
          </w:p>
        </w:tc>
        <w:tc>
          <w:tcPr>
            <w:tcW w:w="1800" w:type="dxa"/>
            <w:vAlign w:val="bottom"/>
          </w:tcPr>
          <w:p>
            <w:pPr>
              <w:spacing w:after="0"/>
              <w:rPr>
                <w:sz w:val="17"/>
                <w:szCs w:val="17"/>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w w:val="92"/>
              </w:rPr>
              <w:t>Nine Months Ended September</w:t>
            </w:r>
          </w:p>
        </w:tc>
        <w:tc>
          <w:tcPr>
            <w:tcW w:w="0" w:type="dxa"/>
            <w:vAlign w:val="bottom"/>
          </w:tcPr>
          <w:p>
            <w:pPr>
              <w:spacing w:after="0"/>
              <w:rPr>
                <w:sz w:val="1"/>
                <w:szCs w:val="1"/>
                <w:color w:val="auto"/>
              </w:rPr>
            </w:pPr>
          </w:p>
        </w:tc>
      </w:tr>
      <w:tr>
        <w:trPr>
          <w:trHeight w:val="95"/>
        </w:trPr>
        <w:tc>
          <w:tcPr>
            <w:tcW w:w="2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20" w:type="dxa"/>
            <w:vAlign w:val="bottom"/>
            <w:vMerge w:val="restart"/>
          </w:tcPr>
          <w:p>
            <w:pPr>
              <w:jc w:val="right"/>
              <w:ind w:right="1030"/>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35"/>
        </w:trPr>
        <w:tc>
          <w:tcPr>
            <w:tcW w:w="2060" w:type="dxa"/>
            <w:vAlign w:val="bottom"/>
            <w:vMerge w:val="restart"/>
          </w:tcPr>
          <w:p>
            <w:pPr>
              <w:jc w:val="center"/>
              <w:ind w:left="10"/>
              <w:spacing w:after="0" w:line="176" w:lineRule="exact"/>
              <w:rPr>
                <w:sz w:val="20"/>
                <w:szCs w:val="20"/>
                <w:color w:val="auto"/>
              </w:rPr>
            </w:pPr>
            <w:r>
              <w:rPr>
                <w:rFonts w:ascii="Arial" w:cs="Arial" w:eastAsia="Arial" w:hAnsi="Arial"/>
                <w:sz w:val="18"/>
                <w:szCs w:val="18"/>
                <w:color w:val="auto"/>
                <w:w w:val="88"/>
              </w:rPr>
              <w:t>Repurchase Program</w:t>
            </w:r>
          </w:p>
        </w:tc>
        <w:tc>
          <w:tcPr>
            <w:tcW w:w="380" w:type="dxa"/>
            <w:vAlign w:val="bottom"/>
          </w:tcPr>
          <w:p>
            <w:pPr>
              <w:spacing w:after="0"/>
              <w:rPr>
                <w:sz w:val="11"/>
                <w:szCs w:val="11"/>
                <w:color w:val="auto"/>
              </w:rPr>
            </w:pPr>
          </w:p>
        </w:tc>
        <w:tc>
          <w:tcPr>
            <w:tcW w:w="1320" w:type="dxa"/>
            <w:vAlign w:val="bottom"/>
            <w:vMerge w:val="restart"/>
          </w:tcPr>
          <w:p>
            <w:pPr>
              <w:jc w:val="center"/>
              <w:ind w:right="230"/>
              <w:spacing w:after="0" w:line="176" w:lineRule="exact"/>
              <w:rPr>
                <w:sz w:val="20"/>
                <w:szCs w:val="20"/>
                <w:color w:val="auto"/>
              </w:rPr>
            </w:pPr>
            <w:r>
              <w:rPr>
                <w:rFonts w:ascii="Arial" w:cs="Arial" w:eastAsia="Arial" w:hAnsi="Arial"/>
                <w:sz w:val="18"/>
                <w:szCs w:val="18"/>
                <w:color w:val="auto"/>
                <w:w w:val="92"/>
              </w:rPr>
              <w:t>Authorized</w:t>
            </w:r>
          </w:p>
        </w:tc>
        <w:tc>
          <w:tcPr>
            <w:tcW w:w="16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8"/>
              </w:rPr>
              <w:t>Shares Retired</w:t>
            </w:r>
          </w:p>
        </w:tc>
        <w:tc>
          <w:tcPr>
            <w:tcW w:w="280" w:type="dxa"/>
            <w:vAlign w:val="bottom"/>
          </w:tcPr>
          <w:p>
            <w:pPr>
              <w:spacing w:after="0"/>
              <w:rPr>
                <w:sz w:val="11"/>
                <w:szCs w:val="11"/>
                <w:color w:val="auto"/>
              </w:rPr>
            </w:pPr>
          </w:p>
        </w:tc>
        <w:tc>
          <w:tcPr>
            <w:tcW w:w="1320" w:type="dxa"/>
            <w:vAlign w:val="bottom"/>
            <w:vMerge w:val="restart"/>
          </w:tcPr>
          <w:p>
            <w:pPr>
              <w:jc w:val="center"/>
              <w:ind w:right="270"/>
              <w:spacing w:after="0" w:line="176" w:lineRule="exact"/>
              <w:rPr>
                <w:sz w:val="20"/>
                <w:szCs w:val="20"/>
                <w:color w:val="auto"/>
              </w:rPr>
            </w:pPr>
            <w:r>
              <w:rPr>
                <w:rFonts w:ascii="Arial" w:cs="Arial" w:eastAsia="Arial" w:hAnsi="Arial"/>
                <w:sz w:val="18"/>
                <w:szCs w:val="18"/>
                <w:color w:val="auto"/>
                <w:w w:val="87"/>
              </w:rPr>
              <w:t>Price</w:t>
            </w:r>
          </w:p>
        </w:tc>
        <w:tc>
          <w:tcPr>
            <w:tcW w:w="180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800" w:type="dxa"/>
            <w:vAlign w:val="bottom"/>
            <w:vMerge w:val="restart"/>
          </w:tcPr>
          <w:p>
            <w:pPr>
              <w:jc w:val="center"/>
              <w:ind w:right="70"/>
              <w:spacing w:after="0"/>
              <w:rPr>
                <w:sz w:val="20"/>
                <w:szCs w:val="20"/>
                <w:color w:val="auto"/>
              </w:rPr>
            </w:pPr>
            <w:r>
              <w:rPr>
                <w:rFonts w:ascii="Arial" w:cs="Arial" w:eastAsia="Arial" w:hAnsi="Arial"/>
                <w:sz w:val="18"/>
                <w:szCs w:val="18"/>
                <w:color w:val="auto"/>
                <w:w w:val="89"/>
              </w:rPr>
              <w:t>Date Completed</w:t>
            </w:r>
          </w:p>
        </w:tc>
        <w:tc>
          <w:tcPr>
            <w:tcW w:w="11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320" w:type="dxa"/>
            <w:vAlign w:val="bottom"/>
            <w:vMerge w:val="restart"/>
          </w:tcPr>
          <w:p>
            <w:pPr>
              <w:jc w:val="right"/>
              <w:ind w:right="3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line="20" w:lineRule="exact"/>
              <w:rPr>
                <w:sz w:val="1"/>
                <w:szCs w:val="1"/>
                <w:color w:val="auto"/>
              </w:rPr>
            </w:pPr>
          </w:p>
        </w:tc>
      </w:tr>
      <w:tr>
        <w:trPr>
          <w:trHeight w:val="230"/>
        </w:trPr>
        <w:tc>
          <w:tcPr>
            <w:tcW w:w="20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Authorization Date</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6"/>
              </w:rPr>
              <w:t>(in millions)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(in millions)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70"/>
              <w:spacing w:after="0" w:line="230" w:lineRule="exact"/>
              <w:rPr>
                <w:sz w:val="20"/>
                <w:szCs w:val="20"/>
                <w:color w:val="auto"/>
              </w:rPr>
            </w:pPr>
            <w:r>
              <w:rPr>
                <w:rFonts w:ascii="Arial" w:cs="Arial" w:eastAsia="Arial" w:hAnsi="Arial"/>
                <w:sz w:val="18"/>
                <w:szCs w:val="18"/>
                <w:color w:val="auto"/>
                <w:w w:val="84"/>
              </w:rPr>
              <w:t>Per Share</w:t>
            </w:r>
            <w:r>
              <w:rPr>
                <w:rFonts w:ascii="Arial" w:cs="Arial" w:eastAsia="Arial" w:hAnsi="Arial"/>
                <w:sz w:val="23"/>
                <w:szCs w:val="23"/>
                <w:color w:val="auto"/>
                <w:w w:val="84"/>
                <w:vertAlign w:val="superscript"/>
              </w:rPr>
              <w:t>(1)</w:t>
            </w:r>
          </w:p>
        </w:tc>
        <w:tc>
          <w:tcPr>
            <w:tcW w:w="18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16, 2015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4,000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260.33</w:t>
            </w:r>
          </w:p>
        </w:tc>
        <w:tc>
          <w:tcPr>
            <w:tcW w:w="18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March 2020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rPr>
              <w:t>December 4, 2018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3,000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335.62</w:t>
            </w:r>
          </w:p>
        </w:tc>
        <w:tc>
          <w:tcPr>
            <w:tcW w:w="1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25, 2021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3,000</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Includes commissions paid.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In May 2021, the company increased the quarterly common stock dividend 8 percent to $1.57 per share from the previous amount of $1.45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3.  INCOME TAXES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5820" w:type="dxa"/>
            <w:vAlign w:val="bottom"/>
          </w:tcPr>
          <w:p>
            <w:pPr>
              <w:spacing w:after="0"/>
              <w:rPr>
                <w:sz w:val="22"/>
                <w:szCs w:val="22"/>
                <w:color w:val="auto"/>
              </w:rPr>
            </w:pPr>
          </w:p>
        </w:tc>
        <w:tc>
          <w:tcPr>
            <w:tcW w:w="26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1"/>
              </w:rPr>
              <w:t>Three Months Ended September 30</w:t>
            </w:r>
          </w:p>
        </w:tc>
        <w:tc>
          <w:tcPr>
            <w:tcW w:w="27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94"/>
              </w:rPr>
              <w:t>Nine Months Ended September 30</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212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1,298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564</w:t>
            </w: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16.6 %</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15.5 %</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23.2 %</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third quarter 2021 effective tax rate (ETR) increased to 16.6 percent from 15.5 percent in the prior year period primarily due to lower benefits from foreign-derived intangible income (FDII). The company’s third quarter 2021 ETR includes benefits of $43 million for research credits and $12 million for FDII. The company’s third quarter 2020 ETR included benefits of $45 million for research credits and $30 million for FDII, which reflects additional benefits after final regulations issued in July 2020 clarified Foreign Military Sales qualify for the deduction.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The year to date 2021 ETR increased to 23.2 percent from 16.5 percent in the prior period primarily due to federal income taxes resulting from the IT services divestiture, including $250 million of income tax expense related to $1.2 billion of nondeductible goodwill in the divested business. The company’s year to date 2021 ETR also includes additional tax expense related to a change made in tax revenue recognition on certain long-term contracts, which increased taxable income in years prior to the 2017 Tax Cuts and Jobs Act at a rate above the current statutory rate as well as benefits of</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$142 million for research credits and $32 million for FDII. The company’s year to date 2020 ETR included benefits of $135 million for research credits and $46 million for FDII.</w:t>
      </w:r>
    </w:p>
    <w:p>
      <w:pPr>
        <w:spacing w:after="0" w:line="5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Taxes receivable, which are included in Prepaid expenses and other current assets in the unaudited condensed consolidated statements of financial position, were $123 million as of September 30, 2021 and $792 million as of December 31, 2020.</w:t>
      </w:r>
    </w:p>
    <w:p>
      <w:pPr>
        <w:spacing w:after="0" w:line="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has recorded unrecognized tax benefits related to our methods of accounting associated with the timing of revenue recognition and related costs and the 2017 Tax Cuts and Jobs Act, which includes related final revenue recognition regulations issued in December 2020 under IRC Section 451(b) and procedural guidance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in August 2021. It is reasonably possible that within the next 12 months our unrecognized tax benefits related to these matters may increase by approximately $100 million.</w:t>
      </w:r>
    </w:p>
    <w:p>
      <w:pPr>
        <w:spacing w:after="0" w:line="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The Northrop Grumman 2017-2018 federal tax returns are currently under Internal Revenue Service (IRS) examination. During the third quarter of 2021, the company requested an appeal with the IRS for the Northrop Grumman 2014-2016 federal income tax returns and refund claims related to its 2007-2016 federal tax returns. In addition, legacy Orbital ATK federal tax returns for the year ended March 31, 2015, the nine-month transition period ended December 31, 2015 and calendar years 2016-2017 are currently under appeal with the IRS.</w:t>
      </w:r>
    </w:p>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FAIR VALUE OF FINANCIAL INSTRUMENTS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holds a portfolio of marketable securities to partially fund non-qualified employee benefit plans. A portion of these securities are held in common/collective trust funds and are measured at fair value using net asset value (NAV) per share as a practical expedient; and therefore are not required to be categorized in the fair value hierarchy table below. Marketable securities are included in Other non-current assets in the unaudited condensed consolidated statements of financial position.</w:t>
      </w:r>
    </w:p>
    <w:p>
      <w:pPr>
        <w:spacing w:after="0" w:line="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company’s derivative portfolio consists primarily of foreign currency forward contracts. Where model-derived valuations are appropriate, the company utilizes the income approach to determine the fair value and uses the applicable London Interbank Offered Rate (LIBOR) swap rates.</w:t>
      </w:r>
    </w:p>
    <w:p>
      <w:pPr>
        <w:spacing w:after="0" w:line="2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following table presents the financial assets and liabilities the company records at fair value on a recurring basis identified by the level of inputs used to determine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 2021</w:t>
            </w: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December 31, 2020</w:t>
            </w:r>
          </w:p>
        </w:tc>
        <w:tc>
          <w:tcPr>
            <w:tcW w:w="80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Level 1</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8"/>
              </w:rPr>
              <w:t>Level 2</w:t>
            </w: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Level 2</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390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29"/>
        </w:trPr>
        <w:tc>
          <w:tcPr>
            <w:tcW w:w="4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Marketable securities valued using NAV</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marketable securities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390</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406</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r>
      <w:tr>
        <w:trPr>
          <w:trHeight w:val="223"/>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notional value of the company’s foreign currency forward contracts at September 30, 2021 and December 31, 2020 was $132 million and $133 million, respectively. At September 30, 2021 and December 31, 2020, no portion of the notional value was designated as a cash flow hedge.</w:t>
      </w:r>
    </w:p>
    <w:p>
      <w:pPr>
        <w:spacing w:after="0" w:line="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derivative fair values and related unrealized gains/losses at September 30, 2021 and December 31, 2020 were not material. There were no transfers of financial instruments into or out of Level 3 of the fair value hierarchy during the nine months ended September 30, 2021.</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and commercial paper approximates fair value.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estimated fair value of long-term debt was $15.2 billion and $18.2 billion as of September 30, 2021 and December 31, 2020,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spacing w:after="0" w:line="71" w:lineRule="exact"/>
        <w:rPr>
          <w:sz w:val="20"/>
          <w:szCs w:val="20"/>
          <w:color w:val="auto"/>
        </w:rPr>
      </w:pPr>
    </w:p>
    <w:p>
      <w:pPr>
        <w:jc w:val="both"/>
        <w:ind w:right="500"/>
        <w:spacing w:after="0" w:line="287" w:lineRule="auto"/>
        <w:rPr>
          <w:sz w:val="20"/>
          <w:szCs w:val="20"/>
          <w:color w:val="auto"/>
        </w:rPr>
      </w:pPr>
      <w:r>
        <w:rPr>
          <w:rFonts w:ascii="Arial" w:cs="Arial" w:eastAsia="Arial" w:hAnsi="Arial"/>
          <w:sz w:val="16"/>
          <w:szCs w:val="16"/>
          <w:color w:val="auto"/>
        </w:rPr>
        <w:t>On September 2, 2021, the company completed an exchange offer to eligible holders of the outstanding notes of our direct wholly owned subsidiary, Northrop Grumman Systems Corporation (“NGSC”) maturing through 2036. An aggregate principal amount of $422 million of the NGSC notes was exchanged for $422 million of Northrop Grumman Corporation notes with the same interest rates and maturity dates as the NGSC notes exchanged.</w:t>
      </w:r>
    </w:p>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Because the debt instruments are not substantially different, the exchange was treated as a debt modification for accounting purposes with no gain or loss recognized.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 of 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March 2021, the company repaid $700 million of 3.50 percent unsecured notes upon maturity.</w:t>
      </w:r>
    </w:p>
    <w:p>
      <w:pPr>
        <w:spacing w:after="0" w:line="8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March 2021, the company redeemed $1.5 billion of 2.55 percent unsecured notes due October 2022. The company recorded a pre-tax charge of $54 million principally related to the premium paid on the redemption,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was recorded in Other, net in the unaudited condensed consolidated statements of earnings and comprehensive income.</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INVESTIGATIONS, CLAIMS AND LITIGATION</w:t>
      </w:r>
    </w:p>
    <w:p>
      <w:pPr>
        <w:spacing w:after="0" w:line="1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May 4, 2012, the company commenced an action, </w:t>
      </w:r>
      <w:r>
        <w:rPr>
          <w:rFonts w:ascii="Arial" w:cs="Arial" w:eastAsia="Arial" w:hAnsi="Arial"/>
          <w:sz w:val="17"/>
          <w:szCs w:val="17"/>
          <w:i w:val="1"/>
          <w:iCs w:val="1"/>
          <w:color w:val="auto"/>
        </w:rPr>
        <w:t>Northrop Grumman Systems Corp. v. United States</w:t>
      </w:r>
      <w:r>
        <w:rPr>
          <w:rFonts w:ascii="Arial" w:cs="Arial" w:eastAsia="Arial" w:hAnsi="Arial"/>
          <w:sz w:val="17"/>
          <w:szCs w:val="17"/>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were delivered. The company’s lawsuit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In the course of the litigation, the United States subsequently amended its counterclaim, reducing it to seek approximately $193 million. The principal counterclaim alleges that the company delayed its performance and caused damages to the USPS because USPS did not realize certain costs savings as early as it had expected. On February 3, 2020, after extensive discovery and motions practice, the parties commenced what was expected to be a seven-week trial. The first four weeks of trial concluded, but the court postponed the remaining estimated three weeks as a result of COVID-19-related concerns. After additional COVID-19-related interruptions, trial concluded on March 5, 2021. On October 12, 2021, the parties completed post-trial briefing, absent any further requests or unexpected developments. Although the ultimate outcome of this matter, including any possible loss, cannot be predicted or reasonably estimated at this time, the company intends to continue vigorously to pursue and defend the matter.</w:t>
      </w:r>
    </w:p>
    <w:p>
      <w:pPr>
        <w:spacing w:after="0" w:line="4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are engaged in remediation activities relating to environmental conditions allegedly resulting from historic operations at the former United States Navy and Grumman facilities in Bethpage, New York. For over 20 years, we have worked closely with the United States Navy, the United States Environmental Protection Agency, the New York State Department of Environmental Conservation (NYSDEC), the New York State Department of Health and other federal, state and local governmental authorities, to address legacy environmental conditions in Bethpage. In December 2019, the State of New York issued an Amended Record of Decision seeking to impose additional remedial requirements beyond measures the company previously had been taking; the State also communicated that it was assessing potential natural resource damages. In December 2020, the parties reached a tentative agreement regarding the steps the company will take to implement the State’s Amended Record of Decision and to resolve certain potential other claims, including for natural resource damages. On September 22, 2021, the State of New York issued for public comment a new consent decree reflecting the agreement. We understand that the State will next seek court approval of the consent decree. We have incurred, and expect to continue to incur, as included in Note 6, substantial remediation costs related to the legacy Bethpage environmental conditions. Applicable remediation standards and other requirements to which we are subject may continue to change, our costs may increase materially and those costs may not be fully recoverable. In addition, we are a party to various, and expect to become a party to additional, legal proceedings and disputes related to remediation, environmental impacts, costs, and the allowability of costs we incur, including with federal and state entities (including the Navy, Defense Contract Management Agency, the State, local municipalities and water districts) and insurance carriers, as well as class action and individual plaintiffs alleging personal injury and property damage and seeking both monetary and non-monetary relief. These Bethpage matters could result in additional costs, fines, penalties, sanctions, compensatory or other damages, determinations on allocation, allowability and coverage, and non-monetary relief. We are in discussions with the Department of Defense and the Bethpage Water District to explore whether claims involving these parties can be resolved at this stage. We cannot at this time predict or reasonably estimate the potential cumulative outcomes or ranges of possible liability of these aggregate Bethpage matters.</w:t>
      </w:r>
    </w:p>
    <w:p>
      <w:pPr>
        <w:spacing w:after="0" w:line="5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September 30, 2021, or its annual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 and Contingencies</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September 30, 2021, or its annual results of operations and/or cash flows.</w:t>
      </w:r>
    </w:p>
    <w:p>
      <w:pPr>
        <w:spacing w:after="0" w:line="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U.S. government has raised questions about an interest rate assumption used by the company to determine our CAS pension expense. On June 1, 2020, the government provided written notice that the assumptions the company used during the period 2013-2019 were potentially noncompliant with CAS. We submitted a formal response on July 31, 2020, which we believe demonstrates the appropriateness of the assumptions used. On November 24, 2020, the government replied to the company’s response, disagreeing with our position and requesting additional input, which we provided on February 22, 2021. We are engaging further with the government. The sensitivity to changes in interest rate assumptions makes it reasonably possible the outcome of this matter could have a material adverse effect on our financial position, results of operations and/or cash flows, although we are not currently able to estimate a range of any potential loss.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September 30, 2021 and December 31, 2020:</w:t>
      </w:r>
    </w:p>
    <w:tbl>
      <w:tblPr>
        <w:tblLayout w:type="fixed"/>
        <w:tblInd w:w="0" w:type="dxa"/>
        <w:tblCellMar>
          <w:top w:w="0" w:type="dxa"/>
          <w:left w:w="0" w:type="dxa"/>
          <w:bottom w:w="0" w:type="dxa"/>
          <w:right w:w="0" w:type="dxa"/>
        </w:tblCellMar>
      </w:tblPr>
      <w:tr>
        <w:trPr>
          <w:trHeight w:val="191"/>
        </w:trPr>
        <w:tc>
          <w:tcPr>
            <w:tcW w:w="3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35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Accrued Costs</w:t>
            </w:r>
            <w:r>
              <w:rPr>
                <w:rFonts w:ascii="Arial" w:cs="Arial" w:eastAsia="Arial" w:hAnsi="Arial"/>
                <w:sz w:val="23"/>
                <w:szCs w:val="23"/>
                <w:color w:val="auto"/>
                <w:vertAlign w:val="superscript"/>
              </w:rPr>
              <w:t>(1)(2)</w:t>
            </w:r>
          </w:p>
        </w:tc>
        <w:tc>
          <w:tcPr>
            <w:tcW w:w="2640" w:type="dxa"/>
            <w:vAlign w:val="bottom"/>
            <w:gridSpan w:val="2"/>
          </w:tcPr>
          <w:p>
            <w:pPr>
              <w:ind w:left="120"/>
              <w:spacing w:after="0" w:line="191" w:lineRule="exact"/>
              <w:rPr>
                <w:sz w:val="20"/>
                <w:szCs w:val="20"/>
                <w:color w:val="auto"/>
              </w:rPr>
            </w:pPr>
            <w:r>
              <w:rPr>
                <w:rFonts w:ascii="Arial" w:cs="Arial" w:eastAsia="Arial" w:hAnsi="Arial"/>
                <w:sz w:val="18"/>
                <w:szCs w:val="18"/>
                <w:color w:val="auto"/>
                <w:w w:val="90"/>
              </w:rPr>
              <w:t>Reasonably Possible Future Costs</w:t>
            </w:r>
          </w:p>
        </w:tc>
        <w:tc>
          <w:tcPr>
            <w:tcW w:w="180" w:type="dxa"/>
            <w:vAlign w:val="bottom"/>
          </w:tcPr>
          <w:p>
            <w:pPr>
              <w:spacing w:after="0"/>
              <w:rPr>
                <w:sz w:val="16"/>
                <w:szCs w:val="16"/>
                <w:color w:val="auto"/>
              </w:rPr>
            </w:pPr>
          </w:p>
        </w:tc>
        <w:tc>
          <w:tcPr>
            <w:tcW w:w="1400" w:type="dxa"/>
            <w:vAlign w:val="bottom"/>
            <w:vMerge w:val="restart"/>
          </w:tcPr>
          <w:p>
            <w:pPr>
              <w:jc w:val="right"/>
              <w:ind w:right="70"/>
              <w:spacing w:after="0"/>
              <w:rPr>
                <w:sz w:val="20"/>
                <w:szCs w:val="20"/>
                <w:color w:val="auto"/>
              </w:rPr>
            </w:pPr>
            <w:r>
              <w:rPr>
                <w:rFonts w:ascii="Arial" w:cs="Arial" w:eastAsia="Arial" w:hAnsi="Arial"/>
                <w:sz w:val="18"/>
                <w:szCs w:val="18"/>
                <w:color w:val="auto"/>
                <w:w w:val="87"/>
              </w:rPr>
              <w:t>Deferred Costs</w:t>
            </w:r>
            <w:r>
              <w:rPr>
                <w:rFonts w:ascii="Arial" w:cs="Arial" w:eastAsia="Arial" w:hAnsi="Arial"/>
                <w:sz w:val="23"/>
                <w:szCs w:val="23"/>
                <w:color w:val="auto"/>
                <w:w w:val="87"/>
                <w:vertAlign w:val="superscript"/>
              </w:rPr>
              <w:t>(3)</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auto"/>
            </w:tcBorders>
            <w:vMerge w:val="continue"/>
          </w:tcPr>
          <w:p>
            <w:pPr>
              <w:spacing w:after="0"/>
              <w:rPr>
                <w:sz w:val="19"/>
                <w:szCs w:val="19"/>
                <w:color w:val="auto"/>
              </w:rPr>
            </w:pPr>
          </w:p>
        </w:tc>
        <w:tc>
          <w:tcPr>
            <w:tcW w:w="350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150"/>
              <w:spacing w:after="0" w:line="230" w:lineRule="exact"/>
              <w:rPr>
                <w:sz w:val="20"/>
                <w:szCs w:val="20"/>
                <w:color w:val="auto"/>
              </w:rPr>
            </w:pPr>
            <w:r>
              <w:rPr>
                <w:rFonts w:ascii="Arial" w:cs="Arial" w:eastAsia="Arial" w:hAnsi="Arial"/>
                <w:sz w:val="18"/>
                <w:szCs w:val="18"/>
                <w:color w:val="auto"/>
                <w:w w:val="89"/>
              </w:rPr>
              <w:t>in Excess of Accrued Costs</w:t>
            </w:r>
            <w:r>
              <w:rPr>
                <w:rFonts w:ascii="Arial" w:cs="Arial" w:eastAsia="Arial" w:hAnsi="Arial"/>
                <w:sz w:val="23"/>
                <w:szCs w:val="23"/>
                <w:color w:val="auto"/>
                <w:w w:val="89"/>
                <w:vertAlign w:val="superscript"/>
              </w:rPr>
              <w:t>(2)</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260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 2020</w:t>
            </w:r>
          </w:p>
        </w:tc>
        <w:tc>
          <w:tcPr>
            <w:tcW w:w="2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346</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As of September 30, 2021, $235 million is recorded in Other current liabilities and $365 million is recorded in Other non-current liabilities.</w:t>
      </w:r>
    </w:p>
    <w:p>
      <w:pPr>
        <w:spacing w:after="0" w:line="77" w:lineRule="exact"/>
        <w:rPr>
          <w:rFonts w:ascii="Arial" w:cs="Arial" w:eastAsia="Arial" w:hAnsi="Arial"/>
          <w:sz w:val="18"/>
          <w:szCs w:val="18"/>
          <w:color w:val="auto"/>
          <w:vertAlign w:val="superscript"/>
        </w:rPr>
      </w:pPr>
    </w:p>
    <w:p>
      <w:pPr>
        <w:ind w:left="180" w:right="240" w:hanging="172"/>
        <w:spacing w:after="0" w:line="246" w:lineRule="auto"/>
        <w:tabs>
          <w:tab w:leader="none" w:pos="167"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71" w:lineRule="exact"/>
        <w:rPr>
          <w:rFonts w:ascii="Arial" w:cs="Arial" w:eastAsia="Arial" w:hAnsi="Arial"/>
          <w:sz w:val="19"/>
          <w:szCs w:val="19"/>
          <w:color w:val="auto"/>
          <w:vertAlign w:val="superscript"/>
        </w:rPr>
      </w:pPr>
    </w:p>
    <w:p>
      <w:pPr>
        <w:ind w:left="180" w:right="100" w:hanging="172"/>
        <w:spacing w:after="0" w:line="246" w:lineRule="auto"/>
        <w:tabs>
          <w:tab w:leader="none" w:pos="167"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As of September 30, 2021, $205 million is deferred in Prepaid expenses and other current assets and $309 million is deferred in Other non-current assets. These amounts are evaluated for recoverability on a routine basis.</w:t>
      </w:r>
    </w:p>
    <w:p>
      <w:pPr>
        <w:spacing w:after="0" w:line="54"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Although management cannot predict whether new information gained as our environmental remediation projects progress, or as changes in facts and circumstances occur, will materially affect the estimated liability accrued, except with respect to Bethpage, we do not anticipate that future remediation expenditures associated with our currently identified projects will have a material adverse effect on the company’s unaudited condensed consolidated financial position as of September 30, 2021, or its annual results of operations and/or cash flows.</w:t>
      </w:r>
    </w:p>
    <w:p>
      <w:pPr>
        <w:spacing w:after="0" w:line="5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With respect to Bethpage, as discussed in Note 5, in December 2019, the State of New York issued an Amended Record of Decision, seeking to impose additional remedial requirements beyond those the company previously had been taking; the State also communicated that it was assessing potential natural resource damages. In December 2020, the parties reached a tentative agreement regarding the steps the company will take to implement the State’s Amended Record of Decision and to resolve certain potential other claims, including for natural resource damages. On September 22, 2021, the State of New York issued for public comment a new consent decree reflecting the agreement. We understand that the State will next seek court approval of the consent decree. As discussed in Note 5, the applicable remediation standards and other requirements to which we are subject may continue to change, our costs may increase materially, and those costs may not be fully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September 30, 2021, there were $476 million of stand-by letters of credit and guarantees and $69 million of surety bonds outstanding.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2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The company maintains a commercial paper program that serves as a source of short-term financing with capacity to issue unsecured commercial paper notes up to $2.0 billion. At September 30, 2021, there were no commercial paper borrowings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 maintains a five-year senior unsecured credit facility in an aggregate principal amount of $2.0 billion (the “2018 Credit Agreement”) that matures in August 2024 and is intended to support the company’s commercial paper program and other general corporate purposes. Commercial paper borrowings reduce the amount available for borrowing under the 2018 Credit Agreement. At September 30, 2021, there was no balance outstanding under this facility.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the company was in compliance with all covenants under its credit agreements.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7.  RETIREMENT BENEFITS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420" w:type="dxa"/>
            <w:vAlign w:val="bottom"/>
            <w:gridSpan w:val="11"/>
          </w:tcPr>
          <w:p>
            <w:pPr>
              <w:spacing w:after="0"/>
              <w:rPr>
                <w:sz w:val="20"/>
                <w:szCs w:val="20"/>
                <w:color w:val="auto"/>
              </w:rPr>
            </w:pPr>
            <w:r>
              <w:rPr>
                <w:rFonts w:ascii="Arial" w:cs="Arial" w:eastAsia="Arial" w:hAnsi="Arial"/>
                <w:sz w:val="18"/>
                <w:szCs w:val="18"/>
                <w:color w:val="auto"/>
                <w:w w:val="91"/>
              </w:rPr>
              <w:t>The cost to the company of its pension and other postretirement benefit (OPB) plans is shown in the following table:</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7"/>
          </w:tcPr>
          <w:p>
            <w:pPr>
              <w:jc w:val="right"/>
              <w:ind w:right="550"/>
              <w:spacing w:after="0"/>
              <w:rPr>
                <w:sz w:val="20"/>
                <w:szCs w:val="20"/>
                <w:color w:val="auto"/>
              </w:rPr>
            </w:pPr>
            <w:r>
              <w:rPr>
                <w:rFonts w:ascii="Arial" w:cs="Arial" w:eastAsia="Arial" w:hAnsi="Arial"/>
                <w:sz w:val="18"/>
                <w:szCs w:val="18"/>
                <w:color w:val="auto"/>
              </w:rPr>
              <w:t>Three Months Ended September 30</w:t>
            </w:r>
          </w:p>
        </w:tc>
        <w:tc>
          <w:tcPr>
            <w:tcW w:w="2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Nine Months Ended September 30</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Pension</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OPB</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Pension</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OPB</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Benefits</w:t>
            </w: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Benefits</w:t>
            </w: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2020</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2020</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4"/>
              </w:rPr>
              <w:t>2020</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2021</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Components of net periodic benefit cost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(benefit)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104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b w:val="1"/>
                <w:bCs w:val="1"/>
                <w:color w:val="auto"/>
              </w:rPr>
              <w:t>311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306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263</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790</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(627)</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(1,884)</w:t>
            </w:r>
          </w:p>
        </w:tc>
        <w:tc>
          <w:tcPr>
            <w:tcW w:w="2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98"/>
              </w:rPr>
              <w:t>(1,782)</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 cost</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periodic benefit cost (benefit)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(790)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Contributions</w:t>
      </w:r>
    </w:p>
    <w:p>
      <w:pPr>
        <w:spacing w:after="0" w:line="27"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Contributions made by the company to its retirement plans are as follows: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2"/>
        </w:trPr>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3"/>
          </w:tcPr>
          <w:p>
            <w:pPr>
              <w:jc w:val="right"/>
              <w:ind w:right="330"/>
              <w:spacing w:after="0" w:line="202" w:lineRule="exact"/>
              <w:rPr>
                <w:sz w:val="20"/>
                <w:szCs w:val="20"/>
                <w:color w:val="auto"/>
              </w:rPr>
            </w:pPr>
            <w:r>
              <w:rPr>
                <w:rFonts w:ascii="Arial" w:cs="Arial" w:eastAsia="Arial" w:hAnsi="Arial"/>
                <w:sz w:val="18"/>
                <w:szCs w:val="18"/>
                <w:color w:val="auto"/>
                <w:w w:val="98"/>
              </w:rPr>
              <w:t>Three Months Ended</w:t>
            </w:r>
          </w:p>
        </w:tc>
        <w:tc>
          <w:tcPr>
            <w:tcW w:w="320" w:type="dxa"/>
            <w:vAlign w:val="bottom"/>
          </w:tcPr>
          <w:p>
            <w:pPr>
              <w:spacing w:after="0"/>
              <w:rPr>
                <w:sz w:val="17"/>
                <w:szCs w:val="17"/>
                <w:color w:val="auto"/>
              </w:rPr>
            </w:pPr>
          </w:p>
        </w:tc>
        <w:tc>
          <w:tcPr>
            <w:tcW w:w="2040" w:type="dxa"/>
            <w:vAlign w:val="bottom"/>
            <w:gridSpan w:val="3"/>
          </w:tcPr>
          <w:p>
            <w:pPr>
              <w:jc w:val="right"/>
              <w:ind w:right="330"/>
              <w:spacing w:after="0" w:line="202" w:lineRule="exact"/>
              <w:rPr>
                <w:sz w:val="20"/>
                <w:szCs w:val="20"/>
                <w:color w:val="auto"/>
              </w:rPr>
            </w:pPr>
            <w:r>
              <w:rPr>
                <w:rFonts w:ascii="Arial" w:cs="Arial" w:eastAsia="Arial" w:hAnsi="Arial"/>
                <w:sz w:val="18"/>
                <w:szCs w:val="18"/>
                <w:color w:val="auto"/>
              </w:rPr>
              <w:t>Nine Months Ended</w:t>
            </w:r>
          </w:p>
        </w:tc>
      </w:tr>
      <w:tr>
        <w:trPr>
          <w:trHeight w:val="230"/>
        </w:trPr>
        <w:tc>
          <w:tcPr>
            <w:tcW w:w="6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September 30</w:t>
            </w: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plans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OPB plans</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29</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Defined contribution plans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476</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ind w:right="3880"/>
        <w:spacing w:after="0" w:line="315" w:lineRule="auto"/>
        <w:rPr>
          <w:sz w:val="20"/>
          <w:szCs w:val="20"/>
          <w:color w:val="auto"/>
        </w:rPr>
      </w:pPr>
      <w:r>
        <w:rPr>
          <w:rFonts w:ascii="Arial" w:cs="Arial" w:eastAsia="Arial" w:hAnsi="Arial"/>
          <w:sz w:val="18"/>
          <w:szCs w:val="18"/>
          <w:b w:val="1"/>
          <w:bCs w:val="1"/>
          <w:color w:val="auto"/>
        </w:rPr>
        <w:t>8. STOCK COMPENSATION PLANS AND OTHER COMPENSATION ARRANGEMENTS Stock Awards</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jc w:val="center"/>
        <w:ind w:left="8840"/>
        <w:spacing w:after="0" w:line="235" w:lineRule="auto"/>
        <w:rPr>
          <w:sz w:val="20"/>
          <w:szCs w:val="20"/>
          <w:color w:val="auto"/>
        </w:rPr>
      </w:pPr>
      <w:r>
        <w:rPr>
          <w:rFonts w:ascii="Arial" w:cs="Arial" w:eastAsia="Arial" w:hAnsi="Arial"/>
          <w:sz w:val="17"/>
          <w:szCs w:val="17"/>
          <w:color w:val="auto"/>
        </w:rPr>
        <w:t>Nine Months Ended September</w:t>
      </w:r>
    </w:p>
    <w:p>
      <w:pPr>
        <w:spacing w:after="0" w:line="1" w:lineRule="exact"/>
        <w:rPr>
          <w:sz w:val="20"/>
          <w:szCs w:val="20"/>
          <w:color w:val="auto"/>
        </w:rPr>
      </w:pPr>
    </w:p>
    <w:p>
      <w:pPr>
        <w:jc w:val="center"/>
        <w:ind w:left="8840"/>
        <w:spacing w:after="0"/>
        <w:rPr>
          <w:sz w:val="20"/>
          <w:szCs w:val="20"/>
          <w:color w:val="auto"/>
        </w:rPr>
      </w:pPr>
      <w:r>
        <w:rPr>
          <w:rFonts w:ascii="Arial" w:cs="Arial" w:eastAsia="Arial" w:hAnsi="Arial"/>
          <w:sz w:val="18"/>
          <w:szCs w:val="18"/>
          <w:color w:val="auto"/>
        </w:rPr>
        <w:t>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RSRs granted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RPSRs granted</w:t>
            </w: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Grant date aggregate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bl>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RSRs typically vest on the third anniversary of the grant date, while RPSRs generally vest and pay out based on the achievement of certain performance metrics over a three-year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following table presents the minimum and maximum aggregate payout amounts related to cash units (CUs) and cash performance units (CPUs) granted to employees in the periods presented:</w:t>
      </w:r>
    </w:p>
    <w:tbl>
      <w:tblPr>
        <w:tblLayout w:type="fixed"/>
        <w:tblInd w:w="0" w:type="dxa"/>
        <w:tblCellMar>
          <w:top w:w="0" w:type="dxa"/>
          <w:left w:w="0" w:type="dxa"/>
          <w:bottom w:w="0" w:type="dxa"/>
          <w:right w:w="0" w:type="dxa"/>
        </w:tblCellMar>
      </w:tblPr>
      <w:tr>
        <w:trPr>
          <w:trHeight w:val="186"/>
        </w:trPr>
        <w:tc>
          <w:tcPr>
            <w:tcW w:w="8860" w:type="dxa"/>
            <w:vAlign w:val="bottom"/>
          </w:tcPr>
          <w:p>
            <w:pPr>
              <w:spacing w:after="0"/>
              <w:rPr>
                <w:sz w:val="16"/>
                <w:szCs w:val="16"/>
                <w:color w:val="auto"/>
              </w:rPr>
            </w:pPr>
          </w:p>
        </w:tc>
        <w:tc>
          <w:tcPr>
            <w:tcW w:w="2380" w:type="dxa"/>
            <w:vAlign w:val="bottom"/>
            <w:gridSpan w:val="4"/>
          </w:tcPr>
          <w:p>
            <w:pPr>
              <w:jc w:val="center"/>
              <w:spacing w:after="0" w:line="186" w:lineRule="exact"/>
              <w:rPr>
                <w:sz w:val="20"/>
                <w:szCs w:val="20"/>
                <w:color w:val="auto"/>
              </w:rPr>
            </w:pPr>
            <w:r>
              <w:rPr>
                <w:rFonts w:ascii="Arial" w:cs="Arial" w:eastAsia="Arial" w:hAnsi="Arial"/>
                <w:sz w:val="18"/>
                <w:szCs w:val="18"/>
                <w:color w:val="auto"/>
                <w:w w:val="89"/>
              </w:rPr>
              <w:t>Nine Months Ended September</w:t>
            </w:r>
          </w:p>
        </w:tc>
      </w:tr>
      <w:tr>
        <w:trPr>
          <w:trHeight w:val="230"/>
        </w:trPr>
        <w:tc>
          <w:tcPr>
            <w:tcW w:w="8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9"/>
              </w:rPr>
              <w:t>30</w:t>
            </w:r>
          </w:p>
        </w:tc>
        <w:tc>
          <w:tcPr>
            <w:tcW w:w="880" w:type="dxa"/>
            <w:vAlign w:val="bottom"/>
            <w:tcBorders>
              <w:bottom w:val="single" w:sz="8" w:color="auto"/>
            </w:tcBorders>
          </w:tcPr>
          <w:p>
            <w:pPr>
              <w:spacing w:after="0"/>
              <w:rPr>
                <w:sz w:val="19"/>
                <w:szCs w:val="19"/>
                <w:color w:val="auto"/>
              </w:rPr>
            </w:pPr>
          </w:p>
        </w:tc>
      </w:tr>
      <w:tr>
        <w:trPr>
          <w:trHeight w:val="223"/>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aggregate payout amount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Maximum aggregate payout amount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bl>
    <w:p>
      <w:pPr>
        <w:spacing w:after="0" w:line="1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CUs typically vest and settle in cash on the third anniversary of the grant date, while CPUs generally vest and pay out in cash based on the achievement of certain performance metrics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624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66"/>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9.  SEGMENT INFORMATION</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6240" w:type="dxa"/>
            <w:vAlign w:val="bottom"/>
            <w:gridSpan w:val="2"/>
          </w:tcPr>
          <w:p>
            <w:pPr>
              <w:spacing w:after="0"/>
              <w:rPr>
                <w:sz w:val="20"/>
                <w:szCs w:val="20"/>
                <w:color w:val="auto"/>
              </w:rPr>
            </w:pPr>
            <w:r>
              <w:rPr>
                <w:rFonts w:ascii="Arial" w:cs="Arial" w:eastAsia="Arial" w:hAnsi="Arial"/>
                <w:sz w:val="18"/>
                <w:szCs w:val="18"/>
                <w:color w:val="auto"/>
              </w:rPr>
              <w:t>The following table presents sales and operating income by segment:</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0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500" w:type="dxa"/>
            <w:vAlign w:val="bottom"/>
            <w:gridSpan w:val="4"/>
          </w:tcPr>
          <w:p>
            <w:pPr>
              <w:jc w:val="right"/>
              <w:ind w:right="30"/>
              <w:spacing w:after="0" w:line="202" w:lineRule="exact"/>
              <w:rPr>
                <w:sz w:val="20"/>
                <w:szCs w:val="20"/>
                <w:color w:val="auto"/>
              </w:rPr>
            </w:pPr>
            <w:r>
              <w:rPr>
                <w:rFonts w:ascii="Arial" w:cs="Arial" w:eastAsia="Arial" w:hAnsi="Arial"/>
                <w:sz w:val="18"/>
                <w:szCs w:val="18"/>
                <w:color w:val="auto"/>
                <w:w w:val="90"/>
              </w:rPr>
              <w:t>Three Months Ended September</w:t>
            </w:r>
          </w:p>
        </w:tc>
        <w:tc>
          <w:tcPr>
            <w:tcW w:w="2500" w:type="dxa"/>
            <w:vAlign w:val="bottom"/>
            <w:gridSpan w:val="4"/>
          </w:tcPr>
          <w:p>
            <w:pPr>
              <w:jc w:val="right"/>
              <w:spacing w:after="0" w:line="202" w:lineRule="exact"/>
              <w:rPr>
                <w:sz w:val="20"/>
                <w:szCs w:val="20"/>
                <w:color w:val="auto"/>
              </w:rPr>
            </w:pPr>
            <w:r>
              <w:rPr>
                <w:rFonts w:ascii="Arial" w:cs="Arial" w:eastAsia="Arial" w:hAnsi="Arial"/>
                <w:sz w:val="18"/>
                <w:szCs w:val="18"/>
                <w:color w:val="auto"/>
                <w:w w:val="95"/>
              </w:rPr>
              <w:t>Nine Months Ended September</w:t>
            </w:r>
          </w:p>
        </w:tc>
      </w:tr>
      <w:tr>
        <w:trPr>
          <w:trHeight w:val="229"/>
        </w:trPr>
        <w:tc>
          <w:tcPr>
            <w:tcW w:w="108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30</w:t>
            </w: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30</w:t>
            </w:r>
          </w:p>
        </w:tc>
        <w:tc>
          <w:tcPr>
            <w:tcW w:w="900" w:type="dxa"/>
            <w:vAlign w:val="bottom"/>
            <w:tcBorders>
              <w:bottom w:val="single" w:sz="8" w:color="auto"/>
            </w:tcBorders>
          </w:tcPr>
          <w:p>
            <w:pPr>
              <w:spacing w:after="0"/>
              <w:rPr>
                <w:sz w:val="19"/>
                <w:szCs w:val="19"/>
                <w:color w:val="auto"/>
              </w:rPr>
            </w:pPr>
          </w:p>
        </w:tc>
      </w:tr>
      <w:tr>
        <w:trPr>
          <w:trHeight w:val="223"/>
        </w:trPr>
        <w:tc>
          <w:tcPr>
            <w:tcW w:w="6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Aeronautics Systems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2,725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2,914</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8,628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8,682</w:t>
            </w:r>
          </w:p>
        </w:tc>
      </w:tr>
      <w:tr>
        <w:trPr>
          <w:trHeight w:val="230"/>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Defense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1,409</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1,859</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4,398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r>
      <w:tr>
        <w:trPr>
          <w:trHeight w:val="229"/>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Mission Systems</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2,436</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2,551</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7,613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7,344</w:t>
            </w:r>
          </w:p>
        </w:tc>
      </w:tr>
      <w:tr>
        <w:trPr>
          <w:trHeight w:val="230"/>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Space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2,681</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2,198</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7,950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r>
      <w:tr>
        <w:trPr>
          <w:trHeight w:val="229"/>
        </w:trPr>
        <w:tc>
          <w:tcPr>
            <w:tcW w:w="6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(531)</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r>
      <w:tr>
        <w:trPr>
          <w:trHeight w:val="223"/>
        </w:trPr>
        <w:tc>
          <w:tcPr>
            <w:tcW w:w="6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8,720</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9,083</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27,028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26,587</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Aeronautics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265</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873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229"/>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Defense Systems</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175</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529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29"/>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Mission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372</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1,177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30"/>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Space Systems</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288</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865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29"/>
        </w:trPr>
        <w:tc>
          <w:tcPr>
            <w:tcW w:w="624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1,035</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1,049</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3,247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3,047</w:t>
            </w:r>
          </w:p>
        </w:tc>
      </w:tr>
      <w:tr>
        <w:trPr>
          <w:trHeight w:val="229"/>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29"/>
        </w:trPr>
        <w:tc>
          <w:tcPr>
            <w:tcW w:w="6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Unallocated corporate (expense) income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1,564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r>
      <w:tr>
        <w:trPr>
          <w:trHeight w:val="230"/>
        </w:trPr>
        <w:tc>
          <w:tcPr>
            <w:tcW w:w="6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985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4,909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FAS/CAS Operating Adjustment</w:t>
      </w:r>
    </w:p>
    <w:p>
      <w:pPr>
        <w:spacing w:after="0" w:line="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financial statement purposes, we account for our employee pension plans in accordance with FAS. However, the cost of these plans is charged to our contracts in accordance with the Federal Acquisition Regulation (FAR) and the related U.S. Government Cost Accounting Standards (CAS). The FAS/CAS operating adjustment, previously referred to as the net FAS (service)/CAS pension adjustment, reflects the difference between CAS pension expense included as cost in segment operating income and the service cost component of FAS expense included in total operating income.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 Income</w:t>
      </w:r>
    </w:p>
    <w:p>
      <w:pPr>
        <w:spacing w:after="0" w:line="2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Unallocated corporate (expense) income includes the portion of corporate costs not considered allowable or allocable under applicable CAS or FAR, and therefore not allocated to the segments, such as changes in deferred state income taxes and a portion of management and administration, legal, environmental, compensation, retiree benefits, advertising and other corporate unallowable costs. Unallocated corporate (expense) income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5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first quarter of 2021, the $2.0 billion pre-tax gain on the sale of our IT services business and $192 million of unallowable state taxes and transaction costs associated with the divestiture were recorded in Unallocated corporate (expense)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74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66"/>
        </w:trPr>
        <w:tc>
          <w:tcPr>
            <w:tcW w:w="100" w:type="dxa"/>
            <w:vAlign w:val="bottom"/>
          </w:tcPr>
          <w:p>
            <w:pPr>
              <w:spacing w:after="0"/>
              <w:rPr>
                <w:sz w:val="24"/>
                <w:szCs w:val="24"/>
                <w:color w:val="auto"/>
              </w:rPr>
            </w:pP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NORTHROP GRUMMAN CORPORATION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67"/>
        </w:trPr>
        <w:tc>
          <w:tcPr>
            <w:tcW w:w="1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Disaggregation of Revenue</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1"/>
        </w:trPr>
        <w:tc>
          <w:tcPr>
            <w:tcW w:w="2840" w:type="dxa"/>
            <w:vAlign w:val="bottom"/>
            <w:gridSpan w:val="3"/>
          </w:tcPr>
          <w:p>
            <w:pPr>
              <w:spacing w:after="0"/>
              <w:rPr>
                <w:sz w:val="20"/>
                <w:szCs w:val="20"/>
                <w:color w:val="auto"/>
              </w:rPr>
            </w:pPr>
            <w:r>
              <w:rPr>
                <w:rFonts w:ascii="Arial" w:cs="Arial" w:eastAsia="Arial" w:hAnsi="Arial"/>
                <w:sz w:val="18"/>
                <w:szCs w:val="18"/>
                <w:i w:val="1"/>
                <w:iCs w:val="1"/>
                <w:color w:val="auto"/>
              </w:rPr>
              <w:t>Sales by Customer Type</w:t>
            </w:r>
          </w:p>
        </w:tc>
        <w:tc>
          <w:tcPr>
            <w:tcW w:w="8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8"/>
                <w:szCs w:val="18"/>
                <w:color w:val="auto"/>
                <w:w w:val="90"/>
              </w:rPr>
              <w:t>Three Months Ended September 30</w:t>
            </w: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680" w:type="dxa"/>
            <w:vAlign w:val="bottom"/>
            <w:tcBorders>
              <w:bottom w:val="single" w:sz="8" w:color="auto"/>
            </w:tcBorders>
          </w:tcPr>
          <w:p>
            <w:pPr>
              <w:spacing w:after="0"/>
              <w:rPr>
                <w:sz w:val="24"/>
                <w:szCs w:val="24"/>
                <w:color w:val="auto"/>
              </w:rPr>
            </w:pPr>
          </w:p>
        </w:tc>
      </w:tr>
      <w:tr>
        <w:trPr>
          <w:trHeight w:val="223"/>
        </w:trPr>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9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19"/>
                <w:szCs w:val="19"/>
                <w:color w:val="auto"/>
              </w:rPr>
            </w:pPr>
          </w:p>
        </w:tc>
      </w:tr>
      <w:tr>
        <w:trPr>
          <w:trHeight w:val="223"/>
        </w:trPr>
        <w:tc>
          <w:tcPr>
            <w:tcW w:w="2840" w:type="dxa"/>
            <w:vAlign w:val="bottom"/>
            <w:gridSpan w:val="3"/>
          </w:tcPr>
          <w:p>
            <w:pPr>
              <w:spacing w:after="0"/>
              <w:rPr>
                <w:sz w:val="20"/>
                <w:szCs w:val="20"/>
                <w:color w:val="auto"/>
              </w:rPr>
            </w:pPr>
            <w:r>
              <w:rPr>
                <w:rFonts w:ascii="Arial" w:cs="Arial" w:eastAsia="Arial" w:hAnsi="Arial"/>
                <w:sz w:val="18"/>
                <w:szCs w:val="18"/>
                <w:i w:val="1"/>
                <w:iCs w:val="1"/>
                <w:color w:val="auto"/>
              </w:rPr>
              <w:t>$ in millions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(3)</w:t>
            </w:r>
          </w:p>
        </w:tc>
        <w:tc>
          <w:tcPr>
            <w:tcW w:w="600" w:type="dxa"/>
            <w:vAlign w:val="bottom"/>
          </w:tcPr>
          <w:p>
            <w:pPr>
              <w:spacing w:after="0"/>
              <w:rPr>
                <w:sz w:val="19"/>
                <w:szCs w:val="19"/>
                <w:color w:val="auto"/>
              </w:rPr>
            </w:pPr>
          </w:p>
        </w:tc>
        <w:tc>
          <w:tcPr>
            <w:tcW w:w="9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2"/>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(3)</w:t>
            </w:r>
          </w:p>
        </w:tc>
        <w:tc>
          <w:tcPr>
            <w:tcW w:w="92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(3)</w:t>
            </w:r>
          </w:p>
        </w:tc>
        <w:tc>
          <w:tcPr>
            <w:tcW w:w="620" w:type="dxa"/>
            <w:vAlign w:val="bottom"/>
          </w:tcPr>
          <w:p>
            <w:pPr>
              <w:spacing w:after="0"/>
              <w:rPr>
                <w:sz w:val="19"/>
                <w:szCs w:val="19"/>
                <w:color w:val="auto"/>
              </w:rPr>
            </w:pPr>
          </w:p>
        </w:tc>
        <w:tc>
          <w:tcPr>
            <w:tcW w:w="9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92"/>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(3)</w:t>
            </w:r>
          </w:p>
        </w:tc>
      </w:tr>
      <w:tr>
        <w:trPr>
          <w:trHeight w:val="223"/>
        </w:trPr>
        <w:tc>
          <w:tcPr>
            <w:tcW w:w="100" w:type="dxa"/>
            <w:vAlign w:val="bottom"/>
          </w:tcPr>
          <w:p>
            <w:pPr>
              <w:spacing w:after="0"/>
              <w:rPr>
                <w:sz w:val="19"/>
                <w:szCs w:val="19"/>
                <w:color w:val="auto"/>
              </w:rPr>
            </w:pPr>
          </w:p>
        </w:tc>
        <w:tc>
          <w:tcPr>
            <w:tcW w:w="2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Aeronautics Systems</w:t>
            </w:r>
          </w:p>
        </w:tc>
        <w:tc>
          <w:tcPr>
            <w:tcW w:w="8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2740" w:type="dxa"/>
            <w:vAlign w:val="bottom"/>
            <w:gridSpan w:val="2"/>
          </w:tcPr>
          <w:p>
            <w:pPr>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w w:val="84"/>
              </w:rPr>
              <w:t>2,312</w:t>
            </w:r>
          </w:p>
        </w:tc>
        <w:tc>
          <w:tcPr>
            <w:tcW w:w="600" w:type="dxa"/>
            <w:vAlign w:val="bottom"/>
          </w:tcPr>
          <w:p>
            <w:pPr>
              <w:jc w:val="right"/>
              <w:ind w:right="111"/>
              <w:spacing w:after="0"/>
              <w:rPr>
                <w:sz w:val="20"/>
                <w:szCs w:val="20"/>
                <w:color w:val="auto"/>
              </w:rPr>
            </w:pPr>
            <w:r>
              <w:rPr>
                <w:rFonts w:ascii="Arial" w:cs="Arial" w:eastAsia="Arial" w:hAnsi="Arial"/>
                <w:sz w:val="18"/>
                <w:szCs w:val="18"/>
                <w:b w:val="1"/>
                <w:bCs w:val="1"/>
                <w:color w:val="auto"/>
                <w:w w:val="82"/>
              </w:rPr>
              <w:t>85%</w:t>
            </w:r>
            <w:r>
              <w:rPr>
                <w:rFonts w:ascii="Arial" w:cs="Arial" w:eastAsia="Arial" w:hAnsi="Arial"/>
                <w:sz w:val="18"/>
                <w:szCs w:val="18"/>
                <w:color w:val="auto"/>
                <w:w w:val="82"/>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2,491</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85%</w:t>
            </w:r>
            <w:r>
              <w:rPr>
                <w:rFonts w:ascii="Arial" w:cs="Arial" w:eastAsia="Arial" w:hAnsi="Arial"/>
                <w:sz w:val="18"/>
                <w:szCs w:val="18"/>
                <w:b w:val="1"/>
                <w:bCs w:val="1"/>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7,366</w:t>
            </w:r>
          </w:p>
        </w:tc>
        <w:tc>
          <w:tcPr>
            <w:tcW w:w="38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color w:val="auto"/>
                <w:w w:val="86"/>
              </w:rPr>
              <w:t>85%</w:t>
            </w:r>
            <w:r>
              <w:rPr>
                <w:rFonts w:ascii="Arial" w:cs="Arial" w:eastAsia="Arial" w:hAnsi="Arial"/>
                <w:sz w:val="18"/>
                <w:szCs w:val="18"/>
                <w:color w:val="auto"/>
                <w:w w:val="86"/>
              </w:rPr>
              <w:t>$</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7,329</w:t>
            </w: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00" w:type="dxa"/>
            <w:vAlign w:val="bottom"/>
          </w:tcPr>
          <w:p>
            <w:pPr>
              <w:spacing w:after="0"/>
              <w:rPr>
                <w:sz w:val="19"/>
                <w:szCs w:val="19"/>
                <w:color w:val="auto"/>
              </w:rPr>
            </w:pPr>
          </w:p>
        </w:tc>
        <w:tc>
          <w:tcPr>
            <w:tcW w:w="27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360</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13%</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382</w:t>
            </w: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1,110</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88"/>
              </w:rPr>
              <w:t>13%</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1,233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10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Other customers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rPr>
              <w:t>5</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93"/>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15</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8"/>
                <w:szCs w:val="18"/>
                <w:b w:val="1"/>
                <w:bCs w:val="1"/>
                <w:color w:val="auto"/>
                <w:w w:val="93"/>
              </w:rPr>
              <w:t>—%</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00" w:type="dxa"/>
            <w:vAlign w:val="bottom"/>
          </w:tcPr>
          <w:p>
            <w:pPr>
              <w:spacing w:after="0"/>
              <w:rPr>
                <w:sz w:val="19"/>
                <w:szCs w:val="19"/>
                <w:color w:val="auto"/>
              </w:rPr>
            </w:pPr>
          </w:p>
        </w:tc>
        <w:tc>
          <w:tcPr>
            <w:tcW w:w="2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48</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137</w:t>
            </w: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%2</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00" w:type="dxa"/>
            <w:vAlign w:val="bottom"/>
          </w:tcPr>
          <w:p>
            <w:pPr>
              <w:spacing w:after="0"/>
              <w:rPr>
                <w:sz w:val="19"/>
                <w:szCs w:val="19"/>
                <w:color w:val="auto"/>
              </w:rPr>
            </w:pPr>
          </w:p>
        </w:tc>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Aeronautics Systems sales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w w:val="84"/>
              </w:rPr>
              <w:t>2,725</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2,914</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100%</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8,628</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7"/>
                <w:szCs w:val="17"/>
                <w:b w:val="1"/>
                <w:bCs w:val="1"/>
                <w:color w:val="auto"/>
                <w:w w:val="73"/>
              </w:rPr>
              <w:t>100%</w:t>
            </w: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8,682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100" w:type="dxa"/>
            <w:vAlign w:val="bottom"/>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Defense Systems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2740" w:type="dxa"/>
            <w:vAlign w:val="bottom"/>
            <w:gridSpan w:val="2"/>
          </w:tcPr>
          <w:p>
            <w:pPr>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rPr>
              <w:t>877</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62%</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1,264</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68%</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2,749</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63%</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3,828</w:t>
            </w: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100" w:type="dxa"/>
            <w:vAlign w:val="bottom"/>
          </w:tcPr>
          <w:p>
            <w:pPr>
              <w:spacing w:after="0"/>
              <w:rPr>
                <w:sz w:val="19"/>
                <w:szCs w:val="19"/>
                <w:color w:val="auto"/>
              </w:rPr>
            </w:pPr>
          </w:p>
        </w:tc>
        <w:tc>
          <w:tcPr>
            <w:tcW w:w="27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316</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22%</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307</w:t>
            </w: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1,002</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88"/>
              </w:rPr>
              <w:t>23%</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0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Other customers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rPr>
              <w:t>10</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rPr>
              <w:t>%1</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97</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%5</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61</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8"/>
                <w:szCs w:val="18"/>
                <w:b w:val="1"/>
                <w:bCs w:val="1"/>
                <w:color w:val="auto"/>
              </w:rPr>
              <w:t>%1</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293</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00" w:type="dxa"/>
            <w:vAlign w:val="bottom"/>
          </w:tcPr>
          <w:p>
            <w:pPr>
              <w:spacing w:after="0"/>
              <w:rPr>
                <w:sz w:val="19"/>
                <w:szCs w:val="19"/>
                <w:color w:val="auto"/>
              </w:rPr>
            </w:pPr>
          </w:p>
        </w:tc>
        <w:tc>
          <w:tcPr>
            <w:tcW w:w="2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206</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15%</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191</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10%</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586</w:t>
            </w: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88"/>
              </w:rPr>
              <w:t>13%</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542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100" w:type="dxa"/>
            <w:vAlign w:val="bottom"/>
          </w:tcPr>
          <w:p>
            <w:pPr>
              <w:spacing w:after="0"/>
              <w:rPr>
                <w:sz w:val="19"/>
                <w:szCs w:val="19"/>
                <w:color w:val="auto"/>
              </w:rPr>
            </w:pPr>
          </w:p>
        </w:tc>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Defense Systems sales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w w:val="84"/>
              </w:rPr>
              <w:t>1,409</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1,859</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100%</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4,398</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7"/>
                <w:szCs w:val="17"/>
                <w:b w:val="1"/>
                <w:bCs w:val="1"/>
                <w:color w:val="auto"/>
                <w:w w:val="73"/>
              </w:rPr>
              <w:t>100%</w:t>
            </w: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5,626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100" w:type="dxa"/>
            <w:vAlign w:val="bottom"/>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Mission Systems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100" w:type="dxa"/>
            <w:vAlign w:val="bottom"/>
          </w:tcPr>
          <w:p>
            <w:pPr>
              <w:spacing w:after="0"/>
              <w:rPr>
                <w:sz w:val="19"/>
                <w:szCs w:val="19"/>
                <w:color w:val="auto"/>
              </w:rPr>
            </w:pPr>
          </w:p>
        </w:tc>
        <w:tc>
          <w:tcPr>
            <w:tcW w:w="2740" w:type="dxa"/>
            <w:vAlign w:val="bottom"/>
            <w:gridSpan w:val="2"/>
          </w:tcPr>
          <w:p>
            <w:pPr>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w w:val="84"/>
              </w:rPr>
              <w:t>1,756</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72%</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1,884</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74%</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5,491</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71%</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5,331</w:t>
            </w: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100" w:type="dxa"/>
            <w:vAlign w:val="bottom"/>
          </w:tcPr>
          <w:p>
            <w:pPr>
              <w:spacing w:after="0"/>
              <w:rPr>
                <w:sz w:val="19"/>
                <w:szCs w:val="19"/>
                <w:color w:val="auto"/>
              </w:rPr>
            </w:pPr>
          </w:p>
        </w:tc>
        <w:tc>
          <w:tcPr>
            <w:tcW w:w="27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417</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17%</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455</w:t>
            </w: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18%</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1,338</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88"/>
              </w:rPr>
              <w:t>18%</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10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Other customers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rPr>
              <w:t>19</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rPr>
              <w:t>%1</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49</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8"/>
                <w:szCs w:val="18"/>
                <w:b w:val="1"/>
                <w:bCs w:val="1"/>
                <w:color w:val="auto"/>
              </w:rPr>
              <w:t>%1</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54</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0" w:type="dxa"/>
            <w:vAlign w:val="bottom"/>
          </w:tcPr>
          <w:p>
            <w:pPr>
              <w:spacing w:after="0"/>
              <w:rPr>
                <w:sz w:val="19"/>
                <w:szCs w:val="19"/>
                <w:color w:val="auto"/>
              </w:rPr>
            </w:pPr>
          </w:p>
        </w:tc>
        <w:tc>
          <w:tcPr>
            <w:tcW w:w="2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244</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10%</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193</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%7</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735</w:t>
            </w: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88"/>
              </w:rPr>
              <w:t>10%</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553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100" w:type="dxa"/>
            <w:vAlign w:val="bottom"/>
          </w:tcPr>
          <w:p>
            <w:pPr>
              <w:spacing w:after="0"/>
              <w:rPr>
                <w:sz w:val="19"/>
                <w:szCs w:val="19"/>
                <w:color w:val="auto"/>
              </w:rPr>
            </w:pPr>
          </w:p>
        </w:tc>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Mission Systems sales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w w:val="84"/>
              </w:rPr>
              <w:t>2,436</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2,551</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100%</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7,613</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7"/>
                <w:szCs w:val="17"/>
                <w:b w:val="1"/>
                <w:bCs w:val="1"/>
                <w:color w:val="auto"/>
                <w:w w:val="73"/>
              </w:rPr>
              <w:t>100%</w:t>
            </w: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7,344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2840" w:type="dxa"/>
            <w:vAlign w:val="bottom"/>
            <w:gridSpan w:val="3"/>
          </w:tcPr>
          <w:p>
            <w:pPr>
              <w:spacing w:after="0"/>
              <w:rPr>
                <w:sz w:val="20"/>
                <w:szCs w:val="20"/>
                <w:color w:val="auto"/>
              </w:rPr>
            </w:pPr>
            <w:r>
              <w:rPr>
                <w:rFonts w:ascii="Arial" w:cs="Arial" w:eastAsia="Arial" w:hAnsi="Arial"/>
                <w:sz w:val="18"/>
                <w:szCs w:val="18"/>
                <w:b w:val="1"/>
                <w:bCs w:val="1"/>
                <w:color w:val="auto"/>
              </w:rPr>
              <w:t>Space Systems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2840" w:type="dxa"/>
            <w:vAlign w:val="bottom"/>
            <w:gridSpan w:val="3"/>
          </w:tcPr>
          <w:p>
            <w:pPr>
              <w:ind w:left="8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w w:val="84"/>
              </w:rPr>
              <w:t>2,507</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94%</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92%</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7,401</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93%</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5,734</w:t>
            </w: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100" w:type="dxa"/>
            <w:vAlign w:val="bottom"/>
          </w:tcPr>
          <w:p>
            <w:pPr>
              <w:spacing w:after="0"/>
              <w:rPr>
                <w:sz w:val="19"/>
                <w:szCs w:val="19"/>
                <w:color w:val="auto"/>
              </w:rPr>
            </w:pPr>
          </w:p>
        </w:tc>
        <w:tc>
          <w:tcPr>
            <w:tcW w:w="27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92</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%3</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w:t>
            </w: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301</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0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Other customers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rPr>
              <w:t>49</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rPr>
              <w:t>%2</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145</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8"/>
                <w:szCs w:val="18"/>
                <w:b w:val="1"/>
                <w:bCs w:val="1"/>
                <w:color w:val="auto"/>
              </w:rPr>
              <w:t>%2</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144</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00" w:type="dxa"/>
            <w:vAlign w:val="bottom"/>
          </w:tcPr>
          <w:p>
            <w:pPr>
              <w:spacing w:after="0"/>
              <w:rPr>
                <w:sz w:val="19"/>
                <w:szCs w:val="19"/>
                <w:color w:val="auto"/>
              </w:rPr>
            </w:pPr>
          </w:p>
        </w:tc>
        <w:tc>
          <w:tcPr>
            <w:tcW w:w="2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33</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103</w:t>
            </w: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840" w:type="dxa"/>
            <w:vAlign w:val="bottom"/>
            <w:gridSpan w:val="3"/>
          </w:tcPr>
          <w:p>
            <w:pPr>
              <w:spacing w:after="0"/>
              <w:rPr>
                <w:sz w:val="20"/>
                <w:szCs w:val="20"/>
                <w:color w:val="auto"/>
              </w:rPr>
            </w:pPr>
            <w:r>
              <w:rPr>
                <w:rFonts w:ascii="Arial" w:cs="Arial" w:eastAsia="Arial" w:hAnsi="Arial"/>
                <w:sz w:val="18"/>
                <w:szCs w:val="18"/>
                <w:color w:val="auto"/>
              </w:rPr>
              <w:t>Space Systems sales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w w:val="84"/>
              </w:rPr>
              <w:t>2,681</w:t>
            </w:r>
          </w:p>
        </w:tc>
        <w:tc>
          <w:tcPr>
            <w:tcW w:w="600" w:type="dxa"/>
            <w:vAlign w:val="bottom"/>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2,198</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100%</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7,950</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7"/>
                <w:szCs w:val="17"/>
                <w:b w:val="1"/>
                <w:bCs w:val="1"/>
                <w:color w:val="auto"/>
                <w:w w:val="73"/>
              </w:rPr>
              <w:t>100%</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6,194</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00" w:type="dxa"/>
            <w:vAlign w:val="bottom"/>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23"/>
        </w:trPr>
        <w:tc>
          <w:tcPr>
            <w:tcW w:w="28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2840" w:type="dxa"/>
            <w:vAlign w:val="bottom"/>
            <w:gridSpan w:val="3"/>
          </w:tcPr>
          <w:p>
            <w:pPr>
              <w:ind w:left="8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w w:val="84"/>
              </w:rPr>
              <w:t>7,452</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85%</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7,659</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84%</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23,007</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85%</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22,222</w:t>
            </w: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00" w:type="dxa"/>
            <w:vAlign w:val="bottom"/>
          </w:tcPr>
          <w:p>
            <w:pPr>
              <w:spacing w:after="0"/>
              <w:rPr>
                <w:sz w:val="19"/>
                <w:szCs w:val="19"/>
                <w:color w:val="auto"/>
              </w:rPr>
            </w:pPr>
          </w:p>
        </w:tc>
        <w:tc>
          <w:tcPr>
            <w:tcW w:w="27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w w:val="84"/>
              </w:rPr>
              <w:t>1,185</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14%</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1,243</w:t>
            </w: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3,751</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88"/>
              </w:rPr>
              <w:t>14%</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3,839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00" w:type="dxa"/>
            <w:vAlign w:val="bottom"/>
          </w:tcPr>
          <w:p>
            <w:pPr>
              <w:spacing w:after="0"/>
              <w:rPr>
                <w:sz w:val="19"/>
                <w:szCs w:val="19"/>
                <w:color w:val="auto"/>
              </w:rPr>
            </w:pPr>
          </w:p>
        </w:tc>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customers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83</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%1</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181</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270</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%1</w:t>
            </w: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526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840" w:type="dxa"/>
            <w:vAlign w:val="bottom"/>
            <w:gridSpan w:val="3"/>
          </w:tcPr>
          <w:p>
            <w:pPr>
              <w:spacing w:after="0"/>
              <w:rPr>
                <w:sz w:val="20"/>
                <w:szCs w:val="20"/>
                <w:color w:val="auto"/>
              </w:rPr>
            </w:pPr>
            <w:r>
              <w:rPr>
                <w:rFonts w:ascii="Arial" w:cs="Arial" w:eastAsia="Arial" w:hAnsi="Arial"/>
                <w:sz w:val="18"/>
                <w:szCs w:val="18"/>
                <w:b w:val="1"/>
                <w:bCs w:val="1"/>
                <w:color w:val="auto"/>
              </w:rPr>
              <w:t>Total Sales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w w:val="84"/>
              </w:rPr>
              <w:t>8,720</w:t>
            </w:r>
          </w:p>
        </w:tc>
        <w:tc>
          <w:tcPr>
            <w:tcW w:w="600" w:type="dxa"/>
            <w:vAlign w:val="bottom"/>
          </w:tcPr>
          <w:p>
            <w:pPr>
              <w:jc w:val="right"/>
              <w:ind w:right="111"/>
              <w:spacing w:after="0"/>
              <w:rPr>
                <w:sz w:val="20"/>
                <w:szCs w:val="20"/>
                <w:color w:val="auto"/>
              </w:rPr>
            </w:pPr>
            <w:r>
              <w:rPr>
                <w:rFonts w:ascii="Arial" w:cs="Arial" w:eastAsia="Arial" w:hAnsi="Arial"/>
                <w:sz w:val="17"/>
                <w:szCs w:val="17"/>
                <w:b w:val="1"/>
                <w:bCs w:val="1"/>
                <w:color w:val="auto"/>
                <w:w w:val="71"/>
              </w:rPr>
              <w:t>100%</w:t>
            </w:r>
            <w:r>
              <w:rPr>
                <w:rFonts w:ascii="Arial" w:cs="Arial" w:eastAsia="Arial" w:hAnsi="Arial"/>
                <w:sz w:val="17"/>
                <w:szCs w:val="17"/>
                <w:color w:val="auto"/>
                <w:w w:val="71"/>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9,083</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b w:val="1"/>
                <w:bCs w:val="1"/>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27,028</w:t>
            </w:r>
          </w:p>
        </w:tc>
        <w:tc>
          <w:tcPr>
            <w:tcW w:w="38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color w:val="auto"/>
                <w:w w:val="71"/>
              </w:rPr>
              <w:t>100%</w:t>
            </w:r>
            <w:r>
              <w:rPr>
                <w:rFonts w:ascii="Arial" w:cs="Arial" w:eastAsia="Arial" w:hAnsi="Arial"/>
                <w:sz w:val="18"/>
                <w:szCs w:val="18"/>
                <w:color w:val="auto"/>
                <w:w w:val="71"/>
              </w:rPr>
              <w:t>$</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26,587</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-1653540</wp:posOffset>
            </wp:positionV>
            <wp:extent cx="702945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-762000</wp:posOffset>
            </wp:positionV>
            <wp:extent cx="702945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945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-170815</wp:posOffset>
            </wp:positionV>
            <wp:extent cx="702945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9450" cy="162560"/>
                    </a:xfrm>
                    <a:prstGeom prst="rect">
                      <a:avLst/>
                    </a:prstGeom>
                    <a:noFill/>
                  </pic:spPr>
                </pic:pic>
              </a:graphicData>
            </a:graphic>
          </wp:anchor>
        </w:drawing>
      </w:r>
    </w:p>
    <w:p>
      <w:pPr>
        <w:spacing w:after="0" w:line="146" w:lineRule="exact"/>
        <w:rPr>
          <w:sz w:val="20"/>
          <w:szCs w:val="20"/>
          <w:color w:val="auto"/>
        </w:rPr>
      </w:pPr>
    </w:p>
    <w:p>
      <w:pPr>
        <w:ind w:left="280" w:right="360" w:hanging="172"/>
        <w:spacing w:after="0" w:line="246" w:lineRule="auto"/>
        <w:tabs>
          <w:tab w:leader="none" w:pos="26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1" w:lineRule="exact"/>
        <w:rPr>
          <w:rFonts w:ascii="Arial" w:cs="Arial" w:eastAsia="Arial" w:hAnsi="Arial"/>
          <w:sz w:val="19"/>
          <w:szCs w:val="19"/>
          <w:color w:val="auto"/>
          <w:vertAlign w:val="superscript"/>
        </w:rPr>
      </w:pPr>
    </w:p>
    <w:p>
      <w:pPr>
        <w:ind w:left="280" w:right="60" w:hanging="172"/>
        <w:spacing w:after="0" w:line="223" w:lineRule="auto"/>
        <w:tabs>
          <w:tab w:leader="none" w:pos="28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28" w:lineRule="exact"/>
        <w:rPr>
          <w:rFonts w:ascii="Arial" w:cs="Arial" w:eastAsia="Arial" w:hAnsi="Arial"/>
          <w:sz w:val="21"/>
          <w:szCs w:val="21"/>
          <w:color w:val="auto"/>
          <w:vertAlign w:val="superscript"/>
        </w:rPr>
      </w:pPr>
    </w:p>
    <w:p>
      <w:pPr>
        <w:ind w:left="280" w:hanging="172"/>
        <w:spacing w:after="0"/>
        <w:tabs>
          <w:tab w:leader="none" w:pos="2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220" w:top="114" w:right="49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ind w:left="20"/>
              <w:spacing w:after="0"/>
              <w:rPr>
                <w:sz w:val="20"/>
                <w:szCs w:val="20"/>
                <w:color w:val="auto"/>
              </w:rPr>
            </w:pPr>
            <w:r>
              <w:rPr>
                <w:rFonts w:ascii="Arial" w:cs="Arial" w:eastAsia="Arial" w:hAnsi="Arial"/>
                <w:sz w:val="18"/>
                <w:szCs w:val="18"/>
                <w:i w:val="1"/>
                <w:iCs w:val="1"/>
                <w:color w:val="auto"/>
              </w:rPr>
              <w:t>Sales by Contract Type</w:t>
            </w: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 Ended September 30</w:t>
            </w:r>
          </w:p>
        </w:tc>
        <w:tc>
          <w:tcPr>
            <w:tcW w:w="10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 September 30</w:t>
            </w:r>
          </w:p>
        </w:tc>
        <w:tc>
          <w:tcPr>
            <w:tcW w:w="680" w:type="dxa"/>
            <w:vAlign w:val="bottom"/>
            <w:tcBorders>
              <w:bottom w:val="single" w:sz="8" w:color="auto"/>
            </w:tcBorders>
          </w:tcPr>
          <w:p>
            <w:pPr>
              <w:spacing w:after="0"/>
              <w:rPr>
                <w:sz w:val="20"/>
                <w:szCs w:val="20"/>
                <w:color w:val="auto"/>
              </w:rPr>
            </w:pPr>
          </w:p>
        </w:tc>
      </w:tr>
      <w:tr>
        <w:trPr>
          <w:trHeight w:val="237"/>
        </w:trPr>
        <w:tc>
          <w:tcPr>
            <w:tcW w:w="3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10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20"/>
                <w:szCs w:val="20"/>
                <w:color w:val="auto"/>
              </w:rPr>
            </w:pPr>
          </w:p>
        </w:tc>
      </w:tr>
      <w:tr>
        <w:trPr>
          <w:trHeight w:val="237"/>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613"/>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(1)</w:t>
            </w:r>
          </w:p>
        </w:tc>
        <w:tc>
          <w:tcPr>
            <w:tcW w:w="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93"/>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93"/>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(1)</w:t>
            </w:r>
          </w:p>
        </w:tc>
        <w:tc>
          <w:tcPr>
            <w:tcW w:w="9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33"/>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1,358</w:t>
            </w:r>
          </w:p>
        </w:tc>
        <w:tc>
          <w:tcPr>
            <w:tcW w:w="1100" w:type="dxa"/>
            <w:vAlign w:val="bottom"/>
          </w:tcPr>
          <w:p>
            <w:pPr>
              <w:jc w:val="right"/>
              <w:ind w:right="73"/>
              <w:spacing w:after="0"/>
              <w:rPr>
                <w:sz w:val="20"/>
                <w:szCs w:val="20"/>
                <w:color w:val="auto"/>
              </w:rPr>
            </w:pPr>
            <w:r>
              <w:rPr>
                <w:rFonts w:ascii="Arial" w:cs="Arial" w:eastAsia="Arial" w:hAnsi="Arial"/>
                <w:sz w:val="18"/>
                <w:szCs w:val="18"/>
                <w:b w:val="1"/>
                <w:bCs w:val="1"/>
                <w:color w:val="auto"/>
              </w:rPr>
              <w:t xml:space="preserve">51 %  </w:t>
            </w: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1,436</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 xml:space="preserve">50 %  </w:t>
            </w:r>
            <w:r>
              <w:rPr>
                <w:rFonts w:ascii="Arial" w:cs="Arial" w:eastAsia="Arial" w:hAnsi="Arial"/>
                <w:sz w:val="18"/>
                <w:szCs w:val="18"/>
                <w:b w:val="1"/>
                <w:bCs w:val="1"/>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4,110</w:t>
            </w:r>
          </w:p>
        </w:tc>
        <w:tc>
          <w:tcPr>
            <w:tcW w:w="1080" w:type="dxa"/>
            <w:vAlign w:val="bottom"/>
          </w:tcPr>
          <w:p>
            <w:pPr>
              <w:jc w:val="right"/>
              <w:ind w:right="33"/>
              <w:spacing w:after="0"/>
              <w:rPr>
                <w:sz w:val="20"/>
                <w:szCs w:val="20"/>
                <w:color w:val="auto"/>
              </w:rPr>
            </w:pPr>
            <w:r>
              <w:rPr>
                <w:rFonts w:ascii="Arial" w:cs="Arial" w:eastAsia="Arial" w:hAnsi="Arial"/>
                <w:sz w:val="18"/>
                <w:szCs w:val="18"/>
                <w:b w:val="1"/>
                <w:bCs w:val="1"/>
                <w:color w:val="auto"/>
              </w:rPr>
              <w:t xml:space="preserve">48 %  </w:t>
            </w:r>
            <w:r>
              <w:rPr>
                <w:rFonts w:ascii="Arial" w:cs="Arial" w:eastAsia="Arial" w:hAnsi="Arial"/>
                <w:sz w:val="18"/>
                <w:szCs w:val="18"/>
                <w:color w:val="auto"/>
              </w:rPr>
              <w:t>$</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4,205</w:t>
            </w:r>
          </w:p>
        </w:tc>
        <w:tc>
          <w:tcPr>
            <w:tcW w:w="68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1,319</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49 %</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1,448</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50 %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4,381</w:t>
            </w: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52 %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4,392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48</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30</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137</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85</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2,725</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2,914</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8,628</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8,682</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433</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36 %</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549</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33 %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1,376</w:t>
            </w: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36 %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770</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64 %</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1,119</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67 %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2,436</w:t>
            </w:r>
          </w:p>
        </w:tc>
        <w:tc>
          <w:tcPr>
            <w:tcW w:w="1080" w:type="dxa"/>
            <w:vAlign w:val="bottom"/>
          </w:tcPr>
          <w:p>
            <w:pPr>
              <w:jc w:val="right"/>
              <w:ind w:right="273"/>
              <w:spacing w:after="0"/>
              <w:rPr>
                <w:sz w:val="20"/>
                <w:szCs w:val="20"/>
                <w:color w:val="auto"/>
              </w:rPr>
            </w:pPr>
            <w:r>
              <w:rPr>
                <w:rFonts w:ascii="Arial" w:cs="Arial" w:eastAsia="Arial" w:hAnsi="Arial"/>
                <w:sz w:val="18"/>
                <w:szCs w:val="18"/>
                <w:b w:val="1"/>
                <w:bCs w:val="1"/>
                <w:color w:val="auto"/>
              </w:rPr>
              <w:t>64 %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3,325</w:t>
            </w:r>
          </w:p>
        </w:tc>
        <w:tc>
          <w:tcPr>
            <w:tcW w:w="68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206</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191</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586</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542</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1,409</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1,859</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4,398</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5,626</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746</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34 %</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948</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40 %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2,419</w:t>
            </w:r>
          </w:p>
        </w:tc>
        <w:tc>
          <w:tcPr>
            <w:tcW w:w="1080" w:type="dxa"/>
            <w:vAlign w:val="bottom"/>
          </w:tcPr>
          <w:p>
            <w:pPr>
              <w:jc w:val="right"/>
              <w:ind w:right="273"/>
              <w:spacing w:after="0"/>
              <w:rPr>
                <w:sz w:val="20"/>
                <w:szCs w:val="20"/>
                <w:color w:val="auto"/>
              </w:rPr>
            </w:pPr>
            <w:r>
              <w:rPr>
                <w:rFonts w:ascii="Arial" w:cs="Arial" w:eastAsia="Arial" w:hAnsi="Arial"/>
                <w:sz w:val="18"/>
                <w:szCs w:val="18"/>
                <w:b w:val="1"/>
                <w:bCs w:val="1"/>
                <w:color w:val="auto"/>
              </w:rPr>
              <w:t>35 %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2,689</w:t>
            </w:r>
          </w:p>
        </w:tc>
        <w:tc>
          <w:tcPr>
            <w:tcW w:w="6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1,446</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66 %</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1,410</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60 %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4,459</w:t>
            </w: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65 %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4,102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244</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193</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735</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553</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2,436</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2,551</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7,613</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7,344</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1,931</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73 %</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1,563</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72 %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5,800</w:t>
            </w: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74 %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4,429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717</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27 %</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610</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28 %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2,047</w:t>
            </w:r>
          </w:p>
        </w:tc>
        <w:tc>
          <w:tcPr>
            <w:tcW w:w="1080" w:type="dxa"/>
            <w:vAlign w:val="bottom"/>
          </w:tcPr>
          <w:p>
            <w:pPr>
              <w:jc w:val="right"/>
              <w:ind w:right="273"/>
              <w:spacing w:after="0"/>
              <w:rPr>
                <w:sz w:val="20"/>
                <w:szCs w:val="20"/>
                <w:color w:val="auto"/>
              </w:rPr>
            </w:pPr>
            <w:r>
              <w:rPr>
                <w:rFonts w:ascii="Arial" w:cs="Arial" w:eastAsia="Arial" w:hAnsi="Arial"/>
                <w:sz w:val="18"/>
                <w:szCs w:val="18"/>
                <w:b w:val="1"/>
                <w:bCs w:val="1"/>
                <w:color w:val="auto"/>
              </w:rPr>
              <w:t>26 %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1,686</w:t>
            </w:r>
          </w:p>
        </w:tc>
        <w:tc>
          <w:tcPr>
            <w:tcW w:w="68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33</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25</w:t>
            </w: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103</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79</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2,681</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2,198</w:t>
            </w: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7,950</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6,194</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4,468</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51 %</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4,496</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49 %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13,705</w:t>
            </w:r>
          </w:p>
        </w:tc>
        <w:tc>
          <w:tcPr>
            <w:tcW w:w="1080" w:type="dxa"/>
            <w:vAlign w:val="bottom"/>
          </w:tcPr>
          <w:p>
            <w:pPr>
              <w:jc w:val="right"/>
              <w:ind w:right="273"/>
              <w:spacing w:after="0"/>
              <w:rPr>
                <w:sz w:val="20"/>
                <w:szCs w:val="20"/>
                <w:color w:val="auto"/>
              </w:rPr>
            </w:pPr>
            <w:r>
              <w:rPr>
                <w:rFonts w:ascii="Arial" w:cs="Arial" w:eastAsia="Arial" w:hAnsi="Arial"/>
                <w:sz w:val="18"/>
                <w:szCs w:val="18"/>
                <w:b w:val="1"/>
                <w:bCs w:val="1"/>
                <w:color w:val="auto"/>
              </w:rPr>
              <w:t>51 %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13,082</w:t>
            </w:r>
          </w:p>
        </w:tc>
        <w:tc>
          <w:tcPr>
            <w:tcW w:w="68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4,252</w:t>
            </w:r>
          </w:p>
        </w:tc>
        <w:tc>
          <w:tcPr>
            <w:tcW w:w="11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49 %</w:t>
            </w: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4,587</w:t>
            </w:r>
          </w:p>
        </w:tc>
        <w:tc>
          <w:tcPr>
            <w:tcW w:w="10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51 %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13,323</w:t>
            </w:r>
          </w:p>
        </w:tc>
        <w:tc>
          <w:tcPr>
            <w:tcW w:w="10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49 %</w:t>
            </w: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13,505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8,720</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9,083</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27,028</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26,587</w:t>
            </w:r>
          </w:p>
        </w:tc>
        <w:tc>
          <w:tcPr>
            <w:tcW w:w="680" w:type="dxa"/>
            <w:vAlign w:val="bottom"/>
            <w:tcBorders>
              <w:bottom w:val="single" w:sz="8" w:color="auto"/>
            </w:tcBorders>
          </w:tcPr>
          <w:p>
            <w:pPr>
              <w:spacing w:after="0"/>
              <w:rPr>
                <w:sz w:val="20"/>
                <w:szCs w:val="20"/>
                <w:color w:val="auto"/>
              </w:rPr>
            </w:pPr>
          </w:p>
        </w:tc>
      </w:tr>
    </w:tbl>
    <w:p>
      <w:pPr>
        <w:spacing w:after="0" w:line="165"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ind w:left="20"/>
              <w:spacing w:after="0"/>
              <w:rPr>
                <w:sz w:val="20"/>
                <w:szCs w:val="20"/>
                <w:color w:val="auto"/>
              </w:rPr>
            </w:pPr>
            <w:r>
              <w:rPr>
                <w:rFonts w:ascii="Arial" w:cs="Arial" w:eastAsia="Arial" w:hAnsi="Arial"/>
                <w:sz w:val="18"/>
                <w:szCs w:val="18"/>
                <w:i w:val="1"/>
                <w:iCs w:val="1"/>
                <w:color w:val="auto"/>
              </w:rPr>
              <w:t>Sales by Geographic Region</w:t>
            </w: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September 30</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 September 30</w:t>
            </w:r>
          </w:p>
        </w:tc>
        <w:tc>
          <w:tcPr>
            <w:tcW w:w="680" w:type="dxa"/>
            <w:vAlign w:val="bottom"/>
            <w:tcBorders>
              <w:bottom w:val="single" w:sz="8" w:color="auto"/>
            </w:tcBorders>
          </w:tcPr>
          <w:p>
            <w:pPr>
              <w:spacing w:after="0"/>
              <w:rPr>
                <w:sz w:val="20"/>
                <w:szCs w:val="20"/>
                <w:color w:val="auto"/>
              </w:rPr>
            </w:pPr>
          </w:p>
        </w:tc>
      </w:tr>
      <w:tr>
        <w:trPr>
          <w:trHeight w:val="223"/>
        </w:trPr>
        <w:tc>
          <w:tcPr>
            <w:tcW w:w="3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19"/>
                <w:szCs w:val="19"/>
                <w:color w:val="auto"/>
              </w:rPr>
            </w:pPr>
          </w:p>
        </w:tc>
      </w:tr>
      <w:tr>
        <w:trPr>
          <w:trHeight w:val="236"/>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92"/>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(2)</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92"/>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(2)</w:t>
            </w:r>
          </w:p>
        </w:tc>
        <w:tc>
          <w:tcPr>
            <w:tcW w:w="9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2,317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87 %</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2,502</w:t>
            </w:r>
          </w:p>
        </w:tc>
        <w:tc>
          <w:tcPr>
            <w:tcW w:w="720" w:type="dxa"/>
            <w:vAlign w:val="bottom"/>
          </w:tcPr>
          <w:p>
            <w:pPr>
              <w:jc w:val="right"/>
              <w:spacing w:after="0"/>
              <w:rPr>
                <w:sz w:val="20"/>
                <w:szCs w:val="20"/>
                <w:color w:val="auto"/>
              </w:rPr>
            </w:pPr>
            <w:r>
              <w:rPr>
                <w:rFonts w:ascii="Arial" w:cs="Arial" w:eastAsia="Arial" w:hAnsi="Arial"/>
                <w:sz w:val="18"/>
                <w:szCs w:val="18"/>
                <w:color w:val="auto"/>
              </w:rPr>
              <w:t>87 %</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7,381</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 xml:space="preserve">86 %  </w:t>
            </w:r>
            <w:r>
              <w:rPr>
                <w:rFonts w:ascii="Arial" w:cs="Arial" w:eastAsia="Arial" w:hAnsi="Arial"/>
                <w:sz w:val="18"/>
                <w:szCs w:val="18"/>
                <w:color w:val="auto"/>
              </w:rPr>
              <w:t>$</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7,364</w:t>
            </w:r>
          </w:p>
        </w:tc>
        <w:tc>
          <w:tcPr>
            <w:tcW w:w="68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239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722</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9 %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108</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129</w:t>
            </w:r>
          </w:p>
        </w:tc>
        <w:tc>
          <w:tcPr>
            <w:tcW w:w="720" w:type="dxa"/>
            <w:vAlign w:val="bottom"/>
          </w:tcPr>
          <w:p>
            <w:pPr>
              <w:jc w:val="right"/>
              <w:spacing w:after="0"/>
              <w:rPr>
                <w:sz w:val="20"/>
                <w:szCs w:val="20"/>
                <w:color w:val="auto"/>
              </w:rPr>
            </w:pPr>
            <w:r>
              <w:rPr>
                <w:rFonts w:ascii="Arial" w:cs="Arial" w:eastAsia="Arial" w:hAnsi="Arial"/>
                <w:sz w:val="18"/>
                <w:szCs w:val="18"/>
                <w:color w:val="auto"/>
              </w:rPr>
              <w:t>5 %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335</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4 %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445</w:t>
            </w:r>
          </w:p>
        </w:tc>
        <w:tc>
          <w:tcPr>
            <w:tcW w:w="6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33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53</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48</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30</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137</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85</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2,725</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2,914</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8,628</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8,682</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887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1,361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2,810</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74 %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4,121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107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103</w:t>
            </w:r>
          </w:p>
        </w:tc>
        <w:tc>
          <w:tcPr>
            <w:tcW w:w="720" w:type="dxa"/>
            <w:vAlign w:val="bottom"/>
          </w:tcPr>
          <w:p>
            <w:pPr>
              <w:jc w:val="right"/>
              <w:spacing w:after="0"/>
              <w:rPr>
                <w:sz w:val="20"/>
                <w:szCs w:val="20"/>
                <w:color w:val="auto"/>
              </w:rPr>
            </w:pPr>
            <w:r>
              <w:rPr>
                <w:rFonts w:ascii="Arial" w:cs="Arial" w:eastAsia="Arial" w:hAnsi="Arial"/>
                <w:sz w:val="18"/>
                <w:szCs w:val="18"/>
                <w:color w:val="auto"/>
              </w:rPr>
              <w:t>6 %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336</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9 %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292</w:t>
            </w:r>
          </w:p>
        </w:tc>
        <w:tc>
          <w:tcPr>
            <w:tcW w:w="6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78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233</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6 %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3300" w:type="dxa"/>
            <w:vAlign w:val="bottom"/>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131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131</w:t>
            </w:r>
          </w:p>
        </w:tc>
        <w:tc>
          <w:tcPr>
            <w:tcW w:w="720" w:type="dxa"/>
            <w:vAlign w:val="bottom"/>
          </w:tcPr>
          <w:p>
            <w:pPr>
              <w:jc w:val="right"/>
              <w:spacing w:after="0"/>
              <w:rPr>
                <w:sz w:val="20"/>
                <w:szCs w:val="20"/>
                <w:color w:val="auto"/>
              </w:rPr>
            </w:pPr>
            <w:r>
              <w:rPr>
                <w:rFonts w:ascii="Arial" w:cs="Arial" w:eastAsia="Arial" w:hAnsi="Arial"/>
                <w:sz w:val="18"/>
                <w:szCs w:val="18"/>
                <w:color w:val="auto"/>
              </w:rPr>
              <w:t>8 %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433</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11 %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458</w:t>
            </w:r>
          </w:p>
        </w:tc>
        <w:tc>
          <w:tcPr>
            <w:tcW w:w="6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206</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191</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586</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542</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1,409</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1,859</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4,398</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5,626</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1,775</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81 %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1,903</w:t>
            </w:r>
          </w:p>
        </w:tc>
        <w:tc>
          <w:tcPr>
            <w:tcW w:w="720" w:type="dxa"/>
            <w:vAlign w:val="bottom"/>
          </w:tcPr>
          <w:p>
            <w:pPr>
              <w:jc w:val="right"/>
              <w:spacing w:after="0"/>
              <w:rPr>
                <w:sz w:val="20"/>
                <w:szCs w:val="20"/>
                <w:color w:val="auto"/>
              </w:rPr>
            </w:pPr>
            <w:r>
              <w:rPr>
                <w:rFonts w:ascii="Arial" w:cs="Arial" w:eastAsia="Arial" w:hAnsi="Arial"/>
                <w:sz w:val="18"/>
                <w:szCs w:val="18"/>
                <w:color w:val="auto"/>
              </w:rPr>
              <w:t>81 %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5,540</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81 %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5,385</w:t>
            </w:r>
          </w:p>
        </w:tc>
        <w:tc>
          <w:tcPr>
            <w:tcW w:w="68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372</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5 %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489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233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253</w:t>
            </w:r>
          </w:p>
        </w:tc>
        <w:tc>
          <w:tcPr>
            <w:tcW w:w="720" w:type="dxa"/>
            <w:vAlign w:val="bottom"/>
          </w:tcPr>
          <w:p>
            <w:pPr>
              <w:jc w:val="right"/>
              <w:spacing w:after="0"/>
              <w:rPr>
                <w:sz w:val="20"/>
                <w:szCs w:val="20"/>
                <w:color w:val="auto"/>
              </w:rPr>
            </w:pPr>
            <w:r>
              <w:rPr>
                <w:rFonts w:ascii="Arial" w:cs="Arial" w:eastAsia="Arial" w:hAnsi="Arial"/>
                <w:sz w:val="18"/>
                <w:szCs w:val="18"/>
                <w:color w:val="auto"/>
              </w:rPr>
              <w:t>11 %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744</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11 %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669</w:t>
            </w:r>
          </w:p>
        </w:tc>
        <w:tc>
          <w:tcPr>
            <w:tcW w:w="6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33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70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222</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244</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193</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735</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553</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2,436</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2,551</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7,613</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7,344</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2,556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2,074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7,546</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97 %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5,878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10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39</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15</w:t>
            </w:r>
          </w:p>
        </w:tc>
        <w:tc>
          <w:tcPr>
            <w:tcW w:w="6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79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256</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3300" w:type="dxa"/>
            <w:vAlign w:val="bottom"/>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6</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33</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25</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103</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79</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2,681</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2,198</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7,950</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6,194</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7,535</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87 %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7,840</w:t>
            </w:r>
          </w:p>
        </w:tc>
        <w:tc>
          <w:tcPr>
            <w:tcW w:w="720" w:type="dxa"/>
            <w:vAlign w:val="bottom"/>
          </w:tcPr>
          <w:p>
            <w:pPr>
              <w:jc w:val="right"/>
              <w:spacing w:after="0"/>
              <w:rPr>
                <w:sz w:val="20"/>
                <w:szCs w:val="20"/>
                <w:color w:val="auto"/>
              </w:rPr>
            </w:pPr>
            <w:r>
              <w:rPr>
                <w:rFonts w:ascii="Arial" w:cs="Arial" w:eastAsia="Arial" w:hAnsi="Arial"/>
                <w:sz w:val="18"/>
                <w:szCs w:val="18"/>
                <w:color w:val="auto"/>
              </w:rPr>
              <w:t>86 %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23,277</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86 %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22,748</w:t>
            </w:r>
          </w:p>
        </w:tc>
        <w:tc>
          <w:tcPr>
            <w:tcW w:w="68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470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447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1,469</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5 %</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1,422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498</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545</w:t>
            </w:r>
          </w:p>
        </w:tc>
        <w:tc>
          <w:tcPr>
            <w:tcW w:w="720" w:type="dxa"/>
            <w:vAlign w:val="bottom"/>
          </w:tcPr>
          <w:p>
            <w:pPr>
              <w:jc w:val="right"/>
              <w:spacing w:after="0"/>
              <w:rPr>
                <w:sz w:val="20"/>
                <w:szCs w:val="20"/>
                <w:color w:val="auto"/>
              </w:rPr>
            </w:pPr>
            <w:r>
              <w:rPr>
                <w:rFonts w:ascii="Arial" w:cs="Arial" w:eastAsia="Arial" w:hAnsi="Arial"/>
                <w:sz w:val="18"/>
                <w:szCs w:val="18"/>
                <w:color w:val="auto"/>
              </w:rPr>
              <w:t>6 %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1,568</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6 %</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1,539</w:t>
            </w:r>
          </w:p>
        </w:tc>
        <w:tc>
          <w:tcPr>
            <w:tcW w:w="6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330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217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251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714</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3 %</w:t>
            </w: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878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8,720</w:t>
            </w: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9,083</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27,028</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26,587</w:t>
            </w:r>
          </w:p>
        </w:tc>
        <w:tc>
          <w:tcPr>
            <w:tcW w:w="680" w:type="dxa"/>
            <w:vAlign w:val="bottom"/>
            <w:tcBorders>
              <w:bottom w:val="single" w:sz="8" w:color="auto"/>
            </w:tcBorders>
          </w:tcPr>
          <w:p>
            <w:pPr>
              <w:spacing w:after="0"/>
              <w:rPr>
                <w:sz w:val="20"/>
                <w:szCs w:val="20"/>
                <w:color w:val="auto"/>
              </w:rPr>
            </w:pPr>
          </w:p>
        </w:tc>
      </w:tr>
    </w:tbl>
    <w:p>
      <w:pPr>
        <w:spacing w:after="0" w:line="165"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All other is principally comprised of the Middle East.</w:t>
      </w:r>
    </w:p>
    <w:p>
      <w:pPr>
        <w:spacing w:after="0" w:line="7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reviewed the accompanying condensed consolidated statement of financial position of Northrop Grumman Corporation and subsidiaries (the “Company”) as of September 30, 2021, and the related condensed consolidated statements of earnings and comprehensive income and changes in shareholders’ equity for the three-month and nine-month periods ended September 30, 2021 and 2020, and of cash flows for the nine-month periods ended September 30, 2021 and 2020, and the related notes (collectively referred to as the “interim financial information”). Based on our review, we are not aware of any material modifications that should be made to the accompanying interim financial information for it to be in conformity with accounting principles generally accepted in the United States of America.</w:t>
      </w:r>
    </w:p>
    <w:p>
      <w:pPr>
        <w:spacing w:after="0" w:line="5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We have previously audited, in accordance with the standards of the Public Company Accounting Oversight Board (United States) (PCAOB), the consolidated statement of financial position of Northrop Grumman Corporation and subsidiaries as of December 31, 2020, and the related consolidated statements of earnings and comprehensive income, changes in shareholders’ equity, and cash flows for the year then ended (not presented herein); and in our report dated January 27, 2021, we expressed an unqualified opinion on those consolidated financial statements, which included an explanatory paragraph regarding the Company’s change in its method of accounting for leases in 2019 due to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In our opinion, the information set forth in the accompanying condensed consolidated statement of financial position as of December 31, 2020, is fairly stated, in all material respects, in relation to the audited consolidated statement of financial position from which it has been derived.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14" w:lineRule="exact"/>
        <w:rPr>
          <w:sz w:val="20"/>
          <w:szCs w:val="20"/>
          <w:color w:val="auto"/>
        </w:rPr>
      </w:pPr>
    </w:p>
    <w:p>
      <w:pPr>
        <w:ind w:right="3680"/>
        <w:spacing w:after="0" w:line="31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Northrop Grumman Corporation (herein referred to as “Northrop Grumman,” the “company,” “we,” “us,” or “our”) is a leading global aerospace and defense company. We use our broad portfolio of capabilities and technologies to create and deliver innovative platforms, systems and solutions in space; manned and autonomous airborne systems, including strike; strategic deterrence systems; hypersonics; missile defense; weapons systems; cyber; command, control, communications and computers, intelligence, surveillance and reconnaissance (C4ISR);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other governments, including foreign governments, and commercial customers.</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discussion should be read along with the financial statements included in this Form 10-Q, as well as our 2020 Annual Report on Form 10-K, which provides additional information on our business and the environment in which we operate and our operating results.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IT and Mission Support Services Business</w:t>
      </w:r>
    </w:p>
    <w:p>
      <w:pPr>
        <w:spacing w:after="0" w:line="2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Effective January 30, 2021 (the “Divestiture date”), we completed the previously announced sale of our IT and mission support services business (the “IT services divestiture”) for $3.4 billion in cash and recorded a pre-tax gain on sale of $2.0 billion. The IT and mission support services business was comprised of the majority of the Information Solutions and Services (IS&amp;S) division of Defense Systems (excluding our Vinnell Arabia business); select cyber, intelligence and missions support programs, which were part of the Cyber and Intelligence Mission Solutions (CIMS) division of Mission Systems; and the Space Technical Services business unit of Space Systems. Operating results include sales and operating income for the IT and mission support services business prior to the Divestiture date.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Coronavirus disease 2019, which was first reported in late 2019, and subsequent variants (collectively “COVID-19” or the “pandemic”), have dramatically impacted the global health and economic environment, including millions of confirmed cases and deaths, business slowdowns or shutdowns, labor shortfalls, supply chain challenges, regulatory challenges, and market volatility. We discuss in some detail in our Annual Report on Form 10-K, and subsequent SEC filings, the pandemic, its impacts and risks, and actions taken up to the time of filing. In this Form 10-Q, we provide a further update. We continue closely to monitor and address the developments, including the impact on our company, our employees, our customers, our suppliers and our communities. The company continues to consider and be guided by health data and evolving guidance from the Centers for Disease Control and Prevention (CDC), in particular, as well as other health organizations globally, federal, state and local governmental authorities, and our customers, among others. During the course of this year, COVID-19 case rates and the health impacts of the pandemic have fluctuated dramatically in different communities in the U.S. and globally. We have continued to see a prolonged impact on the economy, our industry, and our company, with increased challenges for customers and suppliers, labor shortages (including greater leave-taking), supply chain challenges, and increasing inflation, among other impacts. We expect these and other impacts to continue and they could worsen, depending on the future course of the pandemic and actions taken in connection with it.</w:t>
      </w:r>
    </w:p>
    <w:p>
      <w:pPr>
        <w:spacing w:after="0" w:line="3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the U.S., the Food and Drug Administration issued emergency use authorization for COVID-19 vaccines and the government began extensive efforts to administer them. The company also has taken various steps to facilitate vaccination access for our employees, in accordance with federal guidance. We have provided paid leave and flexibility for employees to get vaccinated, and strongly encouraged our workforce to take care of themselves and their colleagues. In September 2021, the White House issued an executive order and guidance from the Safer Federal Workforce Task Force broadly requiring many U.S.-based federal contractors to be fully vaccinated by December 8, 2021 (with exceptions including where an employee is legally entitled to an accommodation). We are taking steps to comply with the executive order, guidance, and related contract terms, broadly requiring vaccination among our U.S.-based employees. We are continuing to evaluate these evolving requirements, especially as our customers determine when and how to implement new contractual obligations, but we cannot at this stage predict the various impacts they may have on our workforce, our suppliers, or our company. The Occupational Safety and Health Administration has said it is developing an emergency temporary standard for employers with 100 or more employees to ensure their workers are fully vaccinated or undergo weekly testing. State and local governments are also taking actions related to the pandemic, imposing additional and varying requirements on industry. These evolving government requirements, including regarding a vaccine mandate, along with the broader impacts of the continuing pandemic, could significantly impact our workforce and performance, as well as those of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and result in costs that we may not be able to recover fully. The company continues to take robust actions globally to protect the health, safety and well-being of our employees, and to serve our customers with continued performance. We also continue to take steps to support our suppliers, with a particular focus on critical small and midsized business partners, including passing through increased progress payments from the DoD to our suppliers and accelerating payments to certain suppliers.</w:t>
      </w:r>
    </w:p>
    <w:p>
      <w:pPr>
        <w:spacing w:after="0" w:line="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third quarter 2021 revenue and operating income were affected by the impact of the COVID-19 pandemic on the company and the broader economic environment, including through a tightened labor market, elevated levels of employee leave, evolving government requirements, and supply chain challenges. These factors could worsen and affect further our ability (and that of our suppliers) to maintain a qualified workforce and to perform fully for our customers (including with respect to cost and schedule), with reduced sales and additional liabilities, losses and costs, that we may not be able to recover fully. Our employees, customers and suppliers, the company, our economy and our global community continue to face both continuing and new or evolving challenges, including related to the vaccine mandate, and we cannot predict how this dynamic situation will evolve or the impact it will have on the company, or our financial position, results of operations and/or cash flows. For further information on the pandemic and the potential impact to the company of COVID-19, see “Liquidity and Capital Resources” below and “Risk Factors” and “Management’s Discussion and Analysis of Financial Condition and Results of Operations” in our 2020 Annual Report on Form 10-K and Quarterly Reports on Form 10-Q.</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and Economic Environment</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May 28, 2021, the Administration released its budget request for fiscal year (FY) 2022. The budget proposes $753 billion for national defense programs and $770 billion in non-defense discretionary funding, and continues to be the subject of debate in Congress. The Administration’s budget request includes funding for the American Jobs Plan, a $2.3 trillion infrastructure and economic recovery plan, and the American Families Plan, a $1.8 trillion education and economic support plan. If some or all of these plans are enacted, they may have broader implications for the defense industry, our customers’ budgets and priorities, and the overall economic environment, including the national debt. It is difficult to predict the specific course of future defense budgets. However, the threat to national security remains very substantial and we believe that our capabilities, particularly in space, missiles, missile defense, hypersonics, counter-hypersonics, survivable aircraft and mission systems should help our customers to meet the threats and, as a result, continue to allow for long-term profitable growth in our business.</w:t>
      </w:r>
    </w:p>
    <w:p>
      <w:pPr>
        <w:spacing w:after="0" w:line="5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FY 2022 appropriations have not been enacted, to date, and, on September 30, 2021, a continuing resolution was enacted, providing funding generally at FY 2021 levels through December 3, 2021. The Congress’ FY 2022 deliberations have demonstrated broad support for national security, and in key pieces of legislation, have proposed increased funding for national defense above the Administration’s budget request. It remains uncertain whether and, if so, when the government will approve FY 2022 appropriations, with which programs funded at what levels, and for how long the government will operate under a continuing resolution, with potential impacts on our programs and new starts, in particular.</w:t>
      </w:r>
    </w:p>
    <w:p>
      <w:pPr>
        <w:spacing w:after="0" w:line="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October 14, 2021, the statutory debt limit was increased by $480 billion, which reportedly allows the Treasury Department to finance the government through approximately early December 2021. If the debt limit is not lifted, or further increased, and the debt ceiling is breached, there may be significant consequences for our customers and programs, and we may be required to continue to perform for some period of time on certain of our U.S. Government contracts even if the U.S. Government is unable to make timely payments.</w:t>
      </w:r>
    </w:p>
    <w:p>
      <w:pPr>
        <w:spacing w:after="0" w:line="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political environment, federal budget and debt ceiling are expected to continue to be the subject of considerable debate, which could have material impacts on defense spending broadly and the company’s programs in particular.</w:t>
      </w:r>
    </w:p>
    <w:p>
      <w:pPr>
        <w:spacing w:after="0" w:line="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further information on the risks we face from the current political and economic environment, see “Risk Factors” in our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2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For purposes of the operating results discussion below, we assess our performance using certain financial measures that are not calculated in accordance with GAAP. Organic sales is defined as total sales excluding sales attributable to the company's IT services divestiture. This measure may be useful to investors and other users of our financial statements as a supplemental measure in evaluating the company’s underlying sales growth as well as in providing an understanding of our ongoing business and future sales trends by presenting the company’s sales before the impact of divestiture activity.</w:t>
      </w:r>
    </w:p>
    <w:p>
      <w:pPr>
        <w:spacing w:after="0" w:line="4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Transaction-adjusted net earnings and transaction-adjusted earnings per share (transaction-adjusted EPS) exclude impacts related to the IT services divestiture, including the gain on sale of the business, associated federal and state income tax expenses, transaction costs, and the make-whole premium for early debt redemption. They also exclude the impact of mark-to-market pension and OPB (“MTM”) expense and related tax impacts, which are generally only recognized during the fourth quarter. These non-GAAP measures may be useful to investors and other users of our financial statements as supplemental measures in evaluating the company’s underlying financial performance by presenting the company’s operating results before the non-operational impact of divestiture activity and pension and OPB actuarial gains and losses. These measures are also consistent with how management views the underlying performance of the business as the impact of the IT services divestiture and MTM accounting are not considered in management’s assessment of the company’s operating performance or in its determination of incentive compensation awards.</w:t>
      </w:r>
    </w:p>
    <w:p>
      <w:pPr>
        <w:spacing w:after="0" w:line="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reconcile these non-GAAP financial measures to their most directly comparable GAAP financial measures below. These non-GAAP measures may not be defined and calculated by other companies in the same manner and should not be considered in isolation or as an alternative to operating results presented in accordance with GAAP.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400" w:type="dxa"/>
            <w:vAlign w:val="bottom"/>
            <w:gridSpan w:val="4"/>
          </w:tcPr>
          <w:p>
            <w:pPr>
              <w:ind w:left="20"/>
              <w:spacing w:after="0"/>
              <w:rPr>
                <w:sz w:val="20"/>
                <w:szCs w:val="20"/>
                <w:color w:val="auto"/>
              </w:rPr>
            </w:pPr>
            <w:r>
              <w:rPr>
                <w:rFonts w:ascii="Arial" w:cs="Arial" w:eastAsia="Arial" w:hAnsi="Arial"/>
                <w:sz w:val="18"/>
                <w:szCs w:val="18"/>
                <w:color w:val="auto"/>
                <w:w w:val="90"/>
              </w:rPr>
              <w:t>Three Months Ended September</w:t>
            </w:r>
          </w:p>
        </w:tc>
        <w:tc>
          <w:tcPr>
            <w:tcW w:w="13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2540" w:type="dxa"/>
            <w:vAlign w:val="bottom"/>
            <w:gridSpan w:val="4"/>
            <w:vMerge w:val="restart"/>
          </w:tcPr>
          <w:p>
            <w:pPr>
              <w:ind w:left="20"/>
              <w:spacing w:after="0"/>
              <w:rPr>
                <w:sz w:val="20"/>
                <w:szCs w:val="20"/>
                <w:color w:val="auto"/>
              </w:rPr>
            </w:pPr>
            <w:r>
              <w:rPr>
                <w:rFonts w:ascii="Arial" w:cs="Arial" w:eastAsia="Arial" w:hAnsi="Arial"/>
                <w:sz w:val="18"/>
                <w:szCs w:val="18"/>
                <w:color w:val="auto"/>
                <w:w w:val="90"/>
              </w:rPr>
              <w:t>Nine Months Ended September 30</w:t>
            </w:r>
          </w:p>
        </w:tc>
        <w:tc>
          <w:tcPr>
            <w:tcW w:w="11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19"/>
                <w:szCs w:val="19"/>
                <w:color w:val="auto"/>
              </w:rPr>
            </w:pPr>
          </w:p>
        </w:tc>
        <w:tc>
          <w:tcPr>
            <w:tcW w:w="1300" w:type="dxa"/>
            <w:vAlign w:val="bottom"/>
            <w:vMerge w:val="continue"/>
          </w:tcPr>
          <w:p>
            <w:pPr>
              <w:spacing w:after="0"/>
              <w:rPr>
                <w:sz w:val="19"/>
                <w:szCs w:val="19"/>
                <w:color w:val="auto"/>
              </w:rPr>
            </w:pPr>
          </w:p>
        </w:tc>
        <w:tc>
          <w:tcPr>
            <w:tcW w:w="2540" w:type="dxa"/>
            <w:vAlign w:val="bottom"/>
            <w:tcBorders>
              <w:bottom w:val="single" w:sz="8" w:color="auto"/>
            </w:tcBorders>
            <w:gridSpan w:val="4"/>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8,720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9,083</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27,028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26,587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24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7,677</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8,098</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24,099</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23,674</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costs and expenses as a % of sales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88.0 %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89.2 %</w:t>
            </w: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89.2 %</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89.0 %</w:t>
            </w: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business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NM</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1,980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1,043</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985</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6 %</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4,909</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2,913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12.0 %</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10.8 %</w:t>
            </w: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18.2 %</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11.0 %</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212</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181</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17 %</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1,298</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16.6 %</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15.5 %</w:t>
            </w: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23.2 %</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16.5 %</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1,063</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986</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8 %</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4,295</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2,859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6.63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5.89</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13 %</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26.55</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17.05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reconcile sales to organic sales: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w w:val="89"/>
              </w:rPr>
              <w:t>Three Months Ended September 30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Sales</w:t>
            </w:r>
          </w:p>
        </w:tc>
        <w:tc>
          <w:tcPr>
            <w:tcW w:w="140" w:type="dxa"/>
            <w:vAlign w:val="bottom"/>
          </w:tcPr>
          <w:p>
            <w:pPr>
              <w:spacing w:after="0"/>
              <w:rPr>
                <w:sz w:val="14"/>
                <w:szCs w:val="14"/>
                <w:color w:val="auto"/>
              </w:rPr>
            </w:pPr>
          </w:p>
        </w:tc>
        <w:tc>
          <w:tcPr>
            <w:tcW w:w="100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8"/>
              </w:rPr>
              <w:t>IT services</w:t>
            </w:r>
          </w:p>
        </w:tc>
        <w:tc>
          <w:tcPr>
            <w:tcW w:w="220" w:type="dxa"/>
            <w:vAlign w:val="bottom"/>
          </w:tcPr>
          <w:p>
            <w:pPr>
              <w:spacing w:after="0"/>
              <w:rPr>
                <w:sz w:val="14"/>
                <w:szCs w:val="14"/>
                <w:color w:val="auto"/>
              </w:rPr>
            </w:pPr>
          </w:p>
        </w:tc>
        <w:tc>
          <w:tcPr>
            <w:tcW w:w="110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w w:val="94"/>
              </w:rPr>
              <w:t>Organic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4"/>
                <w:szCs w:val="14"/>
                <w:color w:val="auto"/>
              </w:rPr>
            </w:pPr>
          </w:p>
        </w:tc>
        <w:tc>
          <w:tcPr>
            <w:tcW w:w="1000" w:type="dxa"/>
            <w:vAlign w:val="bottom"/>
          </w:tcPr>
          <w:p>
            <w:pPr>
              <w:jc w:val="center"/>
              <w:ind w:right="70"/>
              <w:spacing w:after="0" w:line="169" w:lineRule="exact"/>
              <w:rPr>
                <w:sz w:val="20"/>
                <w:szCs w:val="20"/>
                <w:color w:val="auto"/>
              </w:rPr>
            </w:pPr>
            <w:r>
              <w:rPr>
                <w:rFonts w:ascii="Arial" w:cs="Arial" w:eastAsia="Arial" w:hAnsi="Arial"/>
                <w:sz w:val="18"/>
                <w:szCs w:val="18"/>
                <w:color w:val="auto"/>
                <w:w w:val="91"/>
              </w:rPr>
              <w:t>IT services</w:t>
            </w:r>
          </w:p>
        </w:tc>
        <w:tc>
          <w:tcPr>
            <w:tcW w:w="200" w:type="dxa"/>
            <w:vAlign w:val="bottom"/>
          </w:tcPr>
          <w:p>
            <w:pPr>
              <w:spacing w:after="0"/>
              <w:rPr>
                <w:sz w:val="14"/>
                <w:szCs w:val="14"/>
                <w:color w:val="auto"/>
              </w:rPr>
            </w:pPr>
          </w:p>
        </w:tc>
        <w:tc>
          <w:tcPr>
            <w:tcW w:w="94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88"/>
              </w:rPr>
              <w:t>Organic</w:t>
            </w:r>
          </w:p>
        </w:tc>
        <w:tc>
          <w:tcPr>
            <w:tcW w:w="1440" w:type="dxa"/>
            <w:vAlign w:val="bottom"/>
          </w:tcPr>
          <w:p>
            <w:pPr>
              <w:jc w:val="center"/>
              <w:ind w:left="10"/>
              <w:spacing w:after="0" w:line="169" w:lineRule="exact"/>
              <w:rPr>
                <w:sz w:val="20"/>
                <w:szCs w:val="20"/>
                <w:color w:val="auto"/>
              </w:rPr>
            </w:pPr>
            <w:r>
              <w:rPr>
                <w:rFonts w:ascii="Arial" w:cs="Arial" w:eastAsia="Arial" w:hAnsi="Arial"/>
                <w:sz w:val="18"/>
                <w:szCs w:val="18"/>
                <w:b w:val="1"/>
                <w:bCs w:val="1"/>
                <w:color w:val="auto"/>
                <w:w w:val="90"/>
              </w:rPr>
              <w:t>Organic sales %</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79"/>
              </w:rPr>
              <w:t>sales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79"/>
              </w:rPr>
              <w:t>sales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sales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5"/>
              </w:rPr>
              <w:t>sales</w:t>
            </w: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Aeronautics Systems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30"/>
        </w:trPr>
        <w:tc>
          <w:tcPr>
            <w:tcW w:w="2660" w:type="dxa"/>
            <w:vAlign w:val="bottom"/>
          </w:tcPr>
          <w:p>
            <w:pPr>
              <w:ind w:left="40"/>
              <w:spacing w:after="0"/>
              <w:rPr>
                <w:sz w:val="20"/>
                <w:szCs w:val="20"/>
                <w:color w:val="auto"/>
              </w:rPr>
            </w:pPr>
            <w:r>
              <w:rPr>
                <w:rFonts w:ascii="Arial" w:cs="Arial" w:eastAsia="Arial" w:hAnsi="Arial"/>
                <w:sz w:val="18"/>
                <w:szCs w:val="18"/>
                <w:color w:val="auto"/>
              </w:rPr>
              <w:t>Defense Systems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1,409</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1,859</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1,434</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29"/>
        </w:trPr>
        <w:tc>
          <w:tcPr>
            <w:tcW w:w="2660" w:type="dxa"/>
            <w:vAlign w:val="bottom"/>
          </w:tcPr>
          <w:p>
            <w:pPr>
              <w:ind w:left="40"/>
              <w:spacing w:after="0"/>
              <w:rPr>
                <w:sz w:val="20"/>
                <w:szCs w:val="20"/>
                <w:color w:val="auto"/>
              </w:rPr>
            </w:pPr>
            <w:r>
              <w:rPr>
                <w:rFonts w:ascii="Arial" w:cs="Arial" w:eastAsia="Arial" w:hAnsi="Arial"/>
                <w:sz w:val="18"/>
                <w:szCs w:val="18"/>
                <w:color w:val="auto"/>
              </w:rPr>
              <w:t>Space Systems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2,681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2,198</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2,150</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25 %</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 $</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8,720</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445"/>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w w:val="91"/>
              </w:rPr>
              <w:t>Nine Months Ended September 30</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Sales</w:t>
            </w:r>
          </w:p>
        </w:tc>
        <w:tc>
          <w:tcPr>
            <w:tcW w:w="140" w:type="dxa"/>
            <w:vAlign w:val="bottom"/>
          </w:tcPr>
          <w:p>
            <w:pPr>
              <w:spacing w:after="0"/>
              <w:rPr>
                <w:sz w:val="14"/>
                <w:szCs w:val="14"/>
                <w:color w:val="auto"/>
              </w:rPr>
            </w:pPr>
          </w:p>
        </w:tc>
        <w:tc>
          <w:tcPr>
            <w:tcW w:w="10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0"/>
              </w:rPr>
              <w:t>IT services</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1"/>
              </w:rPr>
              <w:t>Organic</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4"/>
                <w:szCs w:val="14"/>
                <w:color w:val="auto"/>
              </w:rPr>
            </w:pPr>
          </w:p>
        </w:tc>
        <w:tc>
          <w:tcPr>
            <w:tcW w:w="100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91"/>
              </w:rPr>
              <w:t>IT services</w:t>
            </w:r>
          </w:p>
        </w:tc>
        <w:tc>
          <w:tcPr>
            <w:tcW w:w="200" w:type="dxa"/>
            <w:vAlign w:val="bottom"/>
          </w:tcPr>
          <w:p>
            <w:pPr>
              <w:spacing w:after="0"/>
              <w:rPr>
                <w:sz w:val="14"/>
                <w:szCs w:val="14"/>
                <w:color w:val="auto"/>
              </w:rPr>
            </w:pPr>
          </w:p>
        </w:tc>
        <w:tc>
          <w:tcPr>
            <w:tcW w:w="94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1"/>
              </w:rPr>
              <w:t>Organic</w:t>
            </w:r>
          </w:p>
        </w:tc>
        <w:tc>
          <w:tcPr>
            <w:tcW w:w="1440" w:type="dxa"/>
            <w:vAlign w:val="bottom"/>
          </w:tcPr>
          <w:p>
            <w:pPr>
              <w:jc w:val="center"/>
              <w:ind w:left="10"/>
              <w:spacing w:after="0" w:line="169" w:lineRule="exact"/>
              <w:rPr>
                <w:sz w:val="20"/>
                <w:szCs w:val="20"/>
                <w:color w:val="auto"/>
              </w:rPr>
            </w:pPr>
            <w:r>
              <w:rPr>
                <w:rFonts w:ascii="Arial" w:cs="Arial" w:eastAsia="Arial" w:hAnsi="Arial"/>
                <w:sz w:val="18"/>
                <w:szCs w:val="18"/>
                <w:b w:val="1"/>
                <w:bCs w:val="1"/>
                <w:color w:val="auto"/>
                <w:w w:val="90"/>
              </w:rPr>
              <w:t>Organic sales %</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79"/>
              </w:rPr>
              <w:t>sales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79"/>
              </w:rPr>
              <w:t>sales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0"/>
              </w:rPr>
              <w:t>sales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0"/>
              </w:rPr>
              <w:t>sales</w:t>
            </w: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Aeronautics Systems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9"/>
        </w:trPr>
        <w:tc>
          <w:tcPr>
            <w:tcW w:w="2660" w:type="dxa"/>
            <w:vAlign w:val="bottom"/>
          </w:tcPr>
          <w:p>
            <w:pPr>
              <w:ind w:left="40"/>
              <w:spacing w:after="0"/>
              <w:rPr>
                <w:sz w:val="20"/>
                <w:szCs w:val="20"/>
                <w:color w:val="auto"/>
              </w:rPr>
            </w:pPr>
            <w:r>
              <w:rPr>
                <w:rFonts w:ascii="Arial" w:cs="Arial" w:eastAsia="Arial" w:hAnsi="Arial"/>
                <w:sz w:val="18"/>
                <w:szCs w:val="18"/>
                <w:color w:val="auto"/>
              </w:rPr>
              <w:t>Defense Systems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4,398</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4,292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5,626</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(1,230)</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4,396</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7,613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c>
          <w:tcPr>
            <w:tcW w:w="0" w:type="dxa"/>
            <w:vAlign w:val="bottom"/>
          </w:tcPr>
          <w:p>
            <w:pPr>
              <w:spacing w:after="0"/>
              <w:rPr>
                <w:sz w:val="1"/>
                <w:szCs w:val="1"/>
                <w:color w:val="auto"/>
              </w:rPr>
            </w:pPr>
          </w:p>
        </w:tc>
      </w:tr>
      <w:tr>
        <w:trPr>
          <w:trHeight w:val="230"/>
        </w:trPr>
        <w:tc>
          <w:tcPr>
            <w:tcW w:w="2660" w:type="dxa"/>
            <w:vAlign w:val="bottom"/>
          </w:tcPr>
          <w:p>
            <w:pPr>
              <w:ind w:left="40"/>
              <w:spacing w:after="0"/>
              <w:rPr>
                <w:sz w:val="20"/>
                <w:szCs w:val="20"/>
                <w:color w:val="auto"/>
              </w:rPr>
            </w:pPr>
            <w:r>
              <w:rPr>
                <w:rFonts w:ascii="Arial" w:cs="Arial" w:eastAsia="Arial" w:hAnsi="Arial"/>
                <w:sz w:val="18"/>
                <w:szCs w:val="18"/>
                <w:color w:val="auto"/>
              </w:rPr>
              <w:t>Space Systems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7,950</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7,934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6,194</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6,059</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31 %</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(1,561)</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26,866</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Third quarter 2021 sales decreased $363 million, or 4 percent, due to lower sales at Defense Systems and Missions Systems, principally due to the impact of the IT services divestiture, and lower sales at Aeronautics Systems, partially offset by 22 percent sales growth at Space Systems. Third quarter 2021 sales were affected by the impact of COVID-19 on the broader economic environment, including a tight labor market, elevated levels of employee leave, and supply chain challenges. Third quarter 2021 organic sales increased $239 million, or 3 percent.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Year to date 2021 sales increased $441 million, or 2 percent, primarily due to higher sales at Space Systems and Mission Systems, partially offset by lower sales at Defense Systems, principally due to the impact of the IT services divestiture. Year to date 2021 organic sales increased $2.0 billion, or 8 percent. As a result of the company using a fiscal calendar convention for interim reporting periods (as described in Note 1 to the financial statements), year to date 2021 sales at each sector benefited approximately 2 percent from three additional working days when compared to the prior year period.</w:t>
      </w:r>
    </w:p>
    <w:p>
      <w:pPr>
        <w:spacing w:after="0" w:line="26"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See “Segment Operating Results” below for further information by segment and “Product and Service Analysis” for product and service detail. See Note 9 to the financial statements for information regarding the company’s sales by customer type, contract type and geographic region for each of our segments.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Margin 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Third quarter 2021 operating income increased $58 million, or 6 percent, primarily due to lower unallocated corporate expense, partially offset by a lower FAS/CAS operating adjustment. Third quarter 2021 operating margin rate increased to 12.0 percent reflecting a higher segment operating margin rate in addition to the items above.</w:t>
      </w:r>
    </w:p>
    <w:p>
      <w:pPr>
        <w:spacing w:after="0" w:line="68" w:lineRule="exact"/>
        <w:rPr>
          <w:sz w:val="20"/>
          <w:szCs w:val="20"/>
          <w:color w:val="auto"/>
        </w:rPr>
      </w:pPr>
    </w:p>
    <w:p>
      <w:pPr>
        <w:ind w:right="380"/>
        <w:spacing w:after="0" w:line="334" w:lineRule="auto"/>
        <w:rPr>
          <w:sz w:val="20"/>
          <w:szCs w:val="20"/>
          <w:color w:val="auto"/>
        </w:rPr>
      </w:pPr>
      <w:r>
        <w:rPr>
          <w:rFonts w:ascii="Arial" w:cs="Arial" w:eastAsia="Arial" w:hAnsi="Arial"/>
          <w:sz w:val="16"/>
          <w:szCs w:val="16"/>
          <w:color w:val="auto"/>
        </w:rPr>
        <w:t>Third quarter 2021 general and administrative (G&amp;A) costs as a percentage of sales increased to 10.2 percent from 9.4 percent in the prior year period primarily due to an increase in investments for future business opportunities as well as the timing of indirect cost recognition during the quarter.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Year to date 2021 operating income increased $2.0 billion, or 69 percent, primarily due to the IT services divestiture, including the $2.0 billion pre-tax gain on sale and $192 million of unallocated corporate expense for unallowable state taxes and transaction costs. Operating income also increased due to lower non-divestiture-related unallocated corporate expenses and higher segment operating income, partially offset by a lower FAS/CAS operating adjustment. Year to date 2021 operating margin rate increased to 18.2 percent reflecting the items above.</w:t>
      </w:r>
    </w:p>
    <w:p>
      <w:pPr>
        <w:spacing w:after="0" w:line="5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Year to date 2021 G&amp;A costs as a percentage of sales increased to 10.3 percent from 9.3 percent in the prior year period primarily due to an increase in investments for future business opportunities as well as the timing of indirect cost recognition during the year.</w:t>
      </w:r>
    </w:p>
    <w:p>
      <w:pPr>
        <w:spacing w:after="0" w:line="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“Segment Operating Results” below for further information by segment. For information regarding product and service operating costs and expenses, see “Product and Service Analysis” below.</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third quarter 2021 effective tax rate (ETR) increased to 16.6 percent from 15.5 percent in the prior year period primarily due to lower benefits from foreign-derived intangible income. See Note 3 to the financial statements for additional information.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The year to date 2021 ETR increased to 23.2 percent from 16.5 percent in the prior period primarily due to federal income taxes resulting from the IT services divestiture. See Note 3 to the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earnings to transaction-adjusted net earnings: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310"/>
              <w:spacing w:after="0"/>
              <w:rPr>
                <w:sz w:val="20"/>
                <w:szCs w:val="20"/>
                <w:color w:val="auto"/>
              </w:rPr>
            </w:pPr>
            <w:r>
              <w:rPr>
                <w:rFonts w:ascii="Arial" w:cs="Arial" w:eastAsia="Arial" w:hAnsi="Arial"/>
                <w:sz w:val="18"/>
                <w:szCs w:val="18"/>
                <w:color w:val="auto"/>
                <w:w w:val="98"/>
              </w:rPr>
              <w:t>Three Months Ended</w:t>
            </w:r>
          </w:p>
        </w:tc>
        <w:tc>
          <w:tcPr>
            <w:tcW w:w="820" w:type="dxa"/>
            <w:vAlign w:val="bottom"/>
            <w:vMerge w:val="restart"/>
          </w:tcPr>
          <w:p>
            <w:pPr>
              <w:jc w:val="center"/>
              <w:ind w:left="31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7"/>
                <w:szCs w:val="17"/>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color w:val="auto"/>
                <w:w w:val="90"/>
              </w:rPr>
              <w:t>Nine Months Ended September</w:t>
            </w: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September 30</w:t>
            </w:r>
          </w:p>
        </w:tc>
        <w:tc>
          <w:tcPr>
            <w:tcW w:w="8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30</w:t>
            </w:r>
          </w:p>
        </w:tc>
        <w:tc>
          <w:tcPr>
            <w:tcW w:w="920" w:type="dxa"/>
            <w:vAlign w:val="bottom"/>
            <w:tcBorders>
              <w:bottom w:val="single" w:sz="8" w:color="auto"/>
            </w:tcBorders>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986</w:t>
            </w: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8 %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2,859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50 %</w:t>
            </w: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8"/>
                <w:szCs w:val="18"/>
                <w:color w:val="auto"/>
              </w:rPr>
              <w:t>Gain on sale of business</w:t>
            </w: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10"/>
              <w:spacing w:after="0"/>
              <w:rPr>
                <w:sz w:val="20"/>
                <w:szCs w:val="20"/>
                <w:color w:val="auto"/>
              </w:rPr>
            </w:pPr>
            <w:r>
              <w:rPr>
                <w:rFonts w:ascii="Arial" w:cs="Arial" w:eastAsia="Arial" w:hAnsi="Arial"/>
                <w:sz w:val="18"/>
                <w:szCs w:val="18"/>
                <w:b w:val="1"/>
                <w:bCs w:val="1"/>
                <w:color w:val="auto"/>
              </w:rPr>
              <w:t>NM</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(1,980)</w:t>
            </w:r>
          </w:p>
        </w:tc>
        <w:tc>
          <w:tcPr>
            <w:tcW w:w="34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State tax impact</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10"/>
              <w:spacing w:after="0"/>
              <w:rPr>
                <w:sz w:val="20"/>
                <w:szCs w:val="20"/>
                <w:color w:val="auto"/>
              </w:rPr>
            </w:pPr>
            <w:r>
              <w:rPr>
                <w:rFonts w:ascii="Arial" w:cs="Arial" w:eastAsia="Arial" w:hAnsi="Arial"/>
                <w:sz w:val="18"/>
                <w:szCs w:val="18"/>
                <w:b w:val="1"/>
                <w:bCs w:val="1"/>
                <w:color w:val="auto"/>
              </w:rPr>
              <w:t>NM</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8"/>
                <w:szCs w:val="18"/>
                <w:color w:val="auto"/>
              </w:rPr>
              <w:t>Transaction costs</w:t>
            </w: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10"/>
              <w:spacing w:after="0"/>
              <w:rPr>
                <w:sz w:val="20"/>
                <w:szCs w:val="20"/>
                <w:color w:val="auto"/>
              </w:rPr>
            </w:pPr>
            <w:r>
              <w:rPr>
                <w:rFonts w:ascii="Arial" w:cs="Arial" w:eastAsia="Arial" w:hAnsi="Arial"/>
                <w:sz w:val="18"/>
                <w:szCs w:val="18"/>
                <w:b w:val="1"/>
                <w:bCs w:val="1"/>
                <w:color w:val="auto"/>
              </w:rPr>
              <w:t>NM</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34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Make-whole premium</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10"/>
              <w:spacing w:after="0"/>
              <w:rPr>
                <w:sz w:val="20"/>
                <w:szCs w:val="20"/>
                <w:color w:val="auto"/>
              </w:rPr>
            </w:pPr>
            <w:r>
              <w:rPr>
                <w:rFonts w:ascii="Arial" w:cs="Arial" w:eastAsia="Arial" w:hAnsi="Arial"/>
                <w:sz w:val="18"/>
                <w:szCs w:val="18"/>
                <w:b w:val="1"/>
                <w:bCs w:val="1"/>
                <w:color w:val="auto"/>
              </w:rPr>
              <w:t>NM</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Federal tax impact of items above</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rPr>
              <w:t>NM</w:t>
            </w: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Adjustment, net of tax</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b w:val="1"/>
                <w:bCs w:val="1"/>
                <w:color w:val="auto"/>
              </w:rPr>
              <w:t>NM</w:t>
            </w: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(1,120)</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Transaction-adjusted net earnings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1,063</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986</w:t>
            </w:r>
          </w:p>
        </w:tc>
        <w:tc>
          <w:tcPr>
            <w:tcW w:w="8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8 %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3,175</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2,859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b w:val="1"/>
          <w:bCs w:val="1"/>
          <w:color w:val="auto"/>
          <w:vertAlign w:val="superscript"/>
        </w:rPr>
      </w:pPr>
      <w:r>
        <w:rPr>
          <w:rFonts w:ascii="Arial" w:cs="Arial" w:eastAsia="Arial" w:hAnsi="Arial"/>
          <w:sz w:val="14"/>
          <w:szCs w:val="14"/>
          <w:color w:val="auto"/>
        </w:rPr>
        <w:t>The state tax impact includes $62 million of incremental tax expense related to $1.2 billion of nondeductible goodwill in the divested business.</w:t>
      </w:r>
    </w:p>
    <w:p>
      <w:pPr>
        <w:spacing w:after="0" w:line="68" w:lineRule="exact"/>
        <w:rPr>
          <w:rFonts w:ascii="Arial" w:cs="Arial" w:eastAsia="Arial" w:hAnsi="Arial"/>
          <w:sz w:val="18"/>
          <w:szCs w:val="18"/>
          <w:b w:val="1"/>
          <w:bCs w:val="1"/>
          <w:color w:val="auto"/>
          <w:vertAlign w:val="superscript"/>
        </w:rPr>
      </w:pPr>
    </w:p>
    <w:p>
      <w:pPr>
        <w:ind w:left="180" w:right="120" w:hanging="172"/>
        <w:spacing w:after="0" w:line="231" w:lineRule="auto"/>
        <w:tabs>
          <w:tab w:leader="none" w:pos="168" w:val="left"/>
        </w:tabs>
        <w:numPr>
          <w:ilvl w:val="0"/>
          <w:numId w:val="9"/>
        </w:numPr>
        <w:rPr>
          <w:rFonts w:ascii="Arial" w:cs="Arial" w:eastAsia="Arial" w:hAnsi="Arial"/>
          <w:sz w:val="19"/>
          <w:szCs w:val="19"/>
          <w:b w:val="1"/>
          <w:bCs w:val="1"/>
          <w:color w:val="auto"/>
          <w:vertAlign w:val="superscript"/>
        </w:rPr>
      </w:pPr>
      <w:r>
        <w:rPr>
          <w:rFonts w:ascii="Arial" w:cs="Arial" w:eastAsia="Arial" w:hAnsi="Arial"/>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Third quarter 2021 net earnings increased $77 million, or 8 percent, primarily due to an increase in non-operating FAS pension benefit and higher operating income, partially offset by an increase in income tax expense.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Year to date 2021 net earnings increased $1.4 billion, or 50 percent, primarily due to the IT services divestiture. Transaction-adjusted net earnings increased $316 million or 11 percent, primarily due to higher segment operating income and an increase in non-operating FAS pension benefit, partially offset by an increase in income tax expense.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diluted earnings per share to transaction-adjusted EPS: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tcPr>
          <w:p>
            <w:pPr>
              <w:ind w:left="100"/>
              <w:spacing w:after="0"/>
              <w:rPr>
                <w:sz w:val="20"/>
                <w:szCs w:val="20"/>
                <w:color w:val="auto"/>
              </w:rPr>
            </w:pPr>
            <w:r>
              <w:rPr>
                <w:rFonts w:ascii="Arial" w:cs="Arial" w:eastAsia="Arial" w:hAnsi="Arial"/>
                <w:sz w:val="18"/>
                <w:szCs w:val="18"/>
                <w:color w:val="auto"/>
              </w:rPr>
              <w:t>Three Months Ended</w:t>
            </w: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900" w:type="dxa"/>
            <w:vAlign w:val="bottom"/>
            <w:gridSpan w:val="3"/>
          </w:tcPr>
          <w:p>
            <w:pPr>
              <w:jc w:val="right"/>
              <w:ind w:right="230"/>
              <w:spacing w:after="0"/>
              <w:rPr>
                <w:sz w:val="20"/>
                <w:szCs w:val="20"/>
                <w:color w:val="auto"/>
              </w:rPr>
            </w:pPr>
            <w:r>
              <w:rPr>
                <w:rFonts w:ascii="Arial" w:cs="Arial" w:eastAsia="Arial" w:hAnsi="Arial"/>
                <w:sz w:val="18"/>
                <w:szCs w:val="18"/>
                <w:color w:val="auto"/>
                <w:w w:val="98"/>
              </w:rPr>
              <w:t>Nine Months Ended</w:t>
            </w: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September 30</w:t>
            </w:r>
          </w:p>
        </w:tc>
        <w:tc>
          <w:tcPr>
            <w:tcW w:w="112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September 30</w:t>
            </w: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5.89</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13 % $</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17.05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56 %</w:t>
            </w: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Gain on sale of business per share</w:t>
            </w: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NM</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(12.24)</w:t>
            </w:r>
          </w:p>
        </w:tc>
        <w:tc>
          <w:tcPr>
            <w:tcW w:w="26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State tax impact per share</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rPr>
              <w:t>NM</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0.99</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Transaction costs per share</w:t>
            </w: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NM</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0.20</w:t>
            </w:r>
          </w:p>
        </w:tc>
        <w:tc>
          <w:tcPr>
            <w:tcW w:w="26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Make-whole premium per share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rPr>
              <w:t>NM</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Federal tax impact of line items above per share</w:t>
            </w:r>
            <w:r>
              <w:rPr>
                <w:rFonts w:ascii="Arial" w:cs="Arial" w:eastAsia="Arial" w:hAnsi="Arial"/>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rPr>
              <w:t>NM</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3.79</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Adjustment, net of tax per share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NM$</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Transaction-adjusted EPS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6.63</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5.89</w:t>
            </w: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13 % $</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19.62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17.05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b w:val="1"/>
          <w:bCs w:val="1"/>
          <w:color w:val="auto"/>
          <w:vertAlign w:val="superscript"/>
        </w:rPr>
      </w:pPr>
      <w:r>
        <w:rPr>
          <w:rFonts w:ascii="Arial" w:cs="Arial" w:eastAsia="Arial" w:hAnsi="Arial"/>
          <w:sz w:val="14"/>
          <w:szCs w:val="14"/>
          <w:color w:val="auto"/>
        </w:rPr>
        <w:t>The state tax impact includes $62 million of incremental tax expense related to $1.2 billion of nondeductible goodwill in the divested business.</w:t>
      </w:r>
    </w:p>
    <w:p>
      <w:pPr>
        <w:spacing w:after="0" w:line="55" w:lineRule="exact"/>
        <w:rPr>
          <w:rFonts w:ascii="Arial" w:cs="Arial" w:eastAsia="Arial" w:hAnsi="Arial"/>
          <w:sz w:val="18"/>
          <w:szCs w:val="18"/>
          <w:b w:val="1"/>
          <w:bCs w:val="1"/>
          <w:color w:val="auto"/>
          <w:vertAlign w:val="superscript"/>
        </w:rPr>
      </w:pPr>
    </w:p>
    <w:p>
      <w:pPr>
        <w:ind w:left="180" w:right="120" w:hanging="172"/>
        <w:spacing w:after="0" w:line="231" w:lineRule="auto"/>
        <w:tabs>
          <w:tab w:leader="none" w:pos="168" w:val="left"/>
        </w:tabs>
        <w:numPr>
          <w:ilvl w:val="0"/>
          <w:numId w:val="10"/>
        </w:numPr>
        <w:rPr>
          <w:rFonts w:ascii="Arial" w:cs="Arial" w:eastAsia="Arial" w:hAnsi="Arial"/>
          <w:sz w:val="19"/>
          <w:szCs w:val="19"/>
          <w:b w:val="1"/>
          <w:bCs w:val="1"/>
          <w:color w:val="auto"/>
          <w:vertAlign w:val="superscript"/>
        </w:rPr>
      </w:pPr>
      <w:r>
        <w:rPr>
          <w:rFonts w:ascii="Arial" w:cs="Arial" w:eastAsia="Arial" w:hAnsi="Arial"/>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Third quarter 2021 diluted earnings per share increased 13 percent, reflecting an 8 percent increase in net earnings and a 4 percent reduction in weighted-average diluted shares outstanding.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Year to date 2021 diluted earnings per share increased 56 percent, principally due to a $6.93 increase associated with the IT services divestiture. Transaction-adjusted earnings per share increased $2.57, or 15 percent, reflecting an 11 percent increase in transaction-adjusted net earnings and a 4 percent reduction in weighted-average diluted shares outstanding.</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company is aligned in four operating sectors, which also comprise our reportable segments: Aeronautics Systems, Defense Systems, Mission Systems and Space Systems. We present our sectors in the following business areas, which are reported in a manner reflecting core capabilities: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Aeronautics Systems</w:t>
            </w:r>
          </w:p>
        </w:tc>
        <w:tc>
          <w:tcPr>
            <w:tcW w:w="28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5"/>
              </w:rPr>
              <w:t>Defense Systems</w:t>
            </w: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Mission Systems</w:t>
            </w: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Space Systems</w:t>
            </w:r>
          </w:p>
        </w:tc>
        <w:tc>
          <w:tcPr>
            <w:tcW w:w="0" w:type="dxa"/>
            <w:vAlign w:val="bottom"/>
          </w:tcPr>
          <w:p>
            <w:pPr>
              <w:spacing w:after="0"/>
              <w:rPr>
                <w:sz w:val="1"/>
                <w:szCs w:val="1"/>
                <w:color w:val="auto"/>
              </w:rPr>
            </w:pPr>
          </w:p>
        </w:tc>
      </w:tr>
      <w:tr>
        <w:trPr>
          <w:trHeight w:val="169"/>
        </w:trPr>
        <w:tc>
          <w:tcPr>
            <w:tcW w:w="262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Autonomous Systems</w:t>
            </w:r>
          </w:p>
        </w:tc>
        <w:tc>
          <w:tcPr>
            <w:tcW w:w="2880" w:type="dxa"/>
            <w:vAlign w:val="bottom"/>
            <w:shd w:val="clear" w:color="auto" w:fill="CCEEFF"/>
          </w:tcPr>
          <w:p>
            <w:pPr>
              <w:jc w:val="center"/>
              <w:ind w:left="150"/>
              <w:spacing w:after="0" w:line="169" w:lineRule="exact"/>
              <w:rPr>
                <w:sz w:val="20"/>
                <w:szCs w:val="20"/>
                <w:color w:val="auto"/>
              </w:rPr>
            </w:pPr>
            <w:r>
              <w:rPr>
                <w:rFonts w:ascii="Arial" w:cs="Arial" w:eastAsia="Arial" w:hAnsi="Arial"/>
                <w:sz w:val="18"/>
                <w:szCs w:val="18"/>
                <w:color w:val="auto"/>
                <w:w w:val="92"/>
              </w:rPr>
              <w:t>Battle Management &amp; Missile</w:t>
            </w:r>
          </w:p>
        </w:tc>
        <w:tc>
          <w:tcPr>
            <w:tcW w:w="3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Airborne Multifunction Sensors</w:t>
            </w:r>
          </w:p>
        </w:tc>
        <w:tc>
          <w:tcPr>
            <w:tcW w:w="2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Launch &amp; Strategic Missiles</w:t>
            </w:r>
          </w:p>
        </w:tc>
        <w:tc>
          <w:tcPr>
            <w:tcW w:w="0" w:type="dxa"/>
            <w:vAlign w:val="bottom"/>
          </w:tcPr>
          <w:p>
            <w:pPr>
              <w:spacing w:after="0"/>
              <w:rPr>
                <w:sz w:val="1"/>
                <w:szCs w:val="1"/>
                <w:color w:val="auto"/>
              </w:rPr>
            </w:pPr>
          </w:p>
        </w:tc>
      </w:tr>
      <w:tr>
        <w:trPr>
          <w:trHeight w:val="229"/>
        </w:trPr>
        <w:tc>
          <w:tcPr>
            <w:tcW w:w="2620" w:type="dxa"/>
            <w:vAlign w:val="bottom"/>
            <w:vMerge w:val="continue"/>
            <w:shd w:val="clear" w:color="auto" w:fill="CCEEFF"/>
          </w:tcPr>
          <w:p>
            <w:pPr>
              <w:spacing w:after="0"/>
              <w:rPr>
                <w:sz w:val="19"/>
                <w:szCs w:val="19"/>
                <w:color w:val="auto"/>
              </w:rPr>
            </w:pPr>
          </w:p>
        </w:tc>
        <w:tc>
          <w:tcPr>
            <w:tcW w:w="28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6"/>
              </w:rPr>
              <w:t>Systems</w:t>
            </w:r>
          </w:p>
        </w:tc>
        <w:tc>
          <w:tcPr>
            <w:tcW w:w="3040" w:type="dxa"/>
            <w:vAlign w:val="bottom"/>
            <w:vMerge w:val="continue"/>
            <w:shd w:val="clear" w:color="auto" w:fill="CCEEFF"/>
          </w:tcPr>
          <w:p>
            <w:pPr>
              <w:spacing w:after="0"/>
              <w:rPr>
                <w:sz w:val="19"/>
                <w:szCs w:val="19"/>
                <w:color w:val="auto"/>
              </w:rPr>
            </w:pPr>
          </w:p>
        </w:tc>
        <w:tc>
          <w:tcPr>
            <w:tcW w:w="2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jc w:val="center"/>
              <w:ind w:left="10"/>
              <w:spacing w:after="0"/>
              <w:rPr>
                <w:sz w:val="20"/>
                <w:szCs w:val="20"/>
                <w:color w:val="auto"/>
              </w:rPr>
            </w:pPr>
            <w:r>
              <w:rPr>
                <w:rFonts w:ascii="Arial" w:cs="Arial" w:eastAsia="Arial" w:hAnsi="Arial"/>
                <w:sz w:val="18"/>
                <w:szCs w:val="18"/>
                <w:color w:val="auto"/>
                <w:w w:val="94"/>
              </w:rPr>
              <w:t>Manned Aircraft</w:t>
            </w:r>
          </w:p>
        </w:tc>
        <w:tc>
          <w:tcPr>
            <w:tcW w:w="2880" w:type="dxa"/>
            <w:vAlign w:val="bottom"/>
          </w:tcPr>
          <w:p>
            <w:pPr>
              <w:jc w:val="center"/>
              <w:ind w:left="150"/>
              <w:spacing w:after="0"/>
              <w:rPr>
                <w:sz w:val="20"/>
                <w:szCs w:val="20"/>
                <w:color w:val="auto"/>
              </w:rPr>
            </w:pPr>
            <w:r>
              <w:rPr>
                <w:rFonts w:ascii="Arial" w:cs="Arial" w:eastAsia="Arial" w:hAnsi="Arial"/>
                <w:sz w:val="18"/>
                <w:szCs w:val="18"/>
                <w:color w:val="auto"/>
                <w:w w:val="90"/>
              </w:rPr>
              <w:t>Mission Readiness</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Maritime/Land Systems &amp; Sensors</w:t>
            </w:r>
          </w:p>
        </w:tc>
        <w:tc>
          <w:tcPr>
            <w:tcW w:w="2680" w:type="dxa"/>
            <w:vAlign w:val="bottom"/>
          </w:tcPr>
          <w:p>
            <w:pPr>
              <w:jc w:val="center"/>
              <w:spacing w:after="0"/>
              <w:rPr>
                <w:sz w:val="20"/>
                <w:szCs w:val="20"/>
                <w:color w:val="auto"/>
              </w:rPr>
            </w:pPr>
            <w:r>
              <w:rPr>
                <w:rFonts w:ascii="Arial" w:cs="Arial" w:eastAsia="Arial" w:hAnsi="Arial"/>
                <w:sz w:val="18"/>
                <w:szCs w:val="18"/>
                <w:color w:val="auto"/>
                <w:w w:val="82"/>
              </w:rPr>
              <w:t>Space</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Navigation, Targeting &amp;</w:t>
            </w:r>
          </w:p>
        </w:tc>
        <w:tc>
          <w:tcPr>
            <w:tcW w:w="2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Survivability</w:t>
            </w:r>
          </w:p>
        </w:tc>
        <w:tc>
          <w:tcPr>
            <w:tcW w:w="2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Networked Information Solutions</w:t>
            </w:r>
          </w:p>
        </w:tc>
        <w:tc>
          <w:tcPr>
            <w:tcW w:w="2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Effective during the first quarter of 2021 within Mission Systems, the businesses of the former Cyber &amp; Intelligence Mission Solutions business area that remained with Northrop Grumman after the IT services divestiture were merged with the Communications business unit and F-35 Communications, Navigation and Identification programs within the former Airborne, Sensors &amp; Networks business area to form the Networked Information Solutions business area. The Airborne Sensors &amp; Networks business area was then renamed the Airborne Multifunction Sensors business area to better reflect its new portfolio. This change had no impact on the segment operating results of Mission Systems as a whole.</w:t>
      </w:r>
    </w:p>
    <w:p>
      <w:pPr>
        <w:spacing w:after="0" w:line="5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Segment operating income, as reconciled in the table below, and segment operating margin rate (segment operating income divided by sales) are non-GAAP (accounting principles generally accepted in the United States of America) measures that reflect total earnings from our four segments, including allocated pension expense we have recognized under the Federal Acquisition Regulation (FAR) and the related U.S. Government Cost Accounting Standards (CAS), and excluding FAS pension service expense and unallocated corporate items (certain corporate-level expenses, which are not considered allowable or allocable under requirements in the applicable CAS or FAR,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2380" w:type="dxa"/>
            <w:vAlign w:val="bottom"/>
            <w:gridSpan w:val="4"/>
          </w:tcPr>
          <w:p>
            <w:pPr>
              <w:ind w:left="20"/>
              <w:spacing w:after="0"/>
              <w:rPr>
                <w:sz w:val="20"/>
                <w:szCs w:val="20"/>
                <w:color w:val="auto"/>
              </w:rPr>
            </w:pPr>
            <w:r>
              <w:rPr>
                <w:rFonts w:ascii="Arial" w:cs="Arial" w:eastAsia="Arial" w:hAnsi="Arial"/>
                <w:sz w:val="18"/>
                <w:szCs w:val="18"/>
                <w:color w:val="auto"/>
                <w:w w:val="89"/>
              </w:rPr>
              <w:t>Three Months Ended September</w:t>
            </w:r>
          </w:p>
        </w:tc>
        <w:tc>
          <w:tcPr>
            <w:tcW w:w="14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w:t>
            </w: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w w:val="91"/>
              </w:rPr>
              <w:t>Nine Months Ended September</w:t>
            </w: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19"/>
                <w:szCs w:val="19"/>
                <w:color w:val="auto"/>
              </w:rPr>
            </w:pPr>
          </w:p>
        </w:tc>
        <w:tc>
          <w:tcPr>
            <w:tcW w:w="142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1,035</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1,049</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3,247</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3,047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i w:val="1"/>
                <w:iCs w:val="1"/>
                <w:color w:val="auto"/>
              </w:rPr>
              <w:t>Segment operating margin rate</w:t>
            </w:r>
          </w:p>
        </w:tc>
        <w:tc>
          <w:tcPr>
            <w:tcW w:w="240" w:type="dxa"/>
            <w:vAlign w:val="bottom"/>
          </w:tcPr>
          <w:p>
            <w:pPr>
              <w:spacing w:after="0"/>
              <w:rPr>
                <w:sz w:val="19"/>
                <w:szCs w:val="19"/>
                <w:color w:val="auto"/>
              </w:rPr>
            </w:pPr>
          </w:p>
        </w:tc>
        <w:tc>
          <w:tcPr>
            <w:tcW w:w="1260" w:type="dxa"/>
            <w:vAlign w:val="bottom"/>
            <w:gridSpan w:val="2"/>
          </w:tcPr>
          <w:p>
            <w:pPr>
              <w:jc w:val="right"/>
              <w:ind w:right="310"/>
              <w:spacing w:after="0"/>
              <w:rPr>
                <w:sz w:val="20"/>
                <w:szCs w:val="20"/>
                <w:color w:val="auto"/>
              </w:rPr>
            </w:pPr>
            <w:r>
              <w:rPr>
                <w:rFonts w:ascii="Arial" w:cs="Arial" w:eastAsia="Arial" w:hAnsi="Arial"/>
                <w:sz w:val="18"/>
                <w:szCs w:val="18"/>
                <w:b w:val="1"/>
                <w:bCs w:val="1"/>
                <w:i w:val="1"/>
                <w:iCs w:val="1"/>
                <w:color w:val="auto"/>
              </w:rPr>
              <w:t>11.9 %</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11.5 %</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90"/>
              <w:spacing w:after="0"/>
              <w:rPr>
                <w:sz w:val="20"/>
                <w:szCs w:val="20"/>
                <w:color w:val="auto"/>
              </w:rPr>
            </w:pPr>
            <w:r>
              <w:rPr>
                <w:rFonts w:ascii="Arial" w:cs="Arial" w:eastAsia="Arial" w:hAnsi="Arial"/>
                <w:sz w:val="18"/>
                <w:szCs w:val="18"/>
                <w:b w:val="1"/>
                <w:bCs w:val="1"/>
                <w:i w:val="1"/>
                <w:iCs w:val="1"/>
                <w:color w:val="auto"/>
              </w:rPr>
              <w:t>12.0 %</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11.5 %</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 pension expense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210</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409</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FAS pension service expense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(102)</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2 %</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108</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(44)%</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30"/>
        </w:trPr>
        <w:tc>
          <w:tcPr>
            <w:tcW w:w="3760" w:type="dxa"/>
            <w:vAlign w:val="bottom"/>
          </w:tcPr>
          <w:p>
            <w:pPr>
              <w:ind w:left="220"/>
              <w:spacing w:after="0"/>
              <w:rPr>
                <w:sz w:val="20"/>
                <w:szCs w:val="20"/>
                <w:color w:val="auto"/>
              </w:rPr>
            </w:pPr>
            <w:r>
              <w:rPr>
                <w:rFonts w:ascii="Arial" w:cs="Arial" w:eastAsia="Arial" w:hAnsi="Arial"/>
                <w:sz w:val="18"/>
                <w:szCs w:val="18"/>
                <w:color w:val="auto"/>
              </w:rPr>
              <w:t>Gain on sale of business</w:t>
            </w:r>
          </w:p>
        </w:tc>
        <w:tc>
          <w:tcPr>
            <w:tcW w:w="2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1,980</w:t>
            </w:r>
          </w:p>
        </w:tc>
        <w:tc>
          <w:tcPr>
            <w:tcW w:w="4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IT services divestiture – unallowable state taxes</w:t>
            </w: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NM</w:t>
            </w: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4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transaction costs</w:t>
            </w:r>
          </w:p>
        </w:tc>
        <w:tc>
          <w:tcPr>
            <w:tcW w:w="2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220"/>
              <w:spacing w:after="0" w:line="176" w:lineRule="exact"/>
              <w:rPr>
                <w:sz w:val="20"/>
                <w:szCs w:val="20"/>
                <w:color w:val="auto"/>
              </w:rPr>
            </w:pPr>
            <w:r>
              <w:rPr>
                <w:rFonts w:ascii="Arial" w:cs="Arial" w:eastAsia="Arial" w:hAnsi="Arial"/>
                <w:sz w:val="18"/>
                <w:szCs w:val="18"/>
                <w:color w:val="auto"/>
                <w:w w:val="92"/>
              </w:rPr>
              <w:t>Intangible asset amortization and PP&amp;E step-up</w:t>
            </w: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w:t>
            </w:r>
          </w:p>
        </w:tc>
        <w:tc>
          <w:tcPr>
            <w:tcW w:w="480" w:type="dxa"/>
            <w:vAlign w:val="bottom"/>
          </w:tcPr>
          <w:p>
            <w:pPr>
              <w:spacing w:after="0"/>
              <w:rPr>
                <w:sz w:val="15"/>
                <w:szCs w:val="15"/>
                <w:color w:val="auto"/>
              </w:rPr>
            </w:pPr>
          </w:p>
        </w:tc>
        <w:tc>
          <w:tcPr>
            <w:tcW w:w="880" w:type="dxa"/>
            <w:vAlign w:val="bottom"/>
            <w:vMerge w:val="restart"/>
          </w:tcPr>
          <w:p>
            <w:pPr>
              <w:jc w:val="right"/>
              <w:ind w:right="90"/>
              <w:spacing w:after="0"/>
              <w:rPr>
                <w:sz w:val="20"/>
                <w:szCs w:val="20"/>
                <w:color w:val="auto"/>
              </w:rPr>
            </w:pPr>
            <w:r>
              <w:rPr>
                <w:rFonts w:ascii="Arial" w:cs="Arial" w:eastAsia="Arial" w:hAnsi="Arial"/>
                <w:sz w:val="18"/>
                <w:szCs w:val="18"/>
                <w:color w:val="auto"/>
              </w:rPr>
              <w:t>(81)</w:t>
            </w:r>
          </w:p>
        </w:tc>
        <w:tc>
          <w:tcPr>
            <w:tcW w:w="1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(23)%</w:t>
            </w: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(191)</w:t>
            </w:r>
          </w:p>
        </w:tc>
        <w:tc>
          <w:tcPr>
            <w:tcW w:w="480" w:type="dxa"/>
            <w:vAlign w:val="bottom"/>
          </w:tcPr>
          <w:p>
            <w:pPr>
              <w:spacing w:after="0"/>
              <w:rPr>
                <w:sz w:val="15"/>
                <w:szCs w:val="15"/>
                <w:color w:val="auto"/>
              </w:rPr>
            </w:pPr>
          </w:p>
        </w:tc>
        <w:tc>
          <w:tcPr>
            <w:tcW w:w="880" w:type="dxa"/>
            <w:vAlign w:val="bottom"/>
            <w:vMerge w:val="restart"/>
          </w:tcPr>
          <w:p>
            <w:pPr>
              <w:jc w:val="right"/>
              <w:ind w:right="90"/>
              <w:spacing w:after="0"/>
              <w:rPr>
                <w:sz w:val="20"/>
                <w:szCs w:val="20"/>
                <w:color w:val="auto"/>
              </w:rPr>
            </w:pPr>
            <w:r>
              <w:rPr>
                <w:rFonts w:ascii="Arial" w:cs="Arial" w:eastAsia="Arial" w:hAnsi="Arial"/>
                <w:sz w:val="18"/>
                <w:szCs w:val="18"/>
                <w:color w:val="auto"/>
              </w:rPr>
              <w:t>(240)</w:t>
            </w: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30"/>
        </w:trPr>
        <w:tc>
          <w:tcPr>
            <w:tcW w:w="37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unallocated corporate expense</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(91)</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(110)%</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Unallocated corporate (expense) income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(172)</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(69)%</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1,564</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1,043</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985</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6 %</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4,909</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2,913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69 %</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Third quarter 2021 segment operating income decreased $14 million, or 1 percent, due to lower sales, partially offset by a higher segment operating margin rate. Third quarter 2020 segment operating income from the IT services business was $69 million. Lower operating income at Defense Systems, principally due to the impact of the IT services divestiture, and Aeronautics Systems was partially offset by higher operating income at Space Systems. Segment operating margin rate increased to 11.9 percent from 11.5 percent due to higher operating margin rates at Mission Systems, Defense Systems and Space Systems, partially offset by a lower operating margin rate at Aeronautics Systems.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Year to date 2021 segment operating income increased $200 million, or 7 percent, due to higher sales and a higher segment operating margin rate. Higher operating income at Space Systems and Mission Systems was partially offset by lower operating income at Defense Systems due to the impact of the IT services divestiture. Year to date 2021 segment operating income from the IT services business was $20 million as compared to $180 million in the prior year period. Year to date 2021 segment operating income includes a first quarter 2021 benefit of approximately $100 million due to the impact of lower overhead rates on the company’s fixed price contracts. The lower projected overhead rates were principally driven by a reduction in projected CAS pension costs as well as operational performance at the sectors, which more than offset lower business base due to the IT services divestiture. Segment operating margin rate increased to 12.0 percent from 11.5 percent and reflects higher operating margin rates at all four sectors largely as a result of the items discussed above.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FAS/CAS Operating Adjustment</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Third quarter 2021 and year to date 2021 FAS/CAS operating adjustment decreased primarily due to lower CAS pension expense resulting from favorable plan asset returns in 2020 and changes in certain CAS actuarial assumptions as of December 31, 2020. Third quarter 2021 CAS pension expense also reflects a $44 million benefit from updated demographic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 (Expense)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decrease in third quarter 2021 unallocated corporate expense is due, in part, to a $60 million benefit from insurance settlements related to shareholder litigation involving the former Orbital ATK prior to the company’s acquisition, that was resolved in June 2019. Unallocated corporate expense also</w:t>
      </w:r>
    </w:p>
    <w:p>
      <w:pPr>
        <w:spacing w:after="0" w:line="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decreased due to a change in deferred state income taxes related to our methods of timing of revenue recognition and related costs as well as lower intangible asset amortization and PP&amp;E step-up depreciation.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The increase in year to date 2021 unallocated corporate (expense) income is primarily due to a $2.0 billion pre-tax gain on the sale of our IT services business, partially offset by $192 million of unallowable state taxes and transaction costs associated with the divestiture. Unallocated corporate (expense) income also increased due to the current quarter items described above, as well as a net increase in deferred state tax assets related to certain state tax legislation adopted in 2020 that places temporary limitations on tax credits and a change in tax revenue recognition on certain contracts.</w:t>
      </w:r>
    </w:p>
    <w:p>
      <w:pPr>
        <w:spacing w:after="0" w:line="4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Net EAC Adjustments </w:t>
      </w:r>
      <w:r>
        <w:rPr>
          <w:rFonts w:ascii="Arial" w:cs="Arial" w:eastAsia="Arial" w:hAnsi="Arial"/>
          <w:sz w:val="18"/>
          <w:szCs w:val="18"/>
          <w:color w:val="auto"/>
        </w:rPr>
        <w:t>- We record changes in estimated contract earnings at completion (net EAC adjustments) using the cumulative catch-up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Net EAC adjustments can have a significant effect on reported sales and operating income and the aggregate amounts are presented in the table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ind w:left="14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7"/>
                <w:szCs w:val="17"/>
                <w:color w:val="auto"/>
              </w:rPr>
            </w:pPr>
          </w:p>
        </w:tc>
        <w:tc>
          <w:tcPr>
            <w:tcW w:w="2020" w:type="dxa"/>
            <w:vAlign w:val="bottom"/>
            <w:gridSpan w:val="3"/>
          </w:tcPr>
          <w:p>
            <w:pPr>
              <w:jc w:val="center"/>
              <w:ind w:right="150"/>
              <w:spacing w:after="0"/>
              <w:rPr>
                <w:sz w:val="20"/>
                <w:szCs w:val="20"/>
                <w:color w:val="auto"/>
              </w:rPr>
            </w:pPr>
            <w:r>
              <w:rPr>
                <w:rFonts w:ascii="Arial" w:cs="Arial" w:eastAsia="Arial" w:hAnsi="Arial"/>
                <w:sz w:val="18"/>
                <w:szCs w:val="18"/>
                <w:color w:val="auto"/>
                <w:w w:val="92"/>
              </w:rPr>
              <w:t>Nine Months Ended</w:t>
            </w:r>
          </w:p>
        </w:tc>
      </w:tr>
      <w:tr>
        <w:trPr>
          <w:trHeight w:val="229"/>
        </w:trPr>
        <w:tc>
          <w:tcPr>
            <w:tcW w:w="6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September 30</w:t>
            </w:r>
          </w:p>
        </w:tc>
        <w:tc>
          <w:tcPr>
            <w:tcW w:w="3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88"/>
              </w:rPr>
              <w:t>September 30</w:t>
            </w: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Favorable EAC adjustments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30"/>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Unfavorable EAC adjustments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(164)</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EAC adjustments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392"/>
        </w:trPr>
        <w:tc>
          <w:tcPr>
            <w:tcW w:w="6600" w:type="dxa"/>
            <w:vAlign w:val="bottom"/>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6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3"/>
          </w:tcPr>
          <w:p>
            <w:pPr>
              <w:ind w:left="14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4"/>
                <w:szCs w:val="24"/>
                <w:color w:val="auto"/>
              </w:rPr>
            </w:pPr>
          </w:p>
        </w:tc>
        <w:tc>
          <w:tcPr>
            <w:tcW w:w="2020" w:type="dxa"/>
            <w:vAlign w:val="bottom"/>
            <w:gridSpan w:val="3"/>
          </w:tcPr>
          <w:p>
            <w:pPr>
              <w:jc w:val="center"/>
              <w:ind w:right="150"/>
              <w:spacing w:after="0"/>
              <w:rPr>
                <w:sz w:val="20"/>
                <w:szCs w:val="20"/>
                <w:color w:val="auto"/>
              </w:rPr>
            </w:pPr>
            <w:r>
              <w:rPr>
                <w:rFonts w:ascii="Arial" w:cs="Arial" w:eastAsia="Arial" w:hAnsi="Arial"/>
                <w:sz w:val="18"/>
                <w:szCs w:val="18"/>
                <w:color w:val="auto"/>
                <w:w w:val="92"/>
              </w:rPr>
              <w:t>Nine Months Ended</w:t>
            </w:r>
          </w:p>
        </w:tc>
      </w:tr>
      <w:tr>
        <w:trPr>
          <w:trHeight w:val="229"/>
        </w:trPr>
        <w:tc>
          <w:tcPr>
            <w:tcW w:w="6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September 30</w:t>
            </w:r>
          </w:p>
        </w:tc>
        <w:tc>
          <w:tcPr>
            <w:tcW w:w="3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88"/>
              </w:rPr>
              <w:t>September 30</w:t>
            </w: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37</w:t>
            </w:r>
          </w:p>
        </w:tc>
        <w:tc>
          <w:tcPr>
            <w:tcW w:w="2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95</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192</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Space Systems</w:t>
            </w: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33</w:t>
            </w:r>
          </w:p>
        </w:tc>
        <w:tc>
          <w:tcPr>
            <w:tcW w:w="2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103</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EAC adjustments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109</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r>
    </w:tbl>
    <w:p>
      <w:pPr>
        <w:spacing w:after="0" w:line="16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40" w:type="dxa"/>
            <w:vAlign w:val="bottom"/>
          </w:tcPr>
          <w:p>
            <w:pPr>
              <w:spacing w:after="0"/>
              <w:rPr>
                <w:sz w:val="18"/>
                <w:szCs w:val="18"/>
                <w:color w:val="auto"/>
              </w:rPr>
            </w:pPr>
          </w:p>
        </w:tc>
        <w:tc>
          <w:tcPr>
            <w:tcW w:w="2120" w:type="dxa"/>
            <w:vAlign w:val="bottom"/>
            <w:gridSpan w:val="3"/>
          </w:tcPr>
          <w:p>
            <w:pPr>
              <w:jc w:val="right"/>
              <w:ind w:right="330"/>
              <w:spacing w:after="0"/>
              <w:rPr>
                <w:sz w:val="20"/>
                <w:szCs w:val="20"/>
                <w:color w:val="auto"/>
              </w:rPr>
            </w:pPr>
            <w:r>
              <w:rPr>
                <w:rFonts w:ascii="Arial" w:cs="Arial" w:eastAsia="Arial" w:hAnsi="Arial"/>
                <w:sz w:val="18"/>
                <w:szCs w:val="18"/>
                <w:color w:val="auto"/>
                <w:w w:val="99"/>
              </w:rPr>
              <w:t>Three Months Ended</w:t>
            </w:r>
          </w:p>
        </w:tc>
        <w:tc>
          <w:tcPr>
            <w:tcW w:w="13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w w:val="91"/>
              </w:rPr>
              <w:t>Nine Months Ended September</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September 30</w:t>
            </w:r>
          </w:p>
        </w:tc>
        <w:tc>
          <w:tcPr>
            <w:tcW w:w="138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2,725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2,914</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8,628</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8,682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265</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294</w:t>
            </w: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873</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867</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9.7 %</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10.1 %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b w:val="1"/>
                <w:bCs w:val="1"/>
                <w:i w:val="1"/>
                <w:iCs w:val="1"/>
                <w:color w:val="auto"/>
              </w:rPr>
              <w:t>10.1 %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Third quarter 2021 sales decreased $189 million, or 6 percent, due to lower volume in both Manned Aircraft and Autonomous Systems, including restricted programs, F-35, the B-2 Defensive Management Systems Modernization (DMS) program and certain Global Hawk programs.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Year to date 2021 sales decreased $54 million, or 1 percent, due to lower volume at Autonomous Systems, which was partially offset by higher volume at Manned Aircraft. Lower A350 production activity, and lower volume on B-2 DMS and certain Global Hawk programs, was partially offset by higher volume on E-2 and restricted programs.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Third quarter 2021 operating income decreased $29 million, or 10 percent, due to lower sales and a lower operating margin rate. Operating margin rate decreased to 9.7 percent from 10.1 percent principally due to a $42 million unfavorable EAC adjustment on F-35 due to labor-related production inefficiencies largely driven by COVID-19-related impacts on the labor market and employee leave. This was partially offset by higher net favorable EAC adjustments at Autonomous Systems.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Year to date 2021 operating income was consistent with the prior year period and operating margin rate increased to 10.1 percent from 10.0 percent principally due to higher net favorable EAC adjustments, which were largely driven by the first quarter 2021 reduction in overhead rates, partially offset by the unfavorable F-35 adjustment discussed above.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400" w:type="dxa"/>
            <w:vAlign w:val="bottom"/>
            <w:gridSpan w:val="4"/>
          </w:tcPr>
          <w:p>
            <w:pPr>
              <w:ind w:left="40"/>
              <w:spacing w:after="0"/>
              <w:rPr>
                <w:sz w:val="20"/>
                <w:szCs w:val="20"/>
                <w:color w:val="auto"/>
              </w:rPr>
            </w:pPr>
            <w:r>
              <w:rPr>
                <w:rFonts w:ascii="Arial" w:cs="Arial" w:eastAsia="Arial" w:hAnsi="Arial"/>
                <w:sz w:val="18"/>
                <w:szCs w:val="18"/>
                <w:color w:val="auto"/>
                <w:w w:val="89"/>
              </w:rPr>
              <w:t>Three Months Ended September</w:t>
            </w:r>
          </w:p>
        </w:tc>
        <w:tc>
          <w:tcPr>
            <w:tcW w:w="13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w w:val="91"/>
              </w:rPr>
              <w:t>Nine Months Ended September</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19"/>
                <w:szCs w:val="19"/>
                <w:color w:val="auto"/>
              </w:rPr>
            </w:pPr>
          </w:p>
        </w:tc>
        <w:tc>
          <w:tcPr>
            <w:tcW w:w="138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1,409</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1,859</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4,398</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5,626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175</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217</w:t>
            </w: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(19)%</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529</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632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b w:val="1"/>
                <w:bCs w:val="1"/>
                <w:i w:val="1"/>
                <w:iCs w:val="1"/>
                <w:color w:val="auto"/>
              </w:rPr>
              <w:t>12.4 %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11.7 %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b w:val="1"/>
                <w:bCs w:val="1"/>
                <w:i w:val="1"/>
                <w:iCs w:val="1"/>
                <w:color w:val="auto"/>
              </w:rPr>
              <w:t>12.0 %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11.2 %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Third quarter 2021 sales decreased $450 million, or 24 percent, primarily due to a $425 million reduction in sales related to the IT services divestiture. Third quarter 2021 organic sales decreased $25 million, or 2 percent, principally due to the close-out of the contract at the Army’s Lake City ammunition plant (Lake City), partially offset by higher volume on several Mission Readiness programs, including the U.S. Customs and Border Protection P-3 (CBP P-3) program.</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Year to date 2021 sales decreased $1.2 billion, or 22 percent, primarily due to a $1.1 billion reduction in sales related to the IT services divestiture. Year to date 2021 organic sales decreased $104 million, or 2 percent, principally due to the close-out of Lake City, partially offset by higher volume on several programs including the Guided Missile Launch Rocket System, Republic of Korea Global Hawk Contractor Logistics Support (ROK Global Hawk CLS), CBP P-3, B-2 sustainment and advanced fuzes.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Third quarter 2021 operating income decreased $42 million, or 19 percent, primarily due to the impact of the IT services divestiture. Operating margin rate increased to 12.4 percent from 11.7 percent and reflects improved performance at Battle Management and Missile Systems due to changes in mix as a result of recent contract completions, partially offset by lower net favorable EAC adjustments.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Year to date 2021 operating income decreased $103 million, or 16 percent, primarily due to the impact of the IT services divestiture. Operating margin rate increased to 12.0 percent from 11.2 percent primarily due to improved performance at Battle Management and Missile Systems and lower net favorable EAC adjustments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MISSION SYSTEMS</w:t>
            </w:r>
          </w:p>
        </w:tc>
        <w:tc>
          <w:tcPr>
            <w:tcW w:w="2400" w:type="dxa"/>
            <w:vAlign w:val="bottom"/>
            <w:gridSpan w:val="4"/>
          </w:tcPr>
          <w:p>
            <w:pPr>
              <w:ind w:left="40"/>
              <w:spacing w:after="0"/>
              <w:rPr>
                <w:sz w:val="20"/>
                <w:szCs w:val="20"/>
                <w:color w:val="auto"/>
              </w:rPr>
            </w:pPr>
            <w:r>
              <w:rPr>
                <w:rFonts w:ascii="Arial" w:cs="Arial" w:eastAsia="Arial" w:hAnsi="Arial"/>
                <w:sz w:val="18"/>
                <w:szCs w:val="18"/>
                <w:color w:val="auto"/>
                <w:w w:val="89"/>
              </w:rPr>
              <w:t>Three Months Ended September</w:t>
            </w:r>
          </w:p>
        </w:tc>
        <w:tc>
          <w:tcPr>
            <w:tcW w:w="13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w w:val="91"/>
              </w:rPr>
              <w:t>Nine Months Ended September</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19"/>
                <w:szCs w:val="19"/>
                <w:color w:val="auto"/>
              </w:rPr>
            </w:pPr>
          </w:p>
        </w:tc>
        <w:tc>
          <w:tcPr>
            <w:tcW w:w="138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2,436</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2,551</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7,613</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7,344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372</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370</w:t>
            </w: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1 %</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1,177</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1,070</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b w:val="1"/>
                <w:bCs w:val="1"/>
                <w:i w:val="1"/>
                <w:iCs w:val="1"/>
                <w:color w:val="auto"/>
              </w:rPr>
              <w:t>15.3 %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14.5 %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b w:val="1"/>
                <w:bCs w:val="1"/>
                <w:i w:val="1"/>
                <w:iCs w:val="1"/>
                <w:color w:val="auto"/>
              </w:rPr>
              <w:t>15.5 %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14.6 %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Third quarter 2021 sales decreased $115 million, or 5 percent, due to a $133 million reduction in sales related to the IT services divestiture. Third quarter 2021 organic sales increased $18 million, or 1 percent. Navigation, Targeting and Survivability sales increased primarily due to higher intercompany volume on the ramp up of the Ground Based Strategic Deterrent (GBSD) program. Maritime/Land Systems and Sensors sales increased principally due to higher volume on land systems, including the Ground/Air Task-Oriented Radar (G/ATOR) program. Networked Information Solutions sales decreased primarily due to lower volume on F-35 and restricted programs, partially offset by higher volume on the Joint Counter Radio-Controlled Improvised Explosive Device Electronic Warfare (JCREW) program.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Year to date 2021 sales increased $269 million, or 4 percent, due to higher volume across the sector, partially offset by a $352 million reduction in sales related to the IT services divestiture. Year to date 2021 organic sales increased $621 million, or 9 percent. Maritime/Land Systems and Sensors sales increased primarily due to higher volume on land systems, including G/ATOR, and higher marine systems, restricted and international volume. Navigation, Targeting and Survivability sales increased principally due to higher intercompany volume on GBSD ramp up as well as higher volume on infrared countermeasures and targeting programs. Airborne Multifunction Sensors sales increased principally due to higher airborne radar volume, including on the Scalable Agile Beam Radar (SABR) program, and higher restricted volume. Networked Information Solutions sales increased principally due to higher volume on electronic warfare programs, including JCREW.</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380"/>
        <w:spacing w:after="0" w:line="277" w:lineRule="auto"/>
        <w:rPr>
          <w:sz w:val="20"/>
          <w:szCs w:val="20"/>
          <w:color w:val="auto"/>
        </w:rPr>
      </w:pPr>
      <w:r>
        <w:rPr>
          <w:rFonts w:ascii="Arial" w:cs="Arial" w:eastAsia="Arial" w:hAnsi="Arial"/>
          <w:sz w:val="17"/>
          <w:szCs w:val="17"/>
          <w:color w:val="auto"/>
        </w:rPr>
        <w:t>Third quarter 2021 operating income was consistent with the prior year period and reflects a higher operating margin rate and lower sales. Operating margin rate increased to 15.3 percent from 14.5 percent principally due to improved performance and changes in contract mix toward more fixed-price content, largely as a result of the IT services divestiture, partially offset by lower net favorable EAC adjustments.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Year to date 2021 operating income increased $107 million, or 10 percent, due to higher sales volume and a higher operating margin rate. Operating margin rate increased to 15.5 percent from 14.6 percent and reflects improved performance, the favorable resolution of certain government accounting matters in the second quarter of 2021 and mix changes largely related to the IT services divestiture, as discussed above.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400" w:type="dxa"/>
            <w:vAlign w:val="bottom"/>
            <w:gridSpan w:val="4"/>
          </w:tcPr>
          <w:p>
            <w:pPr>
              <w:ind w:left="40"/>
              <w:spacing w:after="0"/>
              <w:rPr>
                <w:sz w:val="20"/>
                <w:szCs w:val="20"/>
                <w:color w:val="auto"/>
              </w:rPr>
            </w:pPr>
            <w:r>
              <w:rPr>
                <w:rFonts w:ascii="Arial" w:cs="Arial" w:eastAsia="Arial" w:hAnsi="Arial"/>
                <w:sz w:val="18"/>
                <w:szCs w:val="18"/>
                <w:color w:val="auto"/>
                <w:w w:val="89"/>
              </w:rPr>
              <w:t>Three Months Ended September</w:t>
            </w:r>
          </w:p>
        </w:tc>
        <w:tc>
          <w:tcPr>
            <w:tcW w:w="13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w w:val="91"/>
              </w:rPr>
              <w:t>Nine Months Ended September</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19"/>
                <w:szCs w:val="19"/>
                <w:color w:val="auto"/>
              </w:rPr>
            </w:pPr>
          </w:p>
        </w:tc>
        <w:tc>
          <w:tcPr>
            <w:tcW w:w="138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2,681</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2,198</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22 %</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7,950</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6,194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288</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224</w:t>
            </w: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29 %</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865</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635</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36 %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b w:val="1"/>
                <w:bCs w:val="1"/>
                <w:i w:val="1"/>
                <w:iCs w:val="1"/>
                <w:color w:val="auto"/>
              </w:rPr>
              <w:t>10.7 %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10.2 %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b w:val="1"/>
                <w:bCs w:val="1"/>
                <w:i w:val="1"/>
                <w:iCs w:val="1"/>
                <w:color w:val="auto"/>
              </w:rPr>
              <w:t>10.9 %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10.3 %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Third quarter 2021 sales increased $483 million, or 22 percent, due to higher sales in both the Launch &amp; Strategic Missiles and Space business areas, partially offset by a $48 million reduction in sales related to the IT services divestiture. Third quarter 2021 organic sales increased $531 million, or 25 percent. Launch &amp; Strategic Missiles sales increased primarily due to ramp-up on development programs, such as GBSD and the Next Generation Interceptor (NGI) program. Space sales were driven by higher volume on restricted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Year to date 2021 sales increased $1.8 billion, or 28 percent, due to higher sales in both the Launch &amp; Strategic Missiles and Space business areas, partially offset by a $119 million reduction in sales related to the IT services divestiture. Year to date 2021 organic sales increased $1.9 billion, or 31 percent. Launch &amp; Strategic Missiles sales increased primarily due to ramp-up on development programs, such as GBSD and NGI, as well as higher volume on hypersonics and Commercial Resupply Services (CRS) programs. Space sales were driven by higher volume on restricted programs, Artemis and the Next Generation Overhead Persistent Infrared (Next Gen OPIR) program.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Third quarter 2021 operating income increased $64 million, or 29 percent, due to higher sales volume and a higher operating margin rate. Operating margin rate increased to 10.7 percent from 10.2 percent principally due to higher net favorable EAC adjustments, which were largely driven by improved performance on restricted programs.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Year to date 2021 operating income increased $230 million, or 36 percent, due to higher sales volume and a higher operating margin rate. Operating margin rate increased to 10.9 percent from 10.3 percent primarily due to higher net favorable EAC adjustments, which were largely driven by improved performance on commercial space programs and the first quarter 2021 reduction in overhead rates.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PRODUCT AND SERVICE ANALYSIS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7280" w:type="dxa"/>
            <w:vAlign w:val="bottom"/>
            <w:gridSpan w:val="10"/>
          </w:tcPr>
          <w:p>
            <w:pPr>
              <w:spacing w:after="0"/>
              <w:rPr>
                <w:sz w:val="20"/>
                <w:szCs w:val="20"/>
                <w:color w:val="auto"/>
              </w:rPr>
            </w:pPr>
            <w:r>
              <w:rPr>
                <w:rFonts w:ascii="Arial" w:cs="Arial" w:eastAsia="Arial" w:hAnsi="Arial"/>
                <w:sz w:val="18"/>
                <w:szCs w:val="18"/>
                <w:color w:val="auto"/>
                <w:w w:val="89"/>
              </w:rPr>
              <w:t>The following table presents product and service sales and operating costs and expenses by segment:</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92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color w:val="auto"/>
              </w:rPr>
              <w:t>Three Months Ended September 30</w:t>
            </w:r>
          </w:p>
        </w:tc>
        <w:tc>
          <w:tcPr>
            <w:tcW w:w="34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gridSpan w:val="7"/>
          </w:tcPr>
          <w:p>
            <w:pPr>
              <w:jc w:val="right"/>
              <w:ind w:right="77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w w:val="89"/>
              </w:rPr>
              <w:t>2020</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w w:val="84"/>
              </w:rPr>
              <w:t>2021</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w w:val="84"/>
              </w:rPr>
              <w:t>2020</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1"/>
              </w:rPr>
              <w:t>Operating</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ind w:left="40"/>
              <w:spacing w:after="0" w:line="169" w:lineRule="exact"/>
              <w:rPr>
                <w:sz w:val="20"/>
                <w:szCs w:val="20"/>
                <w:color w:val="auto"/>
              </w:rPr>
            </w:pPr>
            <w:r>
              <w:rPr>
                <w:rFonts w:ascii="Arial" w:cs="Arial" w:eastAsia="Arial" w:hAnsi="Arial"/>
                <w:sz w:val="18"/>
                <w:szCs w:val="18"/>
                <w:color w:val="auto"/>
              </w:rPr>
              <w:t>Operating</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ind w:left="60"/>
              <w:spacing w:after="0" w:line="169" w:lineRule="exact"/>
              <w:rPr>
                <w:sz w:val="20"/>
                <w:szCs w:val="20"/>
                <w:color w:val="auto"/>
              </w:rPr>
            </w:pPr>
            <w:r>
              <w:rPr>
                <w:rFonts w:ascii="Arial" w:cs="Arial" w:eastAsia="Arial" w:hAnsi="Arial"/>
                <w:sz w:val="18"/>
                <w:szCs w:val="18"/>
                <w:color w:val="auto"/>
              </w:rPr>
              <w:t>Operating</w:t>
            </w:r>
          </w:p>
        </w:tc>
        <w:tc>
          <w:tcPr>
            <w:tcW w:w="0" w:type="dxa"/>
            <w:vAlign w:val="bottom"/>
          </w:tcPr>
          <w:p>
            <w:pPr>
              <w:spacing w:after="0"/>
              <w:rPr>
                <w:sz w:val="1"/>
                <w:szCs w:val="1"/>
                <w:color w:val="auto"/>
              </w:rPr>
            </w:pPr>
          </w:p>
        </w:tc>
      </w:tr>
      <w:tr>
        <w:trPr>
          <w:trHeight w:val="176"/>
        </w:trPr>
        <w:tc>
          <w:tcPr>
            <w:tcW w:w="2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Information:</w:t>
            </w:r>
          </w:p>
        </w:tc>
        <w:tc>
          <w:tcPr>
            <w:tcW w:w="160" w:type="dxa"/>
            <w:vAlign w:val="bottom"/>
          </w:tcPr>
          <w:p>
            <w:pPr>
              <w:spacing w:after="0"/>
              <w:rPr>
                <w:sz w:val="15"/>
                <w:szCs w:val="15"/>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3"/>
              </w:rPr>
              <w:t>Sales</w:t>
            </w:r>
          </w:p>
        </w:tc>
        <w:tc>
          <w:tcPr>
            <w:tcW w:w="180" w:type="dxa"/>
            <w:vAlign w:val="bottom"/>
          </w:tcPr>
          <w:p>
            <w:pPr>
              <w:spacing w:after="0"/>
              <w:rPr>
                <w:sz w:val="15"/>
                <w:szCs w:val="15"/>
                <w:color w:val="auto"/>
              </w:rPr>
            </w:pPr>
          </w:p>
        </w:tc>
        <w:tc>
          <w:tcPr>
            <w:tcW w:w="10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Costs and</w:t>
            </w:r>
          </w:p>
        </w:tc>
        <w:tc>
          <w:tcPr>
            <w:tcW w:w="200" w:type="dxa"/>
            <w:vAlign w:val="bottom"/>
          </w:tcPr>
          <w:p>
            <w:pPr>
              <w:spacing w:after="0"/>
              <w:rPr>
                <w:sz w:val="15"/>
                <w:szCs w:val="15"/>
                <w:color w:val="auto"/>
              </w:rPr>
            </w:pPr>
          </w:p>
        </w:tc>
        <w:tc>
          <w:tcPr>
            <w:tcW w:w="620" w:type="dxa"/>
            <w:vAlign w:val="bottom"/>
            <w:vMerge w:val="restart"/>
          </w:tcPr>
          <w:p>
            <w:pPr>
              <w:jc w:val="right"/>
              <w:ind w:right="90"/>
              <w:spacing w:after="0"/>
              <w:rPr>
                <w:sz w:val="20"/>
                <w:szCs w:val="20"/>
                <w:color w:val="auto"/>
              </w:rPr>
            </w:pPr>
            <w:r>
              <w:rPr>
                <w:rFonts w:ascii="Arial" w:cs="Arial" w:eastAsia="Arial" w:hAnsi="Arial"/>
                <w:sz w:val="18"/>
                <w:szCs w:val="18"/>
                <w:color w:val="auto"/>
                <w:w w:val="93"/>
              </w:rPr>
              <w:t>Sales</w:t>
            </w:r>
          </w:p>
        </w:tc>
        <w:tc>
          <w:tcPr>
            <w:tcW w:w="220" w:type="dxa"/>
            <w:vAlign w:val="bottom"/>
          </w:tcPr>
          <w:p>
            <w:pPr>
              <w:spacing w:after="0"/>
              <w:rPr>
                <w:sz w:val="15"/>
                <w:szCs w:val="15"/>
                <w:color w:val="auto"/>
              </w:rPr>
            </w:pPr>
          </w:p>
        </w:tc>
        <w:tc>
          <w:tcPr>
            <w:tcW w:w="1000" w:type="dxa"/>
            <w:vAlign w:val="bottom"/>
          </w:tcPr>
          <w:p>
            <w:pPr>
              <w:ind w:left="40"/>
              <w:spacing w:after="0" w:line="176" w:lineRule="exact"/>
              <w:rPr>
                <w:sz w:val="20"/>
                <w:szCs w:val="20"/>
                <w:color w:val="auto"/>
              </w:rPr>
            </w:pPr>
            <w:r>
              <w:rPr>
                <w:rFonts w:ascii="Arial" w:cs="Arial" w:eastAsia="Arial" w:hAnsi="Arial"/>
                <w:sz w:val="18"/>
                <w:szCs w:val="18"/>
                <w:color w:val="auto"/>
              </w:rPr>
              <w:t>Costs and</w:t>
            </w:r>
          </w:p>
        </w:tc>
        <w:tc>
          <w:tcPr>
            <w:tcW w:w="340" w:type="dxa"/>
            <w:vAlign w:val="bottom"/>
          </w:tcPr>
          <w:p>
            <w:pPr>
              <w:spacing w:after="0"/>
              <w:rPr>
                <w:sz w:val="15"/>
                <w:szCs w:val="15"/>
                <w:color w:val="auto"/>
              </w:rPr>
            </w:pPr>
          </w:p>
        </w:tc>
        <w:tc>
          <w:tcPr>
            <w:tcW w:w="6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84"/>
              </w:rPr>
              <w:t>Sales</w:t>
            </w:r>
          </w:p>
        </w:tc>
        <w:tc>
          <w:tcPr>
            <w:tcW w:w="220" w:type="dxa"/>
            <w:vAlign w:val="bottom"/>
          </w:tcPr>
          <w:p>
            <w:pPr>
              <w:spacing w:after="0"/>
              <w:rPr>
                <w:sz w:val="15"/>
                <w:szCs w:val="15"/>
                <w:color w:val="auto"/>
              </w:rPr>
            </w:pPr>
          </w:p>
        </w:tc>
        <w:tc>
          <w:tcPr>
            <w:tcW w:w="10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Costs and</w:t>
            </w:r>
          </w:p>
        </w:tc>
        <w:tc>
          <w:tcPr>
            <w:tcW w:w="220" w:type="dxa"/>
            <w:vAlign w:val="bottom"/>
          </w:tcPr>
          <w:p>
            <w:pPr>
              <w:spacing w:after="0"/>
              <w:rPr>
                <w:sz w:val="15"/>
                <w:szCs w:val="15"/>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color w:val="auto"/>
                <w:w w:val="97"/>
              </w:rPr>
              <w:t>Sales</w:t>
            </w:r>
          </w:p>
        </w:tc>
        <w:tc>
          <w:tcPr>
            <w:tcW w:w="220" w:type="dxa"/>
            <w:vAlign w:val="bottom"/>
          </w:tcPr>
          <w:p>
            <w:pPr>
              <w:spacing w:after="0"/>
              <w:rPr>
                <w:sz w:val="15"/>
                <w:szCs w:val="15"/>
                <w:color w:val="auto"/>
              </w:rPr>
            </w:pPr>
          </w:p>
        </w:tc>
        <w:tc>
          <w:tcPr>
            <w:tcW w:w="980" w:type="dxa"/>
            <w:vAlign w:val="bottom"/>
          </w:tcPr>
          <w:p>
            <w:pPr>
              <w:ind w:left="60"/>
              <w:spacing w:after="0" w:line="176" w:lineRule="exact"/>
              <w:rPr>
                <w:sz w:val="20"/>
                <w:szCs w:val="20"/>
                <w:color w:val="auto"/>
              </w:rPr>
            </w:pPr>
            <w:r>
              <w:rPr>
                <w:rFonts w:ascii="Arial" w:cs="Arial" w:eastAsia="Arial" w:hAnsi="Arial"/>
                <w:sz w:val="18"/>
                <w:szCs w:val="18"/>
                <w:color w:val="auto"/>
              </w:rPr>
              <w:t>Costs and</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Expenses</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Expenses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Expenses</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Product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2,233</w:t>
            </w:r>
          </w:p>
        </w:tc>
        <w:tc>
          <w:tcPr>
            <w:tcW w:w="18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2,231</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7,241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6,677</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1,104</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Aeronautics Systems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2,725</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2,460</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2,620</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8,628</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7,755</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1,687</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585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523</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812</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1,873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1,664</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2,826</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Intersegment eliminations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Defense Systems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1,234</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1,642</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4,398</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3,869</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5,626</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Product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1,766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1,498</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1,735</w:t>
            </w: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1,506</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5,300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4,506</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4,889</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1,578</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1,302</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628</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Mission Systems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2,436</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2,064</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2,181</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7,613</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6,436</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1,991</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1,550</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6,580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5,865</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1,267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1,126</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1,327</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Intersegment eliminations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Space Systems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2,681</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2,393</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1,974</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7,950</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7,085</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6,194</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Totals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Total Product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6,845</w:t>
            </w:r>
          </w:p>
        </w:tc>
        <w:tc>
          <w:tcPr>
            <w:tcW w:w="18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6,044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5,948</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21,060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18,585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19,325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17,163</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Service</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1,875</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1,641</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2,086</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5,968</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5,196</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Total Segment</w:t>
            </w:r>
            <w:r>
              <w:rPr>
                <w:rFonts w:ascii="Arial" w:cs="Arial" w:eastAsia="Arial" w:hAnsi="Arial"/>
                <w:sz w:val="23"/>
                <w:szCs w:val="23"/>
                <w:b w:val="1"/>
                <w:bCs w:val="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8,720</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7,685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8,034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 reconciliation of segment operating income to total operating income is included in “Segment Operating Results.”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28" w:lineRule="exact"/>
        <w:rPr>
          <w:rFonts w:ascii="Arial" w:cs="Arial" w:eastAsia="Arial" w:hAnsi="Arial"/>
          <w:sz w:val="18"/>
          <w:szCs w:val="18"/>
          <w:color w:val="auto"/>
          <w:vertAlign w:val="superscript"/>
        </w:rPr>
      </w:pPr>
    </w:p>
    <w:p>
      <w:pPr>
        <w:ind w:left="5480"/>
        <w:spacing w:after="0"/>
        <w:rPr>
          <w:rFonts w:ascii="Arial" w:cs="Arial" w:eastAsia="Arial" w:hAnsi="Arial"/>
          <w:sz w:val="18"/>
          <w:szCs w:val="18"/>
          <w:color w:val="auto"/>
          <w:vertAlign w:val="superscript"/>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Third quarter 2021 product sales increased $178 million, or 3 percent, primarily due to an increase in product sales at Space Systems, partially offset by decreases in product sales at Aeronautics Systems and Defense Systems. The increase at Space Systems was principally due to ramp-up on GBSD and NGI. The decrease at Aeronautics Systems was driven by lower volume on restricted programs and F-35. The decrease at Defense Systems was primarily driven by the close-out of Lake City.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2021 product costs increased $96 million, or 2 percent, consistent with the increase in product sales above.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Year to date 2021 product sales increased $1.7 billion, or 9 percent, principally due to an increase in product sales at Space Systems and Mission Systems, partially offset by a decrease at Defense Systems. The increase at Space Systems was primarily driven by higher volume on GBSD, restricted programs, Artemis, Next Gen OPIR and NGI. The increase at Mission Systems was driven by higher volume across the sector. The decrease at Defense Systems was primarily driven by the close-out of Lake City.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Year to date 2021 product costs increased $1.4 billion, or 8 percent, consistent with the higher product sales described above.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Sales and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Current </w:t>
      </w:r>
      <w:r>
        <w:rPr>
          <w:rFonts w:ascii="Arial" w:cs="Arial" w:eastAsia="Arial" w:hAnsi="Arial"/>
          <w:sz w:val="18"/>
          <w:szCs w:val="18"/>
          <w:color w:val="auto"/>
        </w:rPr>
        <w:t>Quarter</w:t>
      </w:r>
    </w:p>
    <w:p>
      <w:pPr>
        <w:spacing w:after="0" w:line="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Third quarter 2021 service sales decreased $541 million, or 22 percent, primarily due to the IT services divestiture. Third quarter 2020 sales from the IT services business, which were largely included in service sales, were $602 million. The reductions associated with the IT services divestiture were partially offset by higher volume on the CBP P-3 program at Defense Systems.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2021 service costs decreased $445 million, or 21 percent, consistent with the lower service sales above.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Year to date 2021 service sales decreased $1.3 billion, or 18 percent, primarily due to the IT services divestiture. Year to date 2021 sales from the IT services business, which were largely included in service sales, were $162 million as compared to $1.7 billion in the prior year period. The reductions associated with the IT services divestiture were partially offset by higher volume on the ROK Global Hawk CLS and CBP P-3 programs at Defense Systems.</w:t>
      </w:r>
    </w:p>
    <w:p>
      <w:pPr>
        <w:spacing w:after="0" w:line="71" w:lineRule="exact"/>
        <w:rPr>
          <w:sz w:val="20"/>
          <w:szCs w:val="20"/>
          <w:color w:val="auto"/>
        </w:rPr>
      </w:pPr>
    </w:p>
    <w:p>
      <w:pPr>
        <w:ind w:right="2120"/>
        <w:spacing w:after="0" w:line="391" w:lineRule="auto"/>
        <w:rPr>
          <w:sz w:val="20"/>
          <w:szCs w:val="20"/>
          <w:color w:val="auto"/>
        </w:rPr>
      </w:pPr>
      <w:r>
        <w:rPr>
          <w:rFonts w:ascii="Arial" w:cs="Arial" w:eastAsia="Arial" w:hAnsi="Arial"/>
          <w:sz w:val="18"/>
          <w:szCs w:val="18"/>
          <w:color w:val="auto"/>
        </w:rPr>
        <w:t xml:space="preserve">Year to date 2021 service costs decreased $1.2 billion, or 19 percent, consistent with the lower services sales described above. </w:t>
      </w:r>
      <w:r>
        <w:rPr>
          <w:rFonts w:ascii="Arial" w:cs="Arial" w:eastAsia="Arial" w:hAnsi="Arial"/>
          <w:sz w:val="18"/>
          <w:szCs w:val="18"/>
          <w:b w:val="1"/>
          <w:bCs w:val="1"/>
          <w:color w:val="auto"/>
        </w:rPr>
        <w:t>BACKLOG</w:t>
      </w:r>
    </w:p>
    <w:p>
      <w:pPr>
        <w:spacing w:after="0" w:line="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Backlog consisted of the following as of September 30, 2021 and December 31,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9"/>
              </w:rPr>
              <w:t>September 30, 2021</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2020</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Funded</w:t>
            </w: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5"/>
              </w:rPr>
              <w:t>Unfunded</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90"/>
              <w:spacing w:after="0" w:line="169" w:lineRule="exact"/>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Arial" w:cs="Arial" w:eastAsia="Arial" w:hAnsi="Arial"/>
                <w:sz w:val="18"/>
                <w:szCs w:val="18"/>
                <w:color w:val="auto"/>
              </w:rPr>
              <w:t>% Change in</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Backlog</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3"/>
              </w:rPr>
              <w:t>Backlog</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9,115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5,786</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529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6,315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8,131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9,375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3,942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30,137</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35,031</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30,279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44,546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74,825</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80,969</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Awards</w:t>
      </w:r>
    </w:p>
    <w:p>
      <w:pPr>
        <w:spacing w:after="0" w:line="2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Third quarter and year to date 2021 net awards totaled $6.9 billion and $22.3 billion, respectively, and backlog totaled $74.8 billion. Significant third quarter new awards include $1.8 billion for restricted programs, principally at Space and Mission Systems, $0.9 billion for NASA’s Habitation and Logistics Outpost (HALO) module and $0.5 billion for F-35. In connection with the IT services divestiture, the company reduced backlog by $1.4 billion during the first quarter of 2021 ($1.0 billion at Defense Systems, $0.2 billion at Mission Systems and $0.2 billion at Space Systems).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endeavor to ensure efficient conversion of operating income into cash and to increase shareholder value through cash deployment activities. In addition to our cash position, we use various financial measures to assist in capital deployment decision-making, including cash provided by operating activities and adjusted free cash flow, a non-GAAP measure described in more detail below.</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2021, we had $4.1 billion in cash and cash equivalents. Effective January 30, 2021, we completed the IT services divestiture for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$3.4 billion cash. Proceeds were primarily used in the first quarter of 2021 for a $2.0 billion accelerated share repurchase and to fund redemption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 billion of the company’s 2.55 percent unsecured notes due October 2022. In April 2021, we renewed our one-year $500 million uncommitted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8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Coronavirus Aid, Relief, and Economic Security Act (the “CARES Act”) established a program with provisions to allow U.S. companies to defer the employer’s portion of social security taxes between March 27, 2020 and December 31, 2020 and pay such taxes in two installments in 2021 and 2022. Our first installment of deferred social security taxes of approximately $200 million is due in the fourth quarter of 2021. Under Section 3610, the CARES Act also authorized the government to reimburse qualifying contractors for certain costs of providing paid leave to employees as a result of COVID-19. The company continues to seek, and anticipates continuing to seek, recovery for certain COVID-19-related costs under Section 3610 of the CARES Act and through our contract provisions, though it is unclear how much we will be able to recover. In addition, the U.S. Department of Defense (DoD) has, to date, taken steps to increase the rate for certain progress payments from 80 percent to 90 percent for costs incurred and work performed on relevant contracts.</w:t>
      </w:r>
    </w:p>
    <w:p>
      <w:pPr>
        <w:spacing w:after="0" w:line="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Cash and cash equivalents and cash generated from operating activities, supplemented by borrowings under credit facilities, commercial paper and/or in the capital markets, if needed, are expected to be sufficient to fund our operations for at least the next 12 months.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key components of cash flow provided by operating activities: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3"/>
          </w:tcPr>
          <w:p>
            <w:pPr>
              <w:jc w:val="right"/>
              <w:ind w:right="270"/>
              <w:spacing w:after="0"/>
              <w:rPr>
                <w:sz w:val="20"/>
                <w:szCs w:val="20"/>
                <w:color w:val="auto"/>
              </w:rPr>
            </w:pPr>
            <w:r>
              <w:rPr>
                <w:rFonts w:ascii="Arial" w:cs="Arial" w:eastAsia="Arial" w:hAnsi="Arial"/>
                <w:sz w:val="18"/>
                <w:szCs w:val="18"/>
                <w:color w:val="auto"/>
                <w:w w:val="98"/>
              </w:rPr>
              <w:t>Nine Months Ended</w:t>
            </w:r>
          </w:p>
        </w:tc>
        <w:tc>
          <w:tcPr>
            <w:tcW w:w="13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September 30</w:t>
            </w: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4,295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50 %</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Gain on sale of business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(1,980)</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Non-cash items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Pension and OPB contributions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trade working capital</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2,125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depreciation and amortization, non-cash lease expense, stock based compensation expense, deferred income taxes and net periodic pension and OPB income.</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Year to date 2021 cash provided by operating activities decreased $578 million principally due to $588 million of federal and state taxes paid in connection with the IT services divestiture.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Free Cash Flow</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Adjusted free cash flow, as reconciled in the table below, is a non-GAAP measure defined as net cash provided by or used in operating activities less capital expenditures, plus proceeds from the sale of equipment to a customer (not otherwise included in net cash provided by or used in operating activities) and the after-tax impact of discretionary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pension contributions. Adjusted free cash flow includes proceeds from the sale of equipment to a customer as such proceeds were generated in a customer sales transaction. It also includes the after-tax impact of discretionary pension contributions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The table below reconciles net cash provided by operating activities to adjusted free cash flow:</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3"/>
          </w:tcPr>
          <w:p>
            <w:pPr>
              <w:jc w:val="right"/>
              <w:ind w:right="310"/>
              <w:spacing w:after="0"/>
              <w:rPr>
                <w:sz w:val="20"/>
                <w:szCs w:val="20"/>
                <w:color w:val="auto"/>
              </w:rPr>
            </w:pPr>
            <w:r>
              <w:rPr>
                <w:rFonts w:ascii="Arial" w:cs="Arial" w:eastAsia="Arial" w:hAnsi="Arial"/>
                <w:sz w:val="18"/>
                <w:szCs w:val="18"/>
                <w:color w:val="auto"/>
                <w:w w:val="99"/>
              </w:rPr>
              <w:t>Nine Months Ended</w:t>
            </w: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2,125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(682)</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(828)</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equipment to a customer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84</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free cash flow</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1,527</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Year to date 2021 adjusted free cash flow decreased $348 million due to lower net cash provided by operating activities, partially offset by a decrease in capital expenditures and the receipt of additional proceeds from the fourth quarter 2020 sale of equipment to a customer.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7"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Year to date 2021 net cash provided by investing activities was $2.8 billion compared to net cash used in investing activities of $828 million in the prior year period, principally due to $3.4 billion in cash received from the sale of our IT services business during the first quarter of 2021.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Year to date 2021 net cash used in financing activities was $5.8 billion compared to net cash provided by financing activities of $875 million in the prior year period, principally due to $2.7 billion of share repurchases, $2.2 billion in debt repayments and $737 million of dividends paid in the current year period as compared to $2.2 billion of net proceeds from the issuance of long-term debt, $490 million of share repurchases and $711 million of dividends paid in the prior year period.</w:t>
      </w:r>
    </w:p>
    <w:p>
      <w:pPr>
        <w:spacing w:after="0" w:line="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Credit Facilities, Commercial Paper and Financial Arrangements - </w:t>
      </w:r>
      <w:r>
        <w:rPr>
          <w:rFonts w:ascii="Arial" w:cs="Arial" w:eastAsia="Arial" w:hAnsi="Arial"/>
          <w:sz w:val="18"/>
          <w:szCs w:val="18"/>
          <w:color w:val="auto"/>
        </w:rPr>
        <w:t>See Note 6 to the financial statements for further information on our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and our use of standby letters of credit and guarantees.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See Note 2 to the financial statements for further information on our share repurchase programs.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See Note 4 to the financial statements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estimates or judgments from those discussed in our 2020 Annual Report on Form 10-K.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1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forward-looking statements include, but are not limited to, those identified and discussed more fully in the section entitled “Risk Factors” in our 2020 Annual Report on Form 10-K and from time to time in our other filings with the Securities and Exchange Commission (SEC). These risks and uncertainties are amplified by the global COVID-19 pandemic and the related effects on the broader economic environment, which have caused and will continue to cause significant challenges, instability and uncertainty. They include:</w:t>
      </w:r>
    </w:p>
    <w:p>
      <w:pPr>
        <w:spacing w:after="0" w:line="65" w:lineRule="exact"/>
        <w:rPr>
          <w:sz w:val="20"/>
          <w:szCs w:val="20"/>
          <w:color w:val="auto"/>
        </w:rPr>
      </w:pPr>
    </w:p>
    <w:p>
      <w:pPr>
        <w:ind w:left="660" w:hanging="328"/>
        <w:spacing w:after="0" w:line="293"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impact of the COVID-19 pandemic (or future health epidemics, pandemics or similar outbreaks), and the related effects on the broader economic environment, on our business, including our ability to maintain a qualified workforce, the potential for worker absenteeism and leave taking, facility closures, work slowdowns or stoppages, labor shortages, supply chain challenges, evolving and varying government requirements, including related to a vaccine mandate, additional costs and liabilities for which we are not compensated, performance challenges, program delays, our ability to recover costs under contracts, changing government funding and acquisition priorities and processes, changing government payment rules and practices, insurance challenges, and potential impacts on access to capital, the markets and the fair value of our assets</w:t>
      </w:r>
    </w:p>
    <w:p>
      <w:pPr>
        <w:spacing w:after="0" w:line="29"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U.S. government funding and program support more broadly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legal proceedings</w:t>
      </w:r>
    </w:p>
    <w:p>
      <w:pPr>
        <w:spacing w:after="0" w:line="90"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use of estimates when accounting for our contracts and the effect of contract cost growth and/or changes in estimated contract revenues and costs</w:t>
      </w:r>
    </w:p>
    <w:p>
      <w:pPr>
        <w:spacing w:after="0" w:line="48"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geopolitical and economic factors, suppliers, laws and regulations</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and the impact on our reputation and our ability to do business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 and other security threats or disruptions faced by us, our customers or our suppliers and other partners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performance and financial viability of our subcontractors and suppliers and the availability and pricing of raw materials and components</w:t>
      </w:r>
    </w:p>
    <w:p>
      <w:pPr>
        <w:spacing w:after="0" w:line="115"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procurement and other laws, regulations, contract terms and practices applicable to our industry, findings by the U.S. government as to our compliance with such requirements, and changes in our customers’ business practices globally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maintain a qualified workforce with the required security clearances and requisite skills</w:t>
      </w:r>
    </w:p>
    <w:p>
      <w:pPr>
        <w:spacing w:after="0" w:line="103" w:lineRule="exact"/>
        <w:rPr>
          <w:rFonts w:ascii="Arial" w:cs="Arial" w:eastAsia="Arial" w:hAnsi="Arial"/>
          <w:sz w:val="18"/>
          <w:szCs w:val="18"/>
          <w:color w:val="auto"/>
        </w:rPr>
      </w:pPr>
    </w:p>
    <w:p>
      <w:pPr>
        <w:ind w:left="660" w:right="1060" w:hanging="328"/>
        <w:spacing w:after="0" w:line="334"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and availability of our insurance coverage, customer indemnifications or other liability protections</w:t>
      </w:r>
    </w:p>
    <w:p>
      <w:pPr>
        <w:spacing w:after="0" w:line="90"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48" w:lineRule="exact"/>
        <w:rPr>
          <w:rFonts w:ascii="Arial" w:cs="Arial" w:eastAsia="Arial" w:hAnsi="Arial"/>
          <w:sz w:val="18"/>
          <w:szCs w:val="18"/>
          <w:color w:val="auto"/>
        </w:rPr>
      </w:pPr>
    </w:p>
    <w:p>
      <w:pPr>
        <w:ind w:left="660" w:right="26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future investment performance of plan assets, changes in actuarial assumptions associated with our pension and other postretirement benefit plans and legislative or other regulatory actions impacting our pension and postretirement benefit obligations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appropriately to exploit and/or protect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left="660" w:right="1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and maintain technologies, facilities, and equipment to win new competitions and meet the needs of our customers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business conditions that could impact business investments and/or recorded goodwill or the value of other long-lived assets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contractual obligations from those discussed in our 2020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market risks from those discussed in our 2020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Our principal executive officer (Chairman,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September 30, 2021,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During the three months ended September 30, 2021,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information about certain legal proceedings in which we are involved in Notes 5 and 6 to the financial statements.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5 and 6 to the financial statements, and for further information on the risks we face from existing and future investigations, lawsuits, arbitration, claims, enforcement actions and other legal proceedings, please see “Risk Factors” in our 2020 Annual Report on Form 10-K.</w:t>
      </w:r>
    </w:p>
    <w:p>
      <w:pPr>
        <w:spacing w:after="0" w:line="4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risk factors please see the section entitled “Risk Factors” in our 2020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repurchases of common stock during the three months ended September 30,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Total Number</w:t>
            </w: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Approximate</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of Shares</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5"/>
              </w:rPr>
              <w:t>Purchased as</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280" w:type="dxa"/>
            <w:vAlign w:val="bottom"/>
            <w:vMerge w:val="restart"/>
          </w:tcPr>
          <w:p>
            <w:pPr>
              <w:jc w:val="center"/>
              <w:ind w:left="650"/>
              <w:spacing w:after="0"/>
              <w:rPr>
                <w:sz w:val="20"/>
                <w:szCs w:val="20"/>
                <w:color w:val="auto"/>
              </w:rPr>
            </w:pPr>
            <w:r>
              <w:rPr>
                <w:rFonts w:ascii="Arial" w:cs="Arial" w:eastAsia="Arial" w:hAnsi="Arial"/>
                <w:sz w:val="18"/>
                <w:szCs w:val="18"/>
                <w:b w:val="1"/>
                <w:bCs w:val="1"/>
                <w:color w:val="auto"/>
                <w:w w:val="91"/>
              </w:rPr>
              <w:t>Total Number</w:t>
            </w:r>
          </w:p>
        </w:tc>
        <w:tc>
          <w:tcPr>
            <w:tcW w:w="1440" w:type="dxa"/>
            <w:vAlign w:val="bottom"/>
            <w:gridSpan w:val="2"/>
            <w:vMerge w:val="restart"/>
          </w:tcPr>
          <w:p>
            <w:pPr>
              <w:jc w:val="center"/>
              <w:ind w:right="10"/>
              <w:spacing w:after="0"/>
              <w:rPr>
                <w:sz w:val="20"/>
                <w:szCs w:val="20"/>
                <w:color w:val="auto"/>
              </w:rPr>
            </w:pPr>
            <w:r>
              <w:rPr>
                <w:rFonts w:ascii="Arial" w:cs="Arial" w:eastAsia="Arial" w:hAnsi="Arial"/>
                <w:sz w:val="18"/>
                <w:szCs w:val="18"/>
                <w:b w:val="1"/>
                <w:bCs w:val="1"/>
                <w:color w:val="auto"/>
                <w:w w:val="88"/>
              </w:rPr>
              <w:t>Average Price</w:t>
            </w: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8"/>
              </w:rPr>
              <w:t>Yet Be Purchased</w:t>
            </w: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8"/>
              </w:rPr>
              <w:t>Announced</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175"/>
        </w:trPr>
        <w:tc>
          <w:tcPr>
            <w:tcW w:w="3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2280" w:type="dxa"/>
            <w:vAlign w:val="bottom"/>
          </w:tcPr>
          <w:p>
            <w:pPr>
              <w:jc w:val="center"/>
              <w:ind w:left="650"/>
              <w:spacing w:after="0" w:line="176" w:lineRule="exact"/>
              <w:rPr>
                <w:sz w:val="20"/>
                <w:szCs w:val="20"/>
                <w:color w:val="auto"/>
              </w:rPr>
            </w:pPr>
            <w:r>
              <w:rPr>
                <w:rFonts w:ascii="Arial" w:cs="Arial" w:eastAsia="Arial" w:hAnsi="Arial"/>
                <w:sz w:val="18"/>
                <w:szCs w:val="18"/>
                <w:b w:val="1"/>
                <w:bCs w:val="1"/>
                <w:color w:val="auto"/>
                <w:w w:val="85"/>
              </w:rPr>
              <w:t>of Shares</w:t>
            </w:r>
          </w:p>
        </w:tc>
        <w:tc>
          <w:tcPr>
            <w:tcW w:w="280" w:type="dxa"/>
            <w:vAlign w:val="bottom"/>
          </w:tcPr>
          <w:p>
            <w:pPr>
              <w:spacing w:after="0"/>
              <w:rPr>
                <w:sz w:val="15"/>
                <w:szCs w:val="15"/>
                <w:color w:val="auto"/>
              </w:rPr>
            </w:pPr>
          </w:p>
        </w:tc>
        <w:tc>
          <w:tcPr>
            <w:tcW w:w="1160" w:type="dxa"/>
            <w:vAlign w:val="bottom"/>
          </w:tcPr>
          <w:p>
            <w:pPr>
              <w:jc w:val="center"/>
              <w:ind w:right="290"/>
              <w:spacing w:after="0" w:line="176" w:lineRule="exact"/>
              <w:rPr>
                <w:sz w:val="20"/>
                <w:szCs w:val="20"/>
                <w:color w:val="auto"/>
              </w:rPr>
            </w:pPr>
            <w:r>
              <w:rPr>
                <w:rFonts w:ascii="Arial" w:cs="Arial" w:eastAsia="Arial" w:hAnsi="Arial"/>
                <w:sz w:val="18"/>
                <w:szCs w:val="18"/>
                <w:b w:val="1"/>
                <w:bCs w:val="1"/>
                <w:color w:val="auto"/>
                <w:w w:val="92"/>
              </w:rPr>
              <w:t>Paid per</w:t>
            </w: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0"/>
              </w:rPr>
              <w:t>Plans or</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vMerge w:val="continue"/>
          </w:tcPr>
          <w:p>
            <w:pPr>
              <w:spacing w:after="0"/>
              <w:rPr>
                <w:sz w:val="19"/>
                <w:szCs w:val="19"/>
                <w:color w:val="auto"/>
              </w:rPr>
            </w:pPr>
          </w:p>
        </w:tc>
        <w:tc>
          <w:tcPr>
            <w:tcW w:w="228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b w:val="1"/>
                <w:bCs w:val="1"/>
                <w:color w:val="auto"/>
                <w:w w:val="89"/>
              </w:rPr>
              <w:t>Purchased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90"/>
              <w:spacing w:after="0" w:line="230" w:lineRule="exact"/>
              <w:rPr>
                <w:sz w:val="20"/>
                <w:szCs w:val="20"/>
                <w:color w:val="auto"/>
              </w:rPr>
            </w:pPr>
            <w:r>
              <w:rPr>
                <w:rFonts w:ascii="Arial" w:cs="Arial" w:eastAsia="Arial" w:hAnsi="Arial"/>
                <w:sz w:val="18"/>
                <w:szCs w:val="18"/>
                <w:b w:val="1"/>
                <w:bCs w:val="1"/>
                <w:color w:val="auto"/>
                <w:w w:val="84"/>
              </w:rPr>
              <w:t>Share</w:t>
            </w:r>
            <w:r>
              <w:rPr>
                <w:rFonts w:ascii="Arial" w:cs="Arial" w:eastAsia="Arial" w:hAnsi="Arial"/>
                <w:sz w:val="23"/>
                <w:szCs w:val="23"/>
                <w:b w:val="1"/>
                <w:bCs w:val="1"/>
                <w:color w:val="auto"/>
                <w:w w:val="84"/>
                <w:vertAlign w:val="superscript"/>
              </w:rPr>
              <w:t>(1)</w:t>
            </w:r>
          </w:p>
        </w:tc>
        <w:tc>
          <w:tcPr>
            <w:tcW w:w="1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Programs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8"/>
              </w:rPr>
              <w:t>in millions)</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3, 2021 - July 30, 2021</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379,145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363.79</w:t>
            </w:r>
          </w:p>
        </w:tc>
        <w:tc>
          <w:tcPr>
            <w:tcW w:w="1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379,145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July 31, 2021 - August 27, 2021</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531,862</w:t>
            </w:r>
          </w:p>
        </w:tc>
        <w:tc>
          <w:tcPr>
            <w:tcW w:w="28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363.23</w:t>
            </w: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531,862</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August 28, 2021 - October 1, 2021</w:t>
            </w:r>
          </w:p>
        </w:tc>
        <w:tc>
          <w:tcPr>
            <w:tcW w:w="2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719,372</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356.93</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719,372</w:t>
            </w: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1,630,379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360.58</w:t>
            </w:r>
          </w:p>
        </w:tc>
        <w:tc>
          <w:tcPr>
            <w:tcW w:w="1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1,630,379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commissions paid.</w:t>
      </w:r>
    </w:p>
    <w:p>
      <w:pPr>
        <w:spacing w:after="0" w:line="7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980" w:right="160" w:hanging="2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52">
        <w:r>
          <w:rPr>
            <w:rFonts w:ascii="Arial" w:cs="Arial" w:eastAsia="Arial" w:hAnsi="Arial"/>
            <w:sz w:val="18"/>
            <w:szCs w:val="18"/>
            <w:u w:val="single" w:color="auto"/>
            <w:color w:val="0000FF"/>
          </w:rPr>
          <w:t>Agreement and Plan of Merger among Titan II, Inc. (formerly Northrop Grumman Corporation), Northrop Grumman Corporation (formerly</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FF"/>
          </w:rPr>
          <w:t>New P, Inc.) and Titan Merger Sub Inc., dated March 30, 2011 (incorporated by reference to Exhibit 10.1 to Form 8-K filed April 4, 2011,</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File No. 001-16411)</w:t>
        </w:r>
      </w:hyperlink>
    </w:p>
    <w:p>
      <w:pPr>
        <w:spacing w:after="0" w:line="55" w:lineRule="exact"/>
        <w:rPr>
          <w:rFonts w:ascii="Arial" w:cs="Arial" w:eastAsia="Arial" w:hAnsi="Arial"/>
          <w:sz w:val="18"/>
          <w:szCs w:val="18"/>
          <w:color w:val="auto"/>
        </w:rPr>
      </w:pPr>
    </w:p>
    <w:p>
      <w:pPr>
        <w:ind w:left="980" w:right="280" w:hanging="260"/>
        <w:spacing w:after="0" w:line="259"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2.2 </w:t>
      </w:r>
      <w:hyperlink r:id="rId53">
        <w:r>
          <w:rPr>
            <w:rFonts w:ascii="Arial" w:cs="Arial" w:eastAsia="Arial" w:hAnsi="Arial"/>
            <w:sz w:val="16"/>
            <w:szCs w:val="16"/>
            <w:u w:val="single" w:color="auto"/>
            <w:color w:val="0000FF"/>
          </w:rPr>
          <w:t>Separation and Distribution Agreement dated as of March 29, 2011, among Titan II, Inc. (formerly Northrop Grumman Corporation),</w:t>
        </w:r>
      </w:hyperlink>
      <w:r>
        <w:rPr>
          <w:rFonts w:ascii="Arial" w:cs="Arial" w:eastAsia="Arial" w:hAnsi="Arial"/>
          <w:sz w:val="16"/>
          <w:szCs w:val="16"/>
          <w:color w:val="auto"/>
        </w:rPr>
        <w:t xml:space="preserve"> </w:t>
      </w:r>
      <w:hyperlink r:id="rId53">
        <w:r>
          <w:rPr>
            <w:rFonts w:ascii="Arial" w:cs="Arial" w:eastAsia="Arial" w:hAnsi="Arial"/>
            <w:sz w:val="16"/>
            <w:szCs w:val="16"/>
            <w:u w:val="single" w:color="auto"/>
            <w:color w:val="0000FF"/>
          </w:rPr>
          <w:t>Northrop Grumman Corporation (formerly New P, Inc.), Huntington Ingalls Industries, Inc., Northrop Grumman Shipbuilding, Inc. and</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Northrop Grumman Systems Corporation (incorporated by reference to Exhibit 10.2 to Form 8-K filed April 4, 2011, File No. 001-16411)</w:t>
        </w:r>
      </w:hyperlink>
    </w:p>
    <w:p>
      <w:pPr>
        <w:spacing w:after="0" w:line="39" w:lineRule="exact"/>
        <w:rPr>
          <w:rFonts w:ascii="Arial" w:cs="Arial" w:eastAsia="Arial" w:hAnsi="Arial"/>
          <w:sz w:val="16"/>
          <w:szCs w:val="16"/>
          <w:color w:val="auto"/>
        </w:rPr>
      </w:pPr>
    </w:p>
    <w:p>
      <w:pPr>
        <w:ind w:left="980" w:right="180" w:hanging="26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2.3 </w:t>
      </w:r>
      <w:hyperlink r:id="rId54">
        <w:r>
          <w:rPr>
            <w:rFonts w:ascii="Arial" w:cs="Arial" w:eastAsia="Arial" w:hAnsi="Arial"/>
            <w:sz w:val="18"/>
            <w:szCs w:val="18"/>
            <w:u w:val="single" w:color="auto"/>
            <w:color w:val="0000FF"/>
          </w:rPr>
          <w:t>Agreement and Plan of Merger, dated as of September 17, 2017, among Northrop Grumman Corporation, Neptune Merger, Inc. and Orbital</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FF"/>
          </w:rPr>
          <w:t>ATK, Inc. (incorporated by reference to Exhibit 2.1 to Form 8-K filed September 18, 2017)</w:t>
        </w:r>
      </w:hyperlink>
    </w:p>
    <w:p>
      <w:pPr>
        <w:spacing w:after="0" w:line="54" w:lineRule="exact"/>
        <w:rPr>
          <w:sz w:val="20"/>
          <w:szCs w:val="20"/>
          <w:color w:val="auto"/>
        </w:rPr>
      </w:pPr>
    </w:p>
    <w:p>
      <w:pPr>
        <w:jc w:val="both"/>
        <w:ind w:left="980" w:right="240" w:hanging="2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2.4 </w:t>
      </w:r>
      <w:hyperlink r:id="rId55">
        <w:r>
          <w:rPr>
            <w:rFonts w:ascii="Arial" w:cs="Arial" w:eastAsia="Arial" w:hAnsi="Arial"/>
            <w:sz w:val="18"/>
            <w:szCs w:val="18"/>
            <w:u w:val="single" w:color="auto"/>
            <w:color w:val="0000FF"/>
          </w:rPr>
          <w:t>Transaction Agreement, dated as of April 28, 2014, among Alliant Techsystems Inc., Vista Spinco Inc., Vista Merger Sub Inc. and Orbital</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FF"/>
          </w:rPr>
          <w:t>Sciences Corporation (incorporated by reference to Exhibit 2.1 to Alliant Techsystems Inc. (now known as Northrop Grumman Innovation</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Systems, Inc.) Form 8-K filed May 2, 2014)</w:t>
        </w:r>
      </w:hyperlink>
    </w:p>
    <w:p>
      <w:pPr>
        <w:spacing w:after="0" w:line="55" w:lineRule="exact"/>
        <w:rPr>
          <w:rFonts w:ascii="Arial" w:cs="Arial" w:eastAsia="Arial" w:hAnsi="Arial"/>
          <w:sz w:val="18"/>
          <w:szCs w:val="18"/>
          <w:color w:val="auto"/>
        </w:rPr>
      </w:pPr>
    </w:p>
    <w:p>
      <w:pPr>
        <w:jc w:val="both"/>
        <w:ind w:left="980" w:right="200" w:hanging="2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56">
        <w:r>
          <w:rPr>
            <w:rFonts w:ascii="Arial" w:cs="Arial" w:eastAsia="Arial" w:hAnsi="Arial"/>
            <w:sz w:val="18"/>
            <w:szCs w:val="18"/>
            <w:u w:val="single" w:color="auto"/>
            <w:color w:val="0000FF"/>
          </w:rPr>
          <w:t>Twelfth Supplemental Indenture, dated as of August 25, 2021, to the Indenture dated as of May 1, 1986, by and among Northrop Grumman</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FF"/>
          </w:rPr>
          <w:t>Systems Corporation, Northrop Grumman Corporation and The Bank of New York Mellon, as trustee (incorporated by reference to Exhibit</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4.1 to Form 8-K filed August 27, 2021)</w:t>
        </w:r>
      </w:hyperlink>
    </w:p>
    <w:p>
      <w:pPr>
        <w:spacing w:after="0" w:line="55" w:lineRule="exact"/>
        <w:rPr>
          <w:rFonts w:ascii="Arial" w:cs="Arial" w:eastAsia="Arial" w:hAnsi="Arial"/>
          <w:sz w:val="18"/>
          <w:szCs w:val="18"/>
          <w:color w:val="auto"/>
        </w:rPr>
      </w:pPr>
    </w:p>
    <w:p>
      <w:pPr>
        <w:ind w:left="980" w:hanging="2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57">
        <w:r>
          <w:rPr>
            <w:rFonts w:ascii="Arial" w:cs="Arial" w:eastAsia="Arial" w:hAnsi="Arial"/>
            <w:sz w:val="18"/>
            <w:szCs w:val="18"/>
            <w:u w:val="single" w:color="auto"/>
            <w:color w:val="0000FF"/>
          </w:rPr>
          <w:t>Thirteenth Supplemental Indenture, dated as of August 25, 2021, to the Indenture dated as of May 1, 1986, by and among Northrop Grumman</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FF"/>
          </w:rPr>
          <w:t>Systems Corporation, Northrop Grumman Corporation and The Bank of New York Mellon, as trustee (incorporated by reference to Exhibit</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4.2 to Form 8-K filed August 27, 2021)</w:t>
        </w:r>
      </w:hyperlink>
    </w:p>
    <w:p>
      <w:pPr>
        <w:spacing w:after="0" w:line="55" w:lineRule="exact"/>
        <w:rPr>
          <w:rFonts w:ascii="Arial" w:cs="Arial" w:eastAsia="Arial" w:hAnsi="Arial"/>
          <w:sz w:val="18"/>
          <w:szCs w:val="18"/>
          <w:color w:val="auto"/>
        </w:rPr>
      </w:pPr>
    </w:p>
    <w:p>
      <w:pPr>
        <w:jc w:val="both"/>
        <w:ind w:left="980" w:right="60" w:hanging="260"/>
        <w:spacing w:after="0" w:line="25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w:t>
      </w:r>
      <w:hyperlink r:id="rId58">
        <w:r>
          <w:rPr>
            <w:rFonts w:ascii="Arial" w:cs="Arial" w:eastAsia="Arial" w:hAnsi="Arial"/>
            <w:sz w:val="18"/>
            <w:szCs w:val="18"/>
            <w:u w:val="single" w:color="auto"/>
            <w:color w:val="0000FF"/>
          </w:rPr>
          <w:t>Tenth Supplemental Indenture, dated as of September 2, 2021, between Northrop Grumman Corporation and The Bank of New York Mellon,</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FF"/>
          </w:rPr>
          <w:t>as successor to JPMorgan Chase Bank, Trustee, to Indenture dated as of November 2, 2001 (incorporated by reference to Exhibit 4.1 to Form</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8-K filed September 3, 2021)</w:t>
        </w:r>
      </w:hyperlink>
    </w:p>
    <w:p>
      <w:pPr>
        <w:spacing w:after="0" w:line="53" w:lineRule="exact"/>
        <w:rPr>
          <w:rFonts w:ascii="Arial" w:cs="Arial" w:eastAsia="Arial" w:hAnsi="Arial"/>
          <w:sz w:val="18"/>
          <w:szCs w:val="18"/>
          <w:color w:val="auto"/>
        </w:rPr>
      </w:pPr>
    </w:p>
    <w:p>
      <w:pPr>
        <w:ind w:left="720"/>
        <w:spacing w:after="0"/>
        <w:rPr>
          <w:rFonts w:ascii="Arial" w:cs="Arial" w:eastAsia="Arial" w:hAnsi="Arial"/>
          <w:sz w:val="17"/>
          <w:szCs w:val="17"/>
          <w:color w:val="auto"/>
        </w:rPr>
      </w:pPr>
      <w:r>
        <w:rPr>
          <w:rFonts w:ascii="Arial" w:cs="Arial" w:eastAsia="Arial" w:hAnsi="Arial"/>
          <w:sz w:val="17"/>
          <w:szCs w:val="17"/>
          <w:color w:val="auto"/>
        </w:rPr>
        <w:t xml:space="preserve">4.4 </w:t>
      </w:r>
      <w:hyperlink r:id="rId58">
        <w:r>
          <w:rPr>
            <w:rFonts w:ascii="Arial" w:cs="Arial" w:eastAsia="Arial" w:hAnsi="Arial"/>
            <w:sz w:val="17"/>
            <w:szCs w:val="17"/>
            <w:u w:val="single" w:color="auto"/>
            <w:color w:val="0000FF"/>
          </w:rPr>
          <w:t>Form of 7.875% Senior Note due 2026 (incorporated by reference to Exhibit A in Exhibit 4.1 to Form 8-K filed September 3, 2021)</w:t>
        </w:r>
      </w:hyperlink>
    </w:p>
    <w:p>
      <w:pPr>
        <w:spacing w:after="0" w:line="88" w:lineRule="exact"/>
        <w:rPr>
          <w:rFonts w:ascii="Arial" w:cs="Arial" w:eastAsia="Arial" w:hAnsi="Arial"/>
          <w:sz w:val="18"/>
          <w:szCs w:val="18"/>
          <w:color w:val="auto"/>
        </w:rPr>
      </w:pPr>
    </w:p>
    <w:p>
      <w:pPr>
        <w:ind w:left="720"/>
        <w:spacing w:after="0"/>
        <w:rPr>
          <w:rFonts w:ascii="Arial" w:cs="Arial" w:eastAsia="Arial" w:hAnsi="Arial"/>
          <w:sz w:val="17"/>
          <w:szCs w:val="17"/>
          <w:color w:val="auto"/>
        </w:rPr>
      </w:pPr>
      <w:r>
        <w:rPr>
          <w:rFonts w:ascii="Arial" w:cs="Arial" w:eastAsia="Arial" w:hAnsi="Arial"/>
          <w:sz w:val="17"/>
          <w:szCs w:val="17"/>
          <w:color w:val="auto"/>
        </w:rPr>
        <w:t xml:space="preserve">4.5 </w:t>
      </w:r>
      <w:hyperlink r:id="rId58">
        <w:r>
          <w:rPr>
            <w:rFonts w:ascii="Arial" w:cs="Arial" w:eastAsia="Arial" w:hAnsi="Arial"/>
            <w:sz w:val="17"/>
            <w:szCs w:val="17"/>
            <w:u w:val="single" w:color="auto"/>
            <w:color w:val="0000FF"/>
          </w:rPr>
          <w:t>Form of 7.750% Senior Note due 2026 (incorporated by reference to Exhibit B in Exhibit 4.1 to Form 8-K filed September 3, 2021)</w:t>
        </w:r>
      </w:hyperlink>
    </w:p>
    <w:p>
      <w:pPr>
        <w:spacing w:after="0" w:line="115" w:lineRule="exact"/>
        <w:rPr>
          <w:rFonts w:ascii="Arial" w:cs="Arial" w:eastAsia="Arial" w:hAnsi="Arial"/>
          <w:sz w:val="18"/>
          <w:szCs w:val="18"/>
          <w:color w:val="auto"/>
        </w:rPr>
      </w:pPr>
    </w:p>
    <w:p>
      <w:pPr>
        <w:ind w:left="720"/>
        <w:spacing w:after="0"/>
        <w:rPr>
          <w:rFonts w:ascii="Arial" w:cs="Arial" w:eastAsia="Arial" w:hAnsi="Arial"/>
          <w:sz w:val="17"/>
          <w:szCs w:val="17"/>
          <w:color w:val="auto"/>
        </w:rPr>
      </w:pPr>
      <w:r>
        <w:rPr>
          <w:rFonts w:ascii="Arial" w:cs="Arial" w:eastAsia="Arial" w:hAnsi="Arial"/>
          <w:sz w:val="17"/>
          <w:szCs w:val="17"/>
          <w:color w:val="auto"/>
        </w:rPr>
        <w:t xml:space="preserve">4.6 </w:t>
      </w:r>
      <w:hyperlink r:id="rId58">
        <w:r>
          <w:rPr>
            <w:rFonts w:ascii="Arial" w:cs="Arial" w:eastAsia="Arial" w:hAnsi="Arial"/>
            <w:sz w:val="17"/>
            <w:szCs w:val="17"/>
            <w:u w:val="single" w:color="auto"/>
            <w:color w:val="0000FF"/>
          </w:rPr>
          <w:t>Form of 6.650% Senior Note due 2028 (incorporated by reference to Exhibit C in Exhibit 4.1 to Form 8-K filed September 3, 2021)</w:t>
        </w:r>
      </w:hyperlink>
    </w:p>
    <w:p>
      <w:pPr>
        <w:spacing w:after="0" w:line="142" w:lineRule="exact"/>
        <w:rPr>
          <w:rFonts w:ascii="Arial" w:cs="Arial" w:eastAsia="Arial" w:hAnsi="Arial"/>
          <w:sz w:val="18"/>
          <w:szCs w:val="18"/>
          <w:color w:val="auto"/>
        </w:rPr>
      </w:pPr>
    </w:p>
    <w:p>
      <w:pPr>
        <w:ind w:left="720"/>
        <w:spacing w:after="0"/>
        <w:rPr>
          <w:rFonts w:ascii="Arial" w:cs="Arial" w:eastAsia="Arial" w:hAnsi="Arial"/>
          <w:sz w:val="17"/>
          <w:szCs w:val="17"/>
          <w:color w:val="auto"/>
        </w:rPr>
      </w:pPr>
      <w:r>
        <w:rPr>
          <w:rFonts w:ascii="Arial" w:cs="Arial" w:eastAsia="Arial" w:hAnsi="Arial"/>
          <w:sz w:val="17"/>
          <w:szCs w:val="17"/>
          <w:color w:val="auto"/>
        </w:rPr>
        <w:t xml:space="preserve">4.7 </w:t>
      </w:r>
      <w:hyperlink r:id="rId58">
        <w:r>
          <w:rPr>
            <w:rFonts w:ascii="Arial" w:cs="Arial" w:eastAsia="Arial" w:hAnsi="Arial"/>
            <w:sz w:val="17"/>
            <w:szCs w:val="17"/>
            <w:u w:val="single" w:color="auto"/>
            <w:color w:val="0000FF"/>
          </w:rPr>
          <w:t>Form of 7.750% Senior Note due 2029 (incorporated by reference to Exhibit D in Exhibit 4.1 to Form 8-K filed September 3, 2021)</w:t>
        </w:r>
      </w:hyperlink>
    </w:p>
    <w:p>
      <w:pPr>
        <w:spacing w:after="0" w:line="115" w:lineRule="exact"/>
        <w:rPr>
          <w:rFonts w:ascii="Arial" w:cs="Arial" w:eastAsia="Arial" w:hAnsi="Arial"/>
          <w:sz w:val="18"/>
          <w:szCs w:val="18"/>
          <w:color w:val="auto"/>
        </w:rPr>
      </w:pPr>
    </w:p>
    <w:p>
      <w:pPr>
        <w:ind w:left="720"/>
        <w:spacing w:after="0"/>
        <w:rPr>
          <w:rFonts w:ascii="Arial" w:cs="Arial" w:eastAsia="Arial" w:hAnsi="Arial"/>
          <w:sz w:val="17"/>
          <w:szCs w:val="17"/>
          <w:color w:val="auto"/>
        </w:rPr>
      </w:pPr>
      <w:r>
        <w:rPr>
          <w:rFonts w:ascii="Arial" w:cs="Arial" w:eastAsia="Arial" w:hAnsi="Arial"/>
          <w:sz w:val="17"/>
          <w:szCs w:val="17"/>
          <w:color w:val="auto"/>
        </w:rPr>
        <w:t xml:space="preserve">4.8 </w:t>
      </w:r>
      <w:hyperlink r:id="rId58">
        <w:r>
          <w:rPr>
            <w:rFonts w:ascii="Arial" w:cs="Arial" w:eastAsia="Arial" w:hAnsi="Arial"/>
            <w:sz w:val="17"/>
            <w:szCs w:val="17"/>
            <w:u w:val="single" w:color="auto"/>
            <w:color w:val="0000FF"/>
          </w:rPr>
          <w:t>Form of 7.750% Senior Note due 2031 (incorporated by reference to Exhibit E in Exhibit 4.1 to Form 8-K filed September 3, 2021)</w:t>
        </w:r>
      </w:hyperlink>
    </w:p>
    <w:p>
      <w:pPr>
        <w:spacing w:after="0" w:line="88" w:lineRule="exact"/>
        <w:rPr>
          <w:rFonts w:ascii="Arial" w:cs="Arial" w:eastAsia="Arial" w:hAnsi="Arial"/>
          <w:sz w:val="18"/>
          <w:szCs w:val="18"/>
          <w:color w:val="auto"/>
        </w:rPr>
      </w:pPr>
    </w:p>
    <w:p>
      <w:pPr>
        <w:ind w:left="720"/>
        <w:spacing w:after="0"/>
        <w:rPr>
          <w:rFonts w:ascii="Arial" w:cs="Arial" w:eastAsia="Arial" w:hAnsi="Arial"/>
          <w:sz w:val="17"/>
          <w:szCs w:val="17"/>
          <w:color w:val="auto"/>
        </w:rPr>
      </w:pPr>
      <w:r>
        <w:rPr>
          <w:rFonts w:ascii="Arial" w:cs="Arial" w:eastAsia="Arial" w:hAnsi="Arial"/>
          <w:sz w:val="17"/>
          <w:szCs w:val="17"/>
          <w:color w:val="auto"/>
        </w:rPr>
        <w:t xml:space="preserve">4.9 </w:t>
      </w:r>
      <w:hyperlink r:id="rId58">
        <w:r>
          <w:rPr>
            <w:rFonts w:ascii="Arial" w:cs="Arial" w:eastAsia="Arial" w:hAnsi="Arial"/>
            <w:sz w:val="17"/>
            <w:szCs w:val="17"/>
            <w:u w:val="single" w:color="auto"/>
            <w:color w:val="0000FF"/>
          </w:rPr>
          <w:t>Form of 6.980% Senior Note due 2036 (incorporated by reference to Exhibit F in Exhibit 4.1 to Form 8-K filed September 3, 2021)</w:t>
        </w:r>
      </w:hyperlink>
    </w:p>
    <w:p>
      <w:pPr>
        <w:spacing w:after="0" w:line="115" w:lineRule="exact"/>
        <w:rPr>
          <w:rFonts w:ascii="Arial" w:cs="Arial" w:eastAsia="Arial" w:hAnsi="Arial"/>
          <w:sz w:val="18"/>
          <w:szCs w:val="18"/>
          <w:color w:val="auto"/>
        </w:rPr>
      </w:pPr>
    </w:p>
    <w:p>
      <w:pPr>
        <w:jc w:val="both"/>
        <w:ind w:left="980" w:right="320" w:hanging="350"/>
        <w:spacing w:after="0" w:line="25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 </w:t>
      </w:r>
      <w:hyperlink r:id="rId59">
        <w:r>
          <w:rPr>
            <w:rFonts w:ascii="Arial" w:cs="Arial" w:eastAsia="Arial" w:hAnsi="Arial"/>
            <w:sz w:val="18"/>
            <w:szCs w:val="18"/>
            <w:u w:val="single" w:color="auto"/>
            <w:color w:val="0000FF"/>
          </w:rPr>
          <w:t>Registration Rights Agreement, dated as of September 2, 2021, between Northrop Grumman Corporation and BofA Securities, Inc., BNP</w:t>
        </w:r>
      </w:hyperlink>
      <w:r>
        <w:rPr>
          <w:rFonts w:ascii="Arial" w:cs="Arial" w:eastAsia="Arial" w:hAnsi="Arial"/>
          <w:sz w:val="18"/>
          <w:szCs w:val="18"/>
          <w:color w:val="auto"/>
        </w:rPr>
        <w:t xml:space="preserve"> </w:t>
      </w:r>
      <w:hyperlink r:id="rId59">
        <w:r>
          <w:rPr>
            <w:rFonts w:ascii="Arial" w:cs="Arial" w:eastAsia="Arial" w:hAnsi="Arial"/>
            <w:sz w:val="18"/>
            <w:szCs w:val="18"/>
            <w:u w:val="single" w:color="auto"/>
            <w:color w:val="0000FF"/>
          </w:rPr>
          <w:t>Paribas Securities Corp. and Wells Fargo Securities, LLC, as dealer managers (incorporated by reference to Exhibit 4.8 to Form 8-K filed</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September 3, 2021)</w:t>
        </w:r>
      </w:hyperlink>
    </w:p>
    <w:p>
      <w:pPr>
        <w:spacing w:after="0" w:line="53" w:lineRule="exact"/>
        <w:rPr>
          <w:rFonts w:ascii="Arial" w:cs="Arial" w:eastAsia="Arial" w:hAnsi="Arial"/>
          <w:sz w:val="18"/>
          <w:szCs w:val="18"/>
          <w:color w:val="auto"/>
        </w:rPr>
      </w:pPr>
    </w:p>
    <w:p>
      <w:pPr>
        <w:ind w:left="980" w:hanging="35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60">
        <w:r>
          <w:rPr>
            <w:rFonts w:ascii="Arial" w:cs="Arial" w:eastAsia="Arial" w:hAnsi="Arial"/>
            <w:sz w:val="18"/>
            <w:szCs w:val="18"/>
            <w:u w:val="single" w:color="auto"/>
            <w:color w:val="0000FF"/>
          </w:rPr>
          <w:t>First Amendment to Guarantee, dated as of August 25, 2021, to the Guarantee dated as of March 27, 2003, by and among Northrop Grumman</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FF"/>
          </w:rPr>
          <w:t>Systems Corporation, Northrop Grumman Corporation and The Bank of New York Mellon, as trustee (incorporated by reference to Exhibit</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10.1 to Form 8-K filed August 27, 2021)</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3"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5"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*15 </w:t>
      </w:r>
      <w:hyperlink w:anchor="page42">
        <w:r>
          <w:rPr>
            <w:rFonts w:ascii="Arial" w:cs="Arial" w:eastAsia="Arial" w:hAnsi="Arial"/>
            <w:sz w:val="18"/>
            <w:szCs w:val="18"/>
            <w:u w:val="single" w:color="auto"/>
            <w:color w:val="0000FF"/>
          </w:rPr>
          <w:t>Letter from Independent Registered Public Accounting Firm</w:t>
        </w:r>
      </w:hyperlink>
    </w:p>
    <w:p>
      <w:pPr>
        <w:spacing w:after="0" w:line="77" w:lineRule="exact"/>
        <w:rPr>
          <w:sz w:val="20"/>
          <w:szCs w:val="20"/>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43">
        <w:r>
          <w:rPr>
            <w:rFonts w:ascii="Arial" w:cs="Arial" w:eastAsia="Arial" w:hAnsi="Arial"/>
            <w:sz w:val="18"/>
            <w:szCs w:val="18"/>
            <w:u w:val="single" w:color="auto"/>
            <w:color w:val="0000FF"/>
          </w:rPr>
          <w:t>Certification of Kathy J. Warden pursuant to Section 302 of the Sarbanes-Oxley Act of 2002</w:t>
        </w:r>
      </w:hyperlink>
    </w:p>
    <w:p>
      <w:pPr>
        <w:spacing w:after="0" w:line="77" w:lineRule="exact"/>
        <w:rPr>
          <w:sz w:val="20"/>
          <w:szCs w:val="20"/>
          <w:color w:val="auto"/>
        </w:rPr>
      </w:pPr>
    </w:p>
    <w:p>
      <w:pPr>
        <w:ind w:left="440" w:right="3460" w:firstLine="90"/>
        <w:spacing w:after="0" w:line="369" w:lineRule="auto"/>
        <w:rPr>
          <w:rFonts w:ascii="Arial" w:cs="Arial" w:eastAsia="Arial" w:hAnsi="Arial"/>
          <w:sz w:val="16"/>
          <w:szCs w:val="16"/>
          <w:color w:val="auto"/>
        </w:rPr>
      </w:pPr>
      <w:r>
        <w:rPr>
          <w:rFonts w:ascii="Arial" w:cs="Arial" w:eastAsia="Arial" w:hAnsi="Arial"/>
          <w:sz w:val="16"/>
          <w:szCs w:val="16"/>
          <w:color w:val="auto"/>
        </w:rPr>
        <w:t xml:space="preserve">*31.2 </w:t>
      </w:r>
      <w:hyperlink w:anchor="page44">
        <w:r>
          <w:rPr>
            <w:rFonts w:ascii="Arial" w:cs="Arial" w:eastAsia="Arial" w:hAnsi="Arial"/>
            <w:sz w:val="16"/>
            <w:szCs w:val="16"/>
            <w:u w:val="single" w:color="auto"/>
            <w:color w:val="0000FF"/>
          </w:rPr>
          <w:t>Certification of David F. Keffer pursuant to Section 302 of the Sarbanes-Oxley Act of 2002</w:t>
        </w:r>
      </w:hyperlink>
      <w:r>
        <w:rPr>
          <w:rFonts w:ascii="Arial" w:cs="Arial" w:eastAsia="Arial" w:hAnsi="Arial"/>
          <w:sz w:val="16"/>
          <w:szCs w:val="16"/>
          <w:color w:val="auto"/>
        </w:rPr>
        <w:t xml:space="preserve"> **32.1 </w:t>
      </w:r>
      <w:hyperlink w:anchor="page45">
        <w:r>
          <w:rPr>
            <w:rFonts w:ascii="Arial" w:cs="Arial" w:eastAsia="Arial" w:hAnsi="Arial"/>
            <w:sz w:val="16"/>
            <w:szCs w:val="16"/>
            <w:u w:val="single" w:color="auto"/>
            <w:color w:val="0000FF"/>
          </w:rPr>
          <w:t>Certification of Kathy J. Warden pursuant to Section 906 of the Sarbanes-Oxley Act of 2002</w:t>
        </w:r>
      </w:hyperlink>
      <w:r>
        <w:rPr>
          <w:rFonts w:ascii="Arial" w:cs="Arial" w:eastAsia="Arial" w:hAnsi="Arial"/>
          <w:sz w:val="16"/>
          <w:szCs w:val="16"/>
          <w:color w:val="auto"/>
        </w:rPr>
        <w:t xml:space="preserve"> **32.2 </w:t>
      </w:r>
      <w:hyperlink w:anchor="page46">
        <w:r>
          <w:rPr>
            <w:rFonts w:ascii="Arial" w:cs="Arial" w:eastAsia="Arial" w:hAnsi="Arial"/>
            <w:sz w:val="16"/>
            <w:szCs w:val="16"/>
            <w:u w:val="single" w:color="auto"/>
            <w:color w:val="0000FF"/>
          </w:rPr>
          <w:t>Certification of David F. Keffer pursuant to Section 906 of the Sarbanes-Oxley Act of 2002</w:t>
        </w:r>
      </w:hyperlink>
    </w:p>
    <w:p>
      <w:pPr>
        <w:spacing w:after="0" w:line="2" w:lineRule="exact"/>
        <w:rPr>
          <w:rFonts w:ascii="Arial" w:cs="Arial" w:eastAsia="Arial" w:hAnsi="Arial"/>
          <w:sz w:val="16"/>
          <w:szCs w:val="16"/>
          <w:color w:val="auto"/>
        </w:rPr>
      </w:pPr>
    </w:p>
    <w:p>
      <w:pPr>
        <w:ind w:left="980" w:hanging="395"/>
        <w:spacing w:after="0" w:line="244" w:lineRule="auto"/>
        <w:rPr>
          <w:sz w:val="20"/>
          <w:szCs w:val="20"/>
          <w:color w:val="auto"/>
        </w:rPr>
      </w:pPr>
      <w:r>
        <w:rPr>
          <w:rFonts w:ascii="Arial" w:cs="Arial" w:eastAsia="Arial" w:hAnsi="Arial"/>
          <w:sz w:val="16"/>
          <w:szCs w:val="16"/>
          <w:color w:val="auto"/>
        </w:rPr>
        <w:t>*101 Northrop Grumman Corporation Quarterly Report on Form 10-Q for the quarter ended September 30, 2021, formatted as inline XBRL (Extensible Business Reporting Language): (i) the Cover Page, (ii) Condensed Consolidated Statements of Earnings and Comprehensive Income, (iii) 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50" w:lineRule="exact"/>
        <w:rPr>
          <w:rFonts w:ascii="Arial" w:cs="Arial" w:eastAsia="Arial" w:hAnsi="Arial"/>
          <w:sz w:val="16"/>
          <w:szCs w:val="16"/>
          <w:color w:val="auto"/>
        </w:rPr>
      </w:pPr>
    </w:p>
    <w:p>
      <w:pPr>
        <w:ind w:left="58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122" w:lineRule="exact"/>
        <w:rPr>
          <w:rFonts w:ascii="Arial" w:cs="Arial" w:eastAsia="Arial" w:hAnsi="Arial"/>
          <w:sz w:val="16"/>
          <w:szCs w:val="16"/>
          <w:color w:val="auto"/>
        </w:rPr>
      </w:pPr>
    </w:p>
    <w:p>
      <w:pPr>
        <w:ind w:left="980" w:hanging="630"/>
        <w:spacing w:after="0"/>
        <w:tabs>
          <w:tab w:leader="none" w:pos="9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Filed with this report</w:t>
      </w:r>
    </w:p>
    <w:p>
      <w:pPr>
        <w:ind w:left="980" w:hanging="630"/>
        <w:spacing w:after="0" w:line="204" w:lineRule="auto"/>
        <w:tabs>
          <w:tab w:leader="none" w:pos="9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Furnished with this report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NORTHROP GRUMMAN CORPORATION</w:t>
      </w:r>
    </w:p>
    <w:p>
      <w:pPr>
        <w:ind w:left="4340"/>
        <w:spacing w:after="0"/>
        <w:rPr>
          <w:sz w:val="20"/>
          <w:szCs w:val="20"/>
          <w:color w:val="auto"/>
        </w:rPr>
      </w:pPr>
      <w:r>
        <w:rPr>
          <w:rFonts w:ascii="Arial" w:cs="Arial" w:eastAsia="Arial" w:hAnsi="Arial"/>
          <w:sz w:val="18"/>
          <w:szCs w:val="18"/>
          <w:color w:val="auto"/>
        </w:rPr>
        <w:t>(Registrant)</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w:t>
      </w:r>
    </w:p>
    <w:p>
      <w:pPr>
        <w:ind w:left="7360"/>
        <w:spacing w:after="0"/>
        <w:rPr>
          <w:sz w:val="20"/>
          <w:szCs w:val="20"/>
          <w:color w:val="auto"/>
        </w:rPr>
      </w:pP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37890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7500"/>
        <w:spacing w:after="0"/>
        <w:rPr>
          <w:sz w:val="20"/>
          <w:szCs w:val="20"/>
          <w:color w:val="auto"/>
        </w:rPr>
      </w:pPr>
      <w:r>
        <w:rPr>
          <w:rFonts w:ascii="Arial" w:cs="Arial" w:eastAsia="Arial" w:hAnsi="Arial"/>
          <w:sz w:val="18"/>
          <w:szCs w:val="18"/>
          <w:color w:val="auto"/>
        </w:rPr>
        <w:t>Michael A. Hardesty</w:t>
      </w:r>
    </w:p>
    <w:p>
      <w:pPr>
        <w:jc w:val="center"/>
        <w:ind w:left="5240"/>
        <w:spacing w:after="0" w:line="203" w:lineRule="auto"/>
        <w:rPr>
          <w:sz w:val="20"/>
          <w:szCs w:val="20"/>
          <w:color w:val="auto"/>
        </w:rPr>
      </w:pPr>
      <w:r>
        <w:rPr>
          <w:rFonts w:ascii="Arial" w:cs="Arial" w:eastAsia="Arial" w:hAnsi="Arial"/>
          <w:sz w:val="18"/>
          <w:szCs w:val="18"/>
          <w:color w:val="auto"/>
        </w:rPr>
        <w:t>Corporate Vice President, Controller and</w:t>
      </w:r>
    </w:p>
    <w:p>
      <w:pPr>
        <w:jc w:val="center"/>
        <w:ind w:left="5240"/>
        <w:spacing w:after="0" w:line="203"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5240"/>
        <w:spacing w:after="0"/>
        <w:rPr>
          <w:sz w:val="20"/>
          <w:szCs w:val="20"/>
          <w:color w:val="auto"/>
        </w:rPr>
      </w:pPr>
      <w:r>
        <w:rPr>
          <w:rFonts w:ascii="Arial" w:cs="Arial" w:eastAsia="Arial" w:hAnsi="Arial"/>
          <w:sz w:val="18"/>
          <w:szCs w:val="18"/>
          <w:color w:val="auto"/>
        </w:rPr>
        <w:t>(Principal Accounting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118"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FROM INDEPENDENT REGISTERED PUBLIC ACCOUNTING FIRM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 22042</w:t>
      </w:r>
    </w:p>
    <w:p>
      <w:pPr>
        <w:spacing w:after="0" w:line="7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Northrop Grumman Corporation and subsidiaries for the periods ended September 30, 2021, and 2020, as indicated in our report dated October 27, 2021; because we did not perform an audit, we expressed no opinion on that information.</w:t>
      </w:r>
    </w:p>
    <w:p>
      <w:pPr>
        <w:spacing w:after="0" w:line="62"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We are aware that our report referred to above, which is included in your Quarterly Report on Form 10-Q for the quarter ended September 30, 2021, is incorporated by reference in Registration Statement Nos. 033-59815, 033-59853, 333-67266, 333-100179, 333-107734, 333-121104, 333-125120, 333-127317, and 333-175798 on Form S-8; and Registration Statement No. 333-237504 on Form S-3.</w:t>
      </w:r>
    </w:p>
    <w:p>
      <w:pPr>
        <w:spacing w:after="0" w:line="44"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Kathy J. Warden, certify that:</w:t>
      </w:r>
    </w:p>
    <w:p>
      <w:pPr>
        <w:spacing w:after="0" w:line="10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Arial" w:cs="Arial" w:eastAsia="Arial" w:hAnsi="Arial"/>
          <w:sz w:val="18"/>
          <w:szCs w:val="18"/>
          <w:color w:val="auto"/>
        </w:rPr>
      </w:pPr>
    </w:p>
    <w:p>
      <w:pPr>
        <w:ind w:left="1300" w:right="160" w:hanging="644"/>
        <w:spacing w:after="0" w:line="263" w:lineRule="auto"/>
        <w:tabs>
          <w:tab w:leader="none" w:pos="129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80" w:hanging="644"/>
        <w:spacing w:after="0" w:line="263" w:lineRule="auto"/>
        <w:tabs>
          <w:tab w:leader="none" w:pos="12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Kathy J. Warden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David F. Keffer, certify that:</w:t>
      </w:r>
    </w:p>
    <w:p>
      <w:pPr>
        <w:spacing w:after="0" w:line="10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Arial" w:cs="Arial" w:eastAsia="Arial" w:hAnsi="Arial"/>
          <w:sz w:val="18"/>
          <w:szCs w:val="18"/>
          <w:color w:val="auto"/>
        </w:rPr>
      </w:pPr>
    </w:p>
    <w:p>
      <w:pPr>
        <w:ind w:left="1300" w:right="160" w:hanging="644"/>
        <w:spacing w:after="0" w:line="263" w:lineRule="auto"/>
        <w:tabs>
          <w:tab w:leader="none" w:pos="129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80" w:hanging="644"/>
        <w:spacing w:after="0" w:line="263"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David F. Keffer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240"/>
          </w:cols>
          <w:pgMar w:left="320" w:top="89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September 30, 2021, as filed with the Securities and Exchange Commission on the date hereof (the “Report”), I, Kathy J. Warden, Chairman, Chief Executive Officer and President of the company, certify, pursuant to 18 U.S.C. § 1350, as adopted pursuant to § 906 of the Sarbanes-Oxley Act of 2002, that:</w:t>
      </w:r>
    </w:p>
    <w:p>
      <w:pPr>
        <w:spacing w:after="0" w:line="44" w:lineRule="exact"/>
        <w:rPr>
          <w:sz w:val="20"/>
          <w:szCs w:val="20"/>
          <w:color w:val="auto"/>
        </w:rPr>
      </w:pPr>
    </w:p>
    <w:p>
      <w:pPr>
        <w:ind w:left="980" w:hanging="648"/>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Kathy J. Warden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89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In connection with the Quarterly Report of Northrop Grumman Corporation (the “company”) on Form 10-Q for the period ended September 30, 2021,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27" w:lineRule="exact"/>
        <w:rPr>
          <w:sz w:val="20"/>
          <w:szCs w:val="20"/>
          <w:color w:val="auto"/>
        </w:rPr>
      </w:pPr>
    </w:p>
    <w:p>
      <w:pPr>
        <w:ind w:left="980" w:hanging="648"/>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7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David F. Keffer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52" Type="http://schemas.openxmlformats.org/officeDocument/2006/relationships/hyperlink" Target="http://www.sec.gov/Archives/edgar/data/1133421/000095012311032455/v59140exv10w1.htm" TargetMode="External"/><Relationship Id="rId53" Type="http://schemas.openxmlformats.org/officeDocument/2006/relationships/hyperlink" Target="http://www.sec.gov/Archives/edgar/data/1133421/000095012311032455/v59140exv10w2.htm" TargetMode="External"/><Relationship Id="rId54" Type="http://schemas.openxmlformats.org/officeDocument/2006/relationships/hyperlink" Target="http://www.sec.gov/Archives/edgar/data/1133421/000095015717001299/ex2-1.htm" TargetMode="External"/><Relationship Id="rId55" Type="http://schemas.openxmlformats.org/officeDocument/2006/relationships/hyperlink" Target="https://www.sec.gov/Archives/edgar/data/866121/000095015714000426/ex2-1.htm" TargetMode="External"/><Relationship Id="rId56" Type="http://schemas.openxmlformats.org/officeDocument/2006/relationships/hyperlink" Target="https://www.sec.gov/Archives/edgar/data/1133421/000095015721000904/ex4-1.htm" TargetMode="External"/><Relationship Id="rId57" Type="http://schemas.openxmlformats.org/officeDocument/2006/relationships/hyperlink" Target="https://www.sec.gov/Archives/edgar/data/1133421/000095015721000904/ex4-2.htm" TargetMode="External"/><Relationship Id="rId58" Type="http://schemas.openxmlformats.org/officeDocument/2006/relationships/hyperlink" Target="https://www.sec.gov/Archives/edgar/data/1133421/000119312521265095/d216834dex41.htm" TargetMode="External"/><Relationship Id="rId59" Type="http://schemas.openxmlformats.org/officeDocument/2006/relationships/hyperlink" Target="https://www.sec.gov/Archives/edgar/data/1133421/000119312521265095/d216834dex48.htm" TargetMode="External"/><Relationship Id="rId60" Type="http://schemas.openxmlformats.org/officeDocument/2006/relationships/hyperlink" Target="https://www.sec.gov/Archives/edgar/data/1133421/000095015721000904/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2021-10-28T05:43:38Z</dcterms:created>
  <dcterms:modified xsi:type="dcterms:W3CDTF">2021-10-28T05:43:38Z</dcterms:modified>
</cp:coreProperties>
</file>