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17145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1" w:lineRule="exact"/>
        <w:rPr>
          <w:sz w:val="24"/>
          <w:szCs w:val="24"/>
          <w:color w:val="auto"/>
        </w:rPr>
      </w:pPr>
    </w:p>
    <w:p>
      <w:pPr>
        <w:ind w:left="1380" w:right="2000" w:hanging="825"/>
        <w:spacing w:after="0" w:line="232"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QUARTERLY REPORT 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March 31, 2022</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04" w:lineRule="exact"/>
        <w:rPr>
          <w:sz w:val="24"/>
          <w:szCs w:val="24"/>
          <w:color w:val="auto"/>
        </w:rPr>
      </w:pPr>
    </w:p>
    <w:p>
      <w:pPr>
        <w:ind w:left="1380" w:right="1980" w:hanging="825"/>
        <w:spacing w:after="0" w:line="232" w:lineRule="auto"/>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50"/>
              <w:spacing w:after="0"/>
              <w:rPr>
                <w:sz w:val="20"/>
                <w:szCs w:val="20"/>
                <w:color w:val="auto"/>
              </w:rPr>
            </w:pPr>
            <w:r>
              <w:rPr>
                <w:rFonts w:ascii="Arial" w:cs="Arial" w:eastAsia="Arial" w:hAnsi="Arial"/>
                <w:sz w:val="18"/>
                <w:szCs w:val="18"/>
                <w:b w:val="1"/>
                <w:bCs w:val="1"/>
                <w:color w:val="auto"/>
              </w:rPr>
              <w:t>80-0640649</w:t>
            </w:r>
          </w:p>
        </w:tc>
      </w:tr>
      <w:tr>
        <w:trPr>
          <w:trHeight w:val="176"/>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76" w:lineRule="exact"/>
              <w:rPr>
                <w:sz w:val="20"/>
                <w:szCs w:val="20"/>
                <w:color w:val="auto"/>
              </w:rPr>
            </w:pPr>
            <w:r>
              <w:rPr>
                <w:rFonts w:ascii="Arial" w:cs="Arial" w:eastAsia="Arial" w:hAnsi="Arial"/>
                <w:sz w:val="18"/>
                <w:szCs w:val="18"/>
                <w:color w:val="auto"/>
                <w:w w:val="92"/>
              </w:rPr>
              <w:t>(State or other jurisdiction of</w:t>
            </w:r>
          </w:p>
        </w:tc>
        <w:tc>
          <w:tcPr>
            <w:tcW w:w="4140" w:type="dxa"/>
            <w:vAlign w:val="bottom"/>
          </w:tcPr>
          <w:p>
            <w:pPr>
              <w:jc w:val="center"/>
              <w:ind w:right="13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310"/>
              <w:spacing w:after="0"/>
              <w:rPr>
                <w:sz w:val="20"/>
                <w:szCs w:val="20"/>
                <w:color w:val="auto"/>
              </w:rPr>
            </w:pPr>
            <w:r>
              <w:rPr>
                <w:rFonts w:ascii="Arial" w:cs="Arial" w:eastAsia="Arial" w:hAnsi="Arial"/>
                <w:sz w:val="18"/>
                <w:szCs w:val="18"/>
                <w:color w:val="auto"/>
                <w:w w:val="95"/>
              </w:rPr>
              <w:t>Identification No.)</w:t>
            </w:r>
          </w:p>
        </w:tc>
      </w:tr>
      <w:tr>
        <w:trPr>
          <w:trHeight w:val="332"/>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4"/>
              </w:rPr>
              <w:t>2980 Fairview Park Drive</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1"/>
              </w:rPr>
              <w:t>Falls Church, Virginia</w:t>
            </w:r>
          </w:p>
        </w:tc>
        <w:tc>
          <w:tcPr>
            <w:tcW w:w="4140" w:type="dxa"/>
            <w:vAlign w:val="bottom"/>
          </w:tcPr>
          <w:p>
            <w:pPr>
              <w:jc w:val="right"/>
              <w:ind w:right="2450"/>
              <w:spacing w:after="0"/>
              <w:rPr>
                <w:sz w:val="20"/>
                <w:szCs w:val="20"/>
                <w:color w:val="auto"/>
              </w:rPr>
            </w:pPr>
            <w:r>
              <w:rPr>
                <w:rFonts w:ascii="Arial" w:cs="Arial" w:eastAsia="Arial" w:hAnsi="Arial"/>
                <w:sz w:val="18"/>
                <w:szCs w:val="18"/>
                <w:b w:val="1"/>
                <w:bCs w:val="1"/>
                <w:color w:val="auto"/>
              </w:rPr>
              <w:t>22042</w:t>
            </w:r>
          </w:p>
        </w:tc>
      </w:tr>
      <w:tr>
        <w:trPr>
          <w:trHeight w:val="230"/>
        </w:trPr>
        <w:tc>
          <w:tcPr>
            <w:tcW w:w="7120" w:type="dxa"/>
            <w:vAlign w:val="bottom"/>
            <w:gridSpan w:val="3"/>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414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83"/>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14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8"/>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21" w:lineRule="exact"/>
        <w:rPr>
          <w:sz w:val="24"/>
          <w:szCs w:val="24"/>
          <w:color w:val="auto"/>
        </w:rPr>
      </w:pPr>
    </w:p>
    <w:p>
      <w:pPr>
        <w:ind w:right="3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40"/>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7"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April 25, 2022, 155,444,603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20" w:type="dxa"/>
            <w:vAlign w:val="bottom"/>
            <w:gridSpan w:val="19"/>
          </w:tcPr>
          <w:p>
            <w:pPr>
              <w:jc w:val="center"/>
              <w:ind w:right="37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Earnings and Comprehensive Income</w:t>
              </w:r>
            </w:hyperlink>
          </w:p>
        </w:tc>
        <w:tc>
          <w:tcPr>
            <w:tcW w:w="3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Financial Position</w:t>
              </w:r>
            </w:hyperlink>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8"/>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Cash Flows</w:t>
              </w:r>
            </w:hyperlink>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0"/>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Changes in Shareholders’ Equity</w:t>
              </w:r>
            </w:hyperlink>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jc w:val="right"/>
              <w:ind w:right="2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1540" w:type="dxa"/>
            <w:vAlign w:val="bottom"/>
            <w:tcBorders>
              <w:top w:val="single" w:sz="8" w:color="0000FF"/>
            </w:tcBorders>
            <w:gridSpan w:val="7"/>
          </w:tcPr>
          <w:p>
            <w:pPr>
              <w:ind w:left="20"/>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Basis of Presentation</w:t>
              </w:r>
            </w:hyperlink>
          </w:p>
        </w:tc>
        <w:tc>
          <w:tcPr>
            <w:tcW w:w="1960" w:type="dxa"/>
            <w:vAlign w:val="bottom"/>
            <w:tcBorders>
              <w:top w:val="single" w:sz="8" w:color="0000FF"/>
            </w:tcBorders>
            <w:gridSpan w:val="15"/>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2.</w:t>
              </w:r>
            </w:hyperlink>
          </w:p>
        </w:tc>
        <w:tc>
          <w:tcPr>
            <w:tcW w:w="5340" w:type="dxa"/>
            <w:vAlign w:val="bottom"/>
            <w:gridSpan w:val="31"/>
          </w:tcPr>
          <w:p>
            <w:pPr>
              <w:ind w:left="20"/>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Earnings Per Share, Share Repurchases and Dividends on Common Stock</w:t>
              </w:r>
            </w:hyperlink>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3.</w:t>
              </w:r>
            </w:hyperlink>
          </w:p>
        </w:tc>
        <w:tc>
          <w:tcPr>
            <w:tcW w:w="5340" w:type="dxa"/>
            <w:vAlign w:val="bottom"/>
            <w:gridSpan w:val="31"/>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Income Taxes</w:t>
              </w:r>
            </w:hyperlink>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4.</w:t>
              </w:r>
            </w:hyperlink>
          </w:p>
        </w:tc>
        <w:tc>
          <w:tcPr>
            <w:tcW w:w="9020" w:type="dxa"/>
            <w:vAlign w:val="bottom"/>
            <w:gridSpan w:val="33"/>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Fair Value of Financial Instruments</w:t>
              </w:r>
            </w:hyperlink>
          </w:p>
        </w:tc>
        <w:tc>
          <w:tcPr>
            <w:tcW w:w="30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5.</w:t>
              </w:r>
            </w:hyperlink>
          </w:p>
        </w:tc>
        <w:tc>
          <w:tcPr>
            <w:tcW w:w="9020" w:type="dxa"/>
            <w:vAlign w:val="bottom"/>
            <w:gridSpan w:val="33"/>
          </w:tcPr>
          <w:p>
            <w:pPr>
              <w:ind w:left="20"/>
              <w:spacing w:after="0"/>
              <w:rPr>
                <w:rFonts w:ascii="Arial" w:cs="Arial" w:eastAsia="Arial" w:hAnsi="Arial"/>
                <w:sz w:val="18"/>
                <w:szCs w:val="18"/>
                <w:color w:val="0000FF"/>
              </w:rPr>
            </w:pPr>
            <w:hyperlink w:anchor="page12">
              <w:r>
                <w:rPr>
                  <w:rFonts w:ascii="Arial" w:cs="Arial" w:eastAsia="Arial" w:hAnsi="Arial"/>
                  <w:sz w:val="18"/>
                  <w:szCs w:val="18"/>
                  <w:color w:val="0000FF"/>
                </w:rPr>
                <w:t>Investigations, Claims and Litigation</w:t>
              </w:r>
            </w:hyperlink>
          </w:p>
        </w:tc>
        <w:tc>
          <w:tcPr>
            <w:tcW w:w="300" w:type="dxa"/>
            <w:vAlign w:val="bottom"/>
            <w:gridSpan w:val="3"/>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ind w:right="2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6.</w:t>
              </w:r>
            </w:hyperlink>
          </w:p>
        </w:tc>
        <w:tc>
          <w:tcPr>
            <w:tcW w:w="2420" w:type="dxa"/>
            <w:vAlign w:val="bottom"/>
            <w:tcBorders>
              <w:top w:val="single" w:sz="8" w:color="0000FF"/>
              <w:bottom w:val="single" w:sz="8" w:color="0000FF"/>
            </w:tcBorders>
            <w:gridSpan w:val="16"/>
          </w:tcPr>
          <w:p>
            <w:pPr>
              <w:ind w:left="2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Commitments and Contingencies</w:t>
              </w:r>
            </w:hyperlink>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7.</w:t>
              </w:r>
            </w:hyperlink>
          </w:p>
        </w:tc>
        <w:tc>
          <w:tcPr>
            <w:tcW w:w="9020" w:type="dxa"/>
            <w:vAlign w:val="bottom"/>
            <w:gridSpan w:val="33"/>
          </w:tcPr>
          <w:p>
            <w:pPr>
              <w:ind w:left="20"/>
              <w:spacing w:after="0"/>
              <w:rPr>
                <w:rFonts w:ascii="Arial" w:cs="Arial" w:eastAsia="Arial" w:hAnsi="Arial"/>
                <w:sz w:val="18"/>
                <w:szCs w:val="18"/>
                <w:color w:val="0000FF"/>
              </w:rPr>
            </w:pPr>
            <w:hyperlink w:anchor="page14">
              <w:r>
                <w:rPr>
                  <w:rFonts w:ascii="Arial" w:cs="Arial" w:eastAsia="Arial" w:hAnsi="Arial"/>
                  <w:sz w:val="18"/>
                  <w:szCs w:val="18"/>
                  <w:color w:val="0000FF"/>
                </w:rPr>
                <w:t>Retirement Benefits</w:t>
              </w:r>
            </w:hyperlink>
          </w:p>
        </w:tc>
        <w:tc>
          <w:tcPr>
            <w:tcW w:w="30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13</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8.</w:t>
              </w:r>
            </w:hyperlink>
          </w:p>
        </w:tc>
        <w:tc>
          <w:tcPr>
            <w:tcW w:w="4860" w:type="dxa"/>
            <w:vAlign w:val="bottom"/>
            <w:tcBorders>
              <w:bottom w:val="single" w:sz="8" w:color="0000FF"/>
            </w:tcBorders>
            <w:gridSpan w:val="27"/>
          </w:tcPr>
          <w:p>
            <w:pPr>
              <w:ind w:left="2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Stock Compensation Plans and Other Compensation Arrangements</w:t>
              </w:r>
            </w:hyperlink>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13</w:t>
              </w:r>
            </w:hyperlink>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9.</w:t>
              </w:r>
            </w:hyperlink>
          </w:p>
        </w:tc>
        <w:tc>
          <w:tcPr>
            <w:tcW w:w="1560" w:type="dxa"/>
            <w:vAlign w:val="bottom"/>
            <w:tcBorders>
              <w:bottom w:val="single" w:sz="8" w:color="0000FF"/>
            </w:tcBorders>
            <w:gridSpan w:val="8"/>
          </w:tcPr>
          <w:p>
            <w:pPr>
              <w:ind w:left="20"/>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Segment Information</w:t>
              </w:r>
            </w:hyperlink>
          </w:p>
        </w:tc>
        <w:tc>
          <w:tcPr>
            <w:tcW w:w="7460" w:type="dxa"/>
            <w:vAlign w:val="bottom"/>
            <w:gridSpan w:val="2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14</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9"/>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Report of Independent Registered Public Accounting Firm</w:t>
              </w:r>
            </w:hyperlink>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18</w:t>
              </w:r>
            </w:hyperlink>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38"/>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Overview</w:t>
              </w:r>
            </w:hyperlink>
          </w:p>
        </w:tc>
        <w:tc>
          <w:tcPr>
            <w:tcW w:w="3380" w:type="dxa"/>
            <w:vAlign w:val="bottom"/>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Consolidated Operating Results</w:t>
              </w:r>
            </w:hyperlink>
          </w:p>
        </w:tc>
        <w:tc>
          <w:tcPr>
            <w:tcW w:w="30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Segment Operating Results</w:t>
              </w:r>
            </w:hyperlink>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24</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Product and Service Analysis</w:t>
              </w:r>
            </w:hyperlink>
          </w:p>
        </w:tc>
        <w:tc>
          <w:tcPr>
            <w:tcW w:w="3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Backlog</w:t>
              </w:r>
            </w:hyperlink>
          </w:p>
        </w:tc>
        <w:tc>
          <w:tcPr>
            <w:tcW w:w="1520" w:type="dxa"/>
            <w:vAlign w:val="bottom"/>
            <w:tcBorders>
              <w:top w:val="single" w:sz="8" w:color="0000FF"/>
            </w:tcBorders>
            <w:gridSpan w:val="8"/>
          </w:tcPr>
          <w:p>
            <w:pPr>
              <w:spacing w:after="0"/>
              <w:rPr>
                <w:sz w:val="18"/>
                <w:szCs w:val="18"/>
                <w:color w:val="auto"/>
              </w:rPr>
            </w:pPr>
          </w:p>
        </w:tc>
        <w:tc>
          <w:tcPr>
            <w:tcW w:w="738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29</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Liquidity and Capital Resources</w:t>
              </w:r>
            </w:hyperlink>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Critical Accounting Policies, Estimates and Judgments</w:t>
              </w:r>
            </w:hyperlink>
          </w:p>
        </w:tc>
        <w:tc>
          <w:tcPr>
            <w:tcW w:w="3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Accounting Standards Updates</w:t>
              </w:r>
            </w:hyperlink>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Forward-Looking Statements and Projections</w:t>
              </w:r>
            </w:hyperlink>
          </w:p>
        </w:tc>
        <w:tc>
          <w:tcPr>
            <w:tcW w:w="3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10"/>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3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3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2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33</w:t>
              </w:r>
            </w:hyperlink>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 OTHER INFORMATION</w:t>
              </w:r>
            </w:hyperlink>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3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30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36">
              <w:r>
                <w:rPr>
                  <w:rFonts w:ascii="Arial" w:cs="Arial" w:eastAsia="Arial" w:hAnsi="Arial"/>
                  <w:sz w:val="18"/>
                  <w:szCs w:val="18"/>
                  <w:color w:val="0000FF"/>
                  <w:w w:val="87"/>
                </w:rPr>
                <w:t>Risk Factors</w:t>
              </w:r>
            </w:hyperlink>
          </w:p>
        </w:tc>
        <w:tc>
          <w:tcPr>
            <w:tcW w:w="420" w:type="dxa"/>
            <w:vAlign w:val="bottom"/>
            <w:tcBorders>
              <w:top w:val="single" w:sz="8" w:color="0000FF"/>
            </w:tcBorders>
            <w:gridSpan w:val="3"/>
          </w:tcPr>
          <w:p>
            <w:pPr>
              <w:spacing w:after="0"/>
              <w:rPr>
                <w:sz w:val="18"/>
                <w:szCs w:val="18"/>
                <w:color w:val="auto"/>
              </w:rPr>
            </w:pPr>
          </w:p>
        </w:tc>
        <w:tc>
          <w:tcPr>
            <w:tcW w:w="8500" w:type="dxa"/>
            <w:vAlign w:val="bottom"/>
            <w:gridSpan w:val="2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28"/>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Unregistered Sales of Equity Securities and Use of Proceeds</w:t>
              </w:r>
            </w:hyperlink>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Exhibits</w:t>
              </w:r>
            </w:hyperlink>
          </w:p>
        </w:tc>
        <w:tc>
          <w:tcPr>
            <w:tcW w:w="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r>
      <w:tr>
        <w:trPr>
          <w:trHeight w:val="210"/>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Signatures</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90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6"/>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7"/>
        </w:trPr>
        <w:tc>
          <w:tcPr>
            <w:tcW w:w="1080" w:type="dxa"/>
            <w:vAlign w:val="bottom"/>
          </w:tcPr>
          <w:p>
            <w:pPr>
              <w:spacing w:after="0"/>
              <w:rPr>
                <w:sz w:val="24"/>
                <w:szCs w:val="24"/>
                <w:color w:val="auto"/>
              </w:rPr>
            </w:pPr>
          </w:p>
        </w:tc>
        <w:tc>
          <w:tcPr>
            <w:tcW w:w="7820" w:type="dxa"/>
            <w:vAlign w:val="bottom"/>
          </w:tcPr>
          <w:p>
            <w:pPr>
              <w:ind w:left="302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2"/>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1"/>
              </w:rPr>
              <w:t>Three Months Ended March 31</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22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6,841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7,022</w:t>
            </w:r>
          </w:p>
        </w:tc>
      </w:tr>
      <w:tr>
        <w:trPr>
          <w:trHeight w:val="229"/>
        </w:trPr>
        <w:tc>
          <w:tcPr>
            <w:tcW w:w="89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1,956</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8,797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w:t>
            </w:r>
          </w:p>
        </w:tc>
      </w:tr>
      <w:tr>
        <w:trPr>
          <w:trHeight w:val="22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5,380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5,690</w:t>
            </w:r>
          </w:p>
        </w:tc>
      </w:tr>
      <w:tr>
        <w:trPr>
          <w:trHeight w:val="229"/>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29"/>
        </w:trPr>
        <w:tc>
          <w:tcPr>
            <w:tcW w:w="89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r>
      <w:tr>
        <w:trPr>
          <w:trHeight w:val="223"/>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7,900</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8,315</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r>
      <w:tr>
        <w:trPr>
          <w:trHeight w:val="22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Non-operating FAS pension benefit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376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89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1,144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3,016</w:t>
            </w:r>
          </w:p>
        </w:tc>
      </w:tr>
      <w:tr>
        <w:trPr>
          <w:trHeight w:val="230"/>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189</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955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03"/>
        </w:trPr>
        <w:tc>
          <w:tcPr>
            <w:tcW w:w="108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6.12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13.46</w:t>
            </w:r>
          </w:p>
        </w:tc>
      </w:tr>
      <w:tr>
        <w:trPr>
          <w:trHeight w:val="23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156.0</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r>
      <w:tr>
        <w:trPr>
          <w:trHeight w:val="229"/>
        </w:trPr>
        <w:tc>
          <w:tcPr>
            <w:tcW w:w="890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6.10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37"/>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156.6</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03"/>
        </w:trPr>
        <w:tc>
          <w:tcPr>
            <w:tcW w:w="10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 (from above)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r>
      <w:tr>
        <w:trPr>
          <w:trHeight w:val="229"/>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unamortized prior service credit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9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Change in cumulative translation adjustment and other,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952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par value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March 31, 2022</w:t>
            </w: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December 31, 2021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2,174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6,118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Inventoried costs,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713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11,556</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w w:val="93"/>
              </w:rPr>
              <w:t>Property, plant and equipment, net of accumulated depreciation of $6,961 for 2022 and $6,819 for 2021</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8,017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17,523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17,515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220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2,352</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41,903</w:t>
            </w:r>
          </w:p>
        </w:tc>
        <w:tc>
          <w:tcPr>
            <w:tcW w:w="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42,579</w:t>
            </w: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2,050</w:t>
            </w:r>
          </w:p>
        </w:tc>
        <w:tc>
          <w:tcPr>
            <w:tcW w:w="6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Accrued employee compensation</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1,532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payments and billings in excess of costs incurred</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2,876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2,392</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8,850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Long-term debt, net of current portion of $7 for 2022 and $6 for 2021</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12,825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 plan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2,979</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1,661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1,991</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28,616</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29,653</w:t>
            </w:r>
          </w:p>
        </w:tc>
        <w:tc>
          <w:tcPr>
            <w:tcW w:w="0" w:type="dxa"/>
            <w:vAlign w:val="bottom"/>
          </w:tcPr>
          <w:p>
            <w:pPr>
              <w:spacing w:after="0"/>
              <w:rPr>
                <w:sz w:val="1"/>
                <w:szCs w:val="1"/>
                <w:color w:val="auto"/>
              </w:rPr>
            </w:pPr>
          </w:p>
        </w:tc>
      </w:tr>
      <w:tr>
        <w:trPr>
          <w:trHeight w:val="128"/>
        </w:trPr>
        <w:tc>
          <w:tcPr>
            <w:tcW w:w="7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Common stock, $1 par value; 800,000,000 shares authorized; issued and outstanding: 2022—155,581,611</w:t>
            </w:r>
          </w:p>
        </w:tc>
        <w:tc>
          <w:tcPr>
            <w:tcW w:w="2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w:t>
            </w:r>
          </w:p>
        </w:tc>
        <w:tc>
          <w:tcPr>
            <w:tcW w:w="6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2021—156,284,423</w:t>
            </w:r>
          </w:p>
        </w:tc>
        <w:tc>
          <w:tcPr>
            <w:tcW w:w="2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13,277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13,287</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41,903</w:t>
            </w:r>
          </w:p>
        </w:tc>
        <w:tc>
          <w:tcPr>
            <w:tcW w:w="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3"/>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955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2,195</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used in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303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Net periodic pension and OPB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OPB contributions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(626)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Inventoried costs,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8800" w:type="dxa"/>
            <w:vAlign w:val="bottom"/>
          </w:tcPr>
          <w:p>
            <w:pPr>
              <w:ind w:left="360"/>
              <w:spacing w:after="0"/>
              <w:rPr>
                <w:sz w:val="20"/>
                <w:szCs w:val="20"/>
                <w:color w:val="auto"/>
              </w:rPr>
            </w:pPr>
            <w:r>
              <w:rPr>
                <w:rFonts w:ascii="Arial" w:cs="Arial" w:eastAsia="Arial" w:hAnsi="Arial"/>
                <w:sz w:val="18"/>
                <w:szCs w:val="18"/>
                <w:color w:val="auto"/>
              </w:rPr>
              <w:t>Income taxes payable, net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361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8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 of IT services business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r>
      <w:tr>
        <w:trPr>
          <w:trHeight w:val="237"/>
        </w:trPr>
        <w:tc>
          <w:tcPr>
            <w:tcW w:w="8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Common stock repurchases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dividends paid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29"/>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3,530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2,174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ind w:right="352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1"/>
              </w:rPr>
              <w:t>Three Months Ended March 31</w:t>
            </w:r>
          </w:p>
        </w:tc>
      </w:tr>
      <w:tr>
        <w:trPr>
          <w:trHeight w:val="22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Shares issued for employee stock awards and options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Paid-in capital</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8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9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12,913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10,482</w:t>
            </w: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r>
      <w:tr>
        <w:trPr>
          <w:trHeight w:val="229"/>
        </w:trPr>
        <w:tc>
          <w:tcPr>
            <w:tcW w:w="890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955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2,195</w:t>
            </w:r>
          </w:p>
        </w:tc>
      </w:tr>
      <w:tr>
        <w:trPr>
          <w:trHeight w:val="23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8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13,277</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10,487</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13,287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w:t>
            </w:r>
          </w:p>
        </w:tc>
      </w:tr>
      <w:tr>
        <w:trPr>
          <w:trHeight w:val="237"/>
        </w:trPr>
        <w:tc>
          <w:tcPr>
            <w:tcW w:w="8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5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Effective January 30, 2021 (the “Divestiture date”), we completed the sale of our IT and mission support services business (the “IT services divestiture”) for $3.4 billion in cash and recorded a pre-tax gain on sale of $2.0 billion. The IT and mission support services business was comprised of the majority of the former Information Solutions and Services (IS&amp;S) division of Defense Systems (excluding the Vinnell Arabia business); select cyber, intelligence and missions support programs, which were part of the former Cyber and Intelligence Mission Solutions (CIMS) division of Mission Systems; and the former Space Technical Services business unit of Space Systems. Operating results include sales and operating income for the IT and mission support services business prior to the Divestiture date. Sales and pre-tax profit for the IT and mission support services business were $162 million and $20 million for the three months ended March 31, 2021, respectively.</w:t>
      </w:r>
    </w:p>
    <w:p>
      <w:pPr>
        <w:spacing w:after="0" w:line="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results reported in these financial statements are not necessarily indicative of results that may be expected for the entire year. These financial statements should be read in conjunction with the information contained in the company’s 2021 Annual Report on Form 10-K. During the second quarter of 2021, we changed the presentation of the retiree benefits components in the operating cash flow section of the unaudited condensed consolidated statement of cash flows. Prior period amounts have been conformed to current period presentation and this change does not impact previously reported cash provided by operating activities.</w:t>
      </w:r>
    </w:p>
    <w:p>
      <w:pPr>
        <w:spacing w:after="0" w:line="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7"/>
        </w:trPr>
        <w:tc>
          <w:tcPr>
            <w:tcW w:w="8800" w:type="dxa"/>
            <w:vAlign w:val="bottom"/>
            <w:gridSpan w:val="2"/>
          </w:tcPr>
          <w:p>
            <w:pPr>
              <w:spacing w:after="0"/>
              <w:rPr>
                <w:sz w:val="20"/>
                <w:szCs w:val="20"/>
                <w:color w:val="auto"/>
              </w:rPr>
            </w:pPr>
            <w:r>
              <w:rPr>
                <w:rFonts w:ascii="Arial" w:cs="Arial" w:eastAsia="Arial" w:hAnsi="Arial"/>
                <w:sz w:val="18"/>
                <w:szCs w:val="18"/>
                <w:color w:val="auto"/>
              </w:rPr>
              <w:t>The following table presents the effect of aggregate net EAC adjustments: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3"/>
              </w:rPr>
              <w:t>Three Months Ended March 31</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173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88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800" w:type="dxa"/>
            <w:vAlign w:val="bottom"/>
            <w:tcBorders>
              <w:bottom w:val="single" w:sz="8" w:color="auto"/>
            </w:tcBorders>
            <w:gridSpan w:val="2"/>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0.87</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r>
    </w:tbl>
    <w:p>
      <w:pPr>
        <w:spacing w:after="0" w:line="165"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b w:val="1"/>
          <w:bCs w:val="1"/>
          <w:color w:val="auto"/>
          <w:vertAlign w:val="superscript"/>
        </w:rPr>
      </w:pPr>
      <w:r>
        <w:rPr>
          <w:rFonts w:ascii="Arial" w:cs="Arial" w:eastAsia="Arial" w:hAnsi="Arial"/>
          <w:sz w:val="14"/>
          <w:szCs w:val="14"/>
          <w:color w:val="auto"/>
        </w:rPr>
        <w:t>Based on a 21 percent statutory tax rate.</w:t>
      </w:r>
    </w:p>
    <w:p>
      <w:pPr>
        <w:spacing w:after="0" w:line="7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EAC adjustments on a single performance obligation can have a significant effect on the company’s financial statements. When such adjustments occur, we generally disclose the nature, underlying conditions and financial impact of the adjustments. During the three months ended March 31, 2022, we recorded a $67 million favorable EAC adjustment on the engineering, manufacturing and development phase of the B-21 program at Aeronautics Systems largely related to performance incentives. No such adjustments were material to the financial statements during the three months ended March 31, 2021.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5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Company backlog as of March 31, 2022 was $75.8 billion. Of our March 31, 2022 backlog, we expect to recognize approximately 40 percent as revenue over the next 12 months and 60 percent as revenue over the next 24 months, with the remainder to be recognized thereafter.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months ended March 31, 2022 and 2021 that was included in the contract liability balances at the beginning of each year was $1.4 billion and $1.1 billion,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During the three months ended March 31, 2022, the company acquired $46 million of internal use software through long-term financing directly with the supplier. The software was recorded in PP&amp;E as a non-cash investing activity and the related liability was recorded in long-term debt as a non-cash financing activity. During the three months ended March 31, 2022, the company received lease incentives for landlord funded leasehold improvements of $35 million related to a Space Systems real estate lease, which were recorded in PP&amp;E and included in non-cash investing activities. Non-cash investing activities also include capital expenditures incurred but not yet paid of $56 million and $58 million as of March 31, 2022 and 2021,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net of tax,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March 31, 2022</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December 31, 2021</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prior service credit</w:t>
            </w:r>
          </w:p>
        </w:tc>
        <w:tc>
          <w:tcPr>
            <w:tcW w:w="2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Cumulative translation adjustment and other, net</w:t>
            </w:r>
          </w:p>
        </w:tc>
        <w:tc>
          <w:tcPr>
            <w:tcW w:w="2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2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Accounting standards updates adopted and/or issued, but not effective until after March 31, 2022, are not expected to have a material effect on the company’s unaudited condensed consolidated financial position, annual results of operations and/or cash flows.</w:t>
      </w:r>
    </w:p>
    <w:p>
      <w:pPr>
        <w:spacing w:after="0" w:line="103" w:lineRule="exact"/>
        <w:rPr>
          <w:sz w:val="20"/>
          <w:szCs w:val="20"/>
          <w:color w:val="auto"/>
        </w:rPr>
      </w:pPr>
    </w:p>
    <w:p>
      <w:pPr>
        <w:ind w:right="3400"/>
        <w:spacing w:after="0" w:line="308" w:lineRule="auto"/>
        <w:rPr>
          <w:sz w:val="20"/>
          <w:szCs w:val="20"/>
          <w:color w:val="auto"/>
        </w:rPr>
      </w:pPr>
      <w:r>
        <w:rPr>
          <w:rFonts w:ascii="Arial" w:cs="Arial" w:eastAsia="Arial" w:hAnsi="Arial"/>
          <w:sz w:val="18"/>
          <w:szCs w:val="18"/>
          <w:b w:val="1"/>
          <w:bCs w:val="1"/>
          <w:color w:val="auto"/>
        </w:rPr>
        <w:t>2. EARNINGS PER SHARE, SHARE REPURCHASES AND DIVIDENDS ON COMMON STOCK Basic Earnings Per Share</w:t>
      </w:r>
    </w:p>
    <w:p>
      <w:pPr>
        <w:ind w:right="40"/>
        <w:spacing w:after="0" w:line="305"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ind w:right="280"/>
        <w:spacing w:after="0" w:line="290" w:lineRule="auto"/>
        <w:rPr>
          <w:sz w:val="20"/>
          <w:szCs w:val="20"/>
          <w:color w:val="auto"/>
        </w:rPr>
      </w:pPr>
      <w:r>
        <w:rPr>
          <w:rFonts w:ascii="Arial" w:cs="Arial" w:eastAsia="Arial" w:hAnsi="Arial"/>
          <w:sz w:val="17"/>
          <w:szCs w:val="17"/>
          <w:color w:val="auto"/>
        </w:rPr>
        <w:t>Diluted earnings per share include the dilutive effect of awards granted to employees under stock-based compensation plans. The dilutive effect of these securities totaled 0.6 million shares and 0.4 million shares for the three months ended March 31, 2022 and 2021,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On December 4, 2018, the company’s board of directors authorized a share repurchase program of up to $3.0 billion of the company’s common stock (the “2018 Repurchase Program”). Repurchases under the 2018 Repurchase Program commenced in March 2020 and were completed in October 2021.</w:t>
      </w:r>
    </w:p>
    <w:p>
      <w:pPr>
        <w:spacing w:after="0" w:line="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25, 2021, the company’s board of directors authorized a share repurchase program of up to an additional $3.0 billion in share repurchases of the company’s common stock (the “2021 Repurchase Program”). Repurchases under the 2021 Repurchase Program commenced in October 2021 upon the completion of the 2018 Repurchase Program. As of March 31, 2022, repurchases under the 2021 Repurchase Program totaled $1.2 billion; $1.8 billion remained under this share repurchase authorization. By its terms, the 2021 Repurchase Program is set to expire when we have used all authorized funds for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24, 2022, the company’s board of directors authorized a new share repurchase program of up to an additional $2.0 billion in share repurchases of the company’s common stock (the “2022 Repurchase Program”). By its terms, repurchases under the 2022 Repurchase Program will commence upon completion of the 2021 Repurchase Program and will expire when we have used all authorized funds for repurchases. As of March 31, 2022, the company’s total outstanding share repurchase authorization totaled $3.8 billion.</w:t>
      </w:r>
    </w:p>
    <w:p>
      <w:pPr>
        <w:spacing w:after="0" w:line="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first quarter of 2021, the company entered into an accelerated share repurchase (ASR) agreement with Goldman Sachs &amp; Co. LLC (Goldman Sachs) to repurchase $2.0 billion of the company’s common stock as part of the 2018 Repurchase Program. Under the agreement, we made a payment of $2.0 billion to Goldman Sachs and received an initial delivery of 5.9 million shares valued at $1.7 billion that were immediately canceled by the company. The remaining balance of $300 million was settled on June 1, 2021 with a final delivery of 0.2 million shares from Goldman Sachs. The final average purchase price was $327.29 per share.</w:t>
      </w:r>
    </w:p>
    <w:p>
      <w:pPr>
        <w:spacing w:after="0" w:line="5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the fourth quarter of 2021, the company entered into an ASR agreement with Goldman Sachs to repurchase $500 million of the company’s common stock as part of the 2021 Repurchase Program. Under the agreement, we made a payment of $500 million to Goldman Sachs and received an initial delivery of 1.2 million shares valued at $425 million that were immediately canceled by the company. The remaining balance of $75 million was settled on February 1, 2022 with a final delivery of 0.1 million shares from Goldman Sachs. The final average purchase price was $374.79 per share.</w:t>
      </w:r>
    </w:p>
    <w:p>
      <w:pPr>
        <w:spacing w:after="0" w:line="3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8"/>
              </w:rPr>
              <w:t>(in millions)</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center"/>
              <w:ind w:right="230"/>
              <w:spacing w:after="0"/>
              <w:rPr>
                <w:sz w:val="20"/>
                <w:szCs w:val="20"/>
                <w:color w:val="auto"/>
              </w:rPr>
            </w:pPr>
            <w:r>
              <w:rPr>
                <w:rFonts w:ascii="Arial" w:cs="Arial" w:eastAsia="Arial" w:hAnsi="Arial"/>
                <w:sz w:val="18"/>
                <w:szCs w:val="18"/>
                <w:color w:val="auto"/>
                <w:w w:val="96"/>
              </w:rPr>
              <w:t>Amount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24"/>
                <w:szCs w:val="24"/>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89"/>
              </w:rPr>
              <w:t>Average</w:t>
            </w:r>
          </w:p>
        </w:tc>
        <w:tc>
          <w:tcPr>
            <w:tcW w:w="1800" w:type="dxa"/>
            <w:vAlign w:val="bottom"/>
          </w:tcPr>
          <w:p>
            <w:pPr>
              <w:spacing w:after="0"/>
              <w:rPr>
                <w:sz w:val="24"/>
                <w:szCs w:val="24"/>
                <w:color w:val="auto"/>
              </w:rPr>
            </w:pPr>
          </w:p>
        </w:tc>
        <w:tc>
          <w:tcPr>
            <w:tcW w:w="2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140"/>
        </w:trPr>
        <w:tc>
          <w:tcPr>
            <w:tcW w:w="206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88"/>
              </w:rPr>
              <w:t>Repurchase Program</w:t>
            </w:r>
          </w:p>
        </w:tc>
        <w:tc>
          <w:tcPr>
            <w:tcW w:w="380" w:type="dxa"/>
            <w:vAlign w:val="bottom"/>
          </w:tcPr>
          <w:p>
            <w:pPr>
              <w:spacing w:after="0"/>
              <w:rPr>
                <w:sz w:val="11"/>
                <w:szCs w:val="11"/>
                <w:color w:val="auto"/>
              </w:rPr>
            </w:pPr>
          </w:p>
        </w:tc>
        <w:tc>
          <w:tcPr>
            <w:tcW w:w="1320" w:type="dxa"/>
            <w:vAlign w:val="bottom"/>
            <w:vMerge w:val="restart"/>
          </w:tcPr>
          <w:p>
            <w:pPr>
              <w:jc w:val="center"/>
              <w:ind w:right="230"/>
              <w:spacing w:after="0" w:line="176" w:lineRule="exact"/>
              <w:rPr>
                <w:sz w:val="20"/>
                <w:szCs w:val="20"/>
                <w:color w:val="auto"/>
              </w:rPr>
            </w:pPr>
            <w:r>
              <w:rPr>
                <w:rFonts w:ascii="Arial" w:cs="Arial" w:eastAsia="Arial" w:hAnsi="Arial"/>
                <w:sz w:val="18"/>
                <w:szCs w:val="18"/>
                <w:color w:val="auto"/>
                <w:w w:val="92"/>
              </w:rPr>
              <w:t>Authorized</w:t>
            </w:r>
          </w:p>
        </w:tc>
        <w:tc>
          <w:tcPr>
            <w:tcW w:w="16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8"/>
              </w:rPr>
              <w:t>Shares Retired</w:t>
            </w:r>
          </w:p>
        </w:tc>
        <w:tc>
          <w:tcPr>
            <w:tcW w:w="280" w:type="dxa"/>
            <w:vAlign w:val="bottom"/>
          </w:tcPr>
          <w:p>
            <w:pPr>
              <w:spacing w:after="0"/>
              <w:rPr>
                <w:sz w:val="11"/>
                <w:szCs w:val="11"/>
                <w:color w:val="auto"/>
              </w:rPr>
            </w:pPr>
          </w:p>
        </w:tc>
        <w:tc>
          <w:tcPr>
            <w:tcW w:w="1320" w:type="dxa"/>
            <w:vAlign w:val="bottom"/>
            <w:vMerge w:val="restart"/>
          </w:tcPr>
          <w:p>
            <w:pPr>
              <w:jc w:val="center"/>
              <w:ind w:right="270"/>
              <w:spacing w:after="0" w:line="176" w:lineRule="exact"/>
              <w:rPr>
                <w:sz w:val="20"/>
                <w:szCs w:val="20"/>
                <w:color w:val="auto"/>
              </w:rPr>
            </w:pPr>
            <w:r>
              <w:rPr>
                <w:rFonts w:ascii="Arial" w:cs="Arial" w:eastAsia="Arial" w:hAnsi="Arial"/>
                <w:sz w:val="18"/>
                <w:szCs w:val="18"/>
                <w:color w:val="auto"/>
                <w:w w:val="87"/>
              </w:rPr>
              <w:t>Price</w:t>
            </w:r>
          </w:p>
        </w:tc>
        <w:tc>
          <w:tcPr>
            <w:tcW w:w="1800" w:type="dxa"/>
            <w:vAlign w:val="bottom"/>
          </w:tcPr>
          <w:p>
            <w:pPr>
              <w:spacing w:after="0"/>
              <w:rPr>
                <w:sz w:val="11"/>
                <w:szCs w:val="11"/>
                <w:color w:val="auto"/>
              </w:rPr>
            </w:pPr>
          </w:p>
        </w:tc>
        <w:tc>
          <w:tcPr>
            <w:tcW w:w="24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80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Date Completed</w:t>
            </w:r>
          </w:p>
        </w:tc>
        <w:tc>
          <w:tcPr>
            <w:tcW w:w="166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760" w:type="dxa"/>
            <w:vAlign w:val="bottom"/>
            <w:vMerge w:val="restart"/>
          </w:tcPr>
          <w:p>
            <w:pPr>
              <w:jc w:val="right"/>
              <w:ind w:right="310"/>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line="20" w:lineRule="exact"/>
              <w:rPr>
                <w:sz w:val="1"/>
                <w:szCs w:val="1"/>
                <w:color w:val="auto"/>
              </w:rPr>
            </w:pPr>
          </w:p>
        </w:tc>
      </w:tr>
      <w:tr>
        <w:trPr>
          <w:trHeight w:val="229"/>
        </w:trPr>
        <w:tc>
          <w:tcPr>
            <w:tcW w:w="2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Authorization Date</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6"/>
              </w:rPr>
              <w:t>(in millions)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70"/>
              <w:spacing w:after="0" w:line="230" w:lineRule="exact"/>
              <w:rPr>
                <w:sz w:val="20"/>
                <w:szCs w:val="20"/>
                <w:color w:val="auto"/>
              </w:rPr>
            </w:pPr>
            <w:r>
              <w:rPr>
                <w:rFonts w:ascii="Arial" w:cs="Arial" w:eastAsia="Arial" w:hAnsi="Arial"/>
                <w:sz w:val="18"/>
                <w:szCs w:val="18"/>
                <w:color w:val="auto"/>
                <w:w w:val="84"/>
              </w:rPr>
              <w:t>Per Share</w:t>
            </w:r>
            <w:r>
              <w:rPr>
                <w:rFonts w:ascii="Arial" w:cs="Arial" w:eastAsia="Arial" w:hAnsi="Arial"/>
                <w:sz w:val="23"/>
                <w:szCs w:val="23"/>
                <w:color w:val="auto"/>
                <w:w w:val="84"/>
                <w:vertAlign w:val="superscript"/>
              </w:rPr>
              <w:t>(1)</w:t>
            </w:r>
          </w:p>
        </w:tc>
        <w:tc>
          <w:tcPr>
            <w:tcW w:w="180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4, 2018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3,000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337.18</w:t>
            </w:r>
          </w:p>
        </w:tc>
        <w:tc>
          <w:tcPr>
            <w:tcW w:w="18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October 2021</w:t>
            </w:r>
          </w:p>
        </w:tc>
        <w:tc>
          <w:tcPr>
            <w:tcW w:w="16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January 25, 2021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3,000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379.06</w:t>
            </w:r>
          </w:p>
        </w:tc>
        <w:tc>
          <w:tcPr>
            <w:tcW w:w="180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Arial" w:cs="Arial" w:eastAsia="Arial" w:hAnsi="Arial"/>
                <w:sz w:val="18"/>
                <w:szCs w:val="18"/>
                <w:b w:val="1"/>
                <w:bCs w:val="1"/>
                <w:color w:val="auto"/>
              </w:rPr>
              <w:t>0.9</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24, 2022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2,000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 May 2021, the company increased the quarterly common stock dividend 8 percent to $1.57 per share from the previous amount of $1.45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r>
              <w:rPr>
                <w:rFonts w:ascii="Arial" w:cs="Arial" w:eastAsia="Arial" w:hAnsi="Arial"/>
                <w:sz w:val="18"/>
                <w:szCs w:val="18"/>
                <w:b w:val="1"/>
                <w:bCs w:val="1"/>
                <w:color w:val="auto"/>
              </w:rPr>
              <w:t>3.  INCOME TAXES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8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2"/>
              </w:rPr>
              <w:t>Three Months Ended March 31</w:t>
            </w:r>
          </w:p>
        </w:tc>
      </w:tr>
      <w:tr>
        <w:trPr>
          <w:trHeight w:val="223"/>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189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821</w:t>
            </w:r>
          </w:p>
        </w:tc>
      </w:tr>
      <w:tr>
        <w:trPr>
          <w:trHeight w:val="230"/>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16.5 %</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27.2 %</w:t>
            </w:r>
          </w:p>
        </w:tc>
      </w:tr>
    </w:tbl>
    <w:p>
      <w:pPr>
        <w:spacing w:after="0" w:line="16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first quarter 2022 effective tax rate (ETR) decreased to 16.5 percent from 27.2 percent primarily due to additional federal income taxes in the prior year resulting from the IT services divestiture. The company’s first quarter 2022 ETR includes benefits of $41 million for research credits and $15 million for foreign derived intangible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income (FDII). The company’s first quarter 2021 ETR included benefits of $52 million for research credits and $11 million for FDII.</w:t>
      </w:r>
    </w:p>
    <w:p>
      <w:pPr>
        <w:spacing w:after="0" w:line="9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has recorded unrecognized tax benefits related to our methods of accounting associated with the timing of revenue recognition and related costs and the 2017 Tax Cuts and Jobs Act, which includes related final revenue recognition regulations issued in December 2020 under IRC Section 451(b) and procedural guidance issued in August 2021. As of March 31, 2022, we have approximately $1.7 billion in unrecognized tax benefits, including</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$428 million related to our position on IRC Section 451(b). If these matters, including our position on IRC Section 451(b), are unfavorably resolved, there could be a material impact on our future cash flows. It is reasonably possible that within the next 12 months our unrecognized tax benefits related to these matters may increase by approximately $120 million.</w:t>
      </w:r>
    </w:p>
    <w:p>
      <w:pPr>
        <w:spacing w:after="0" w:line="68"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Our current unrecognized tax benefits, which are included in Other current liabilities in the unaudited condensed consolidated statements of financial position, were $623 million and $590 million as of March 31, 2022 and December 31, 2021, respectively, with the remainder of our unrecognized tax benefits included within Other non-current liabilities.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The Northrop Grumman 2017-2018 federal tax returns are currently under Internal Revenue Service (IRS) examination. The company’s 2014-2016 federal income tax returns and refund claims related to its 2007-2016 federal tax returns are currently under review by the IRS Appeals Office. In addition, legacy Orbital ATK (OATK) federal tax returns for the years ended March 31, 2014 and 2015, the nine-month transition period ended December 31, 2015 and calendar years 2016-2017 are currently under review by the IRS Appeals Office. It is reasonably possible that within the next twelve months, unrecognized tax benefits claimed in legacy OATK’s 2014 to 2017 tax years may decline by up to $110 million through administrative resolution with IRS Appeals.</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FAIR VALUE OF FINANCIAL INSTRUMENTS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4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March 31, 2022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1"/>
              </w:rPr>
              <w:t>December 31, 2021</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2</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3</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Level 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Level 2</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382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580"/>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450"/>
              <w:spacing w:after="0"/>
              <w:rPr>
                <w:sz w:val="20"/>
                <w:szCs w:val="20"/>
                <w:color w:val="auto"/>
              </w:rPr>
            </w:pPr>
            <w:r>
              <w:rPr>
                <w:rFonts w:ascii="Arial" w:cs="Arial" w:eastAsia="Arial" w:hAnsi="Arial"/>
                <w:sz w:val="18"/>
                <w:szCs w:val="18"/>
                <w:color w:val="auto"/>
                <w:w w:val="79"/>
              </w:rPr>
              <w:t>1</w:t>
            </w:r>
          </w:p>
        </w:tc>
        <w:tc>
          <w:tcPr>
            <w:tcW w:w="74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Marketable securities valued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using NAV</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404</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79"/>
              </w:rPr>
              <w:t>1</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9"/>
              </w:rPr>
              <w:t>(1)</w:t>
            </w: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notional value of the company’s foreign currency forward contracts at March 31, 2022 and December 31, 2021 was $126 million and $120 million, respectively. At March 31, 2022 and December 31, 2021, no portion of the notional value was designated as a cash flow hedge.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derivative fair values and related unrealized gains/losses at March 31, 2022 and December 31, 2021 were not material.</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of financial instruments into or out of Level 3 of the fair value hierarchy during the three months ended March 31,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estimated fair value of long-term debt was $13.8 billion and $15.1 billion as of March 31, 2022 and December 31, 2021,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71" w:lineRule="exact"/>
        <w:rPr>
          <w:sz w:val="20"/>
          <w:szCs w:val="20"/>
          <w:color w:val="auto"/>
        </w:rPr>
      </w:pPr>
    </w:p>
    <w:p>
      <w:pPr>
        <w:jc w:val="both"/>
        <w:ind w:right="480"/>
        <w:spacing w:after="0" w:line="287" w:lineRule="auto"/>
        <w:rPr>
          <w:sz w:val="20"/>
          <w:szCs w:val="20"/>
          <w:color w:val="auto"/>
        </w:rPr>
      </w:pPr>
      <w:r>
        <w:rPr>
          <w:rFonts w:ascii="Arial" w:cs="Arial" w:eastAsia="Arial" w:hAnsi="Arial"/>
          <w:sz w:val="16"/>
          <w:szCs w:val="16"/>
          <w:color w:val="auto"/>
        </w:rPr>
        <w:t>On September 2, 2021, the company completed an exchange offer to eligible holders of the outstanding notes of our direct wholly owned subsidiary, Northrop Grumman Systems Corporation (“NGSC”) maturing through 2036. An aggregate principal amount of $422 million of the NGSC notes was exchanged for $422 million of Northrop Grumman Corporation notes with the same interest rates and maturity dates as the NGSC notes exchanged.</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Because the debt instruments are not substantially different, the exchange was treated as a debt modification for accounting purposes with no gain or loss recognized.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 of 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March 2021, the company repaid $700 million of 3.50 percent unsecured notes upon maturity.</w:t>
      </w:r>
    </w:p>
    <w:p>
      <w:pPr>
        <w:spacing w:after="0" w:line="89"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In March 2021, the company redeemed $1.5 billion of 2.55 percent unsecured notes due October 2022. The company recorded a pre-tax charge of $54 million principally related to the premium paid on the redemption, which was recorded in Other, net in the unaudited condensed consolidated statements of earnings and comprehensive income.</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INVESTIGATIONS, CLAIMS AND LITIGATION</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May 4, 2012, the company commenced an action, </w:t>
      </w:r>
      <w:r>
        <w:rPr>
          <w:rFonts w:ascii="Arial" w:cs="Arial" w:eastAsia="Arial" w:hAnsi="Arial"/>
          <w:sz w:val="17"/>
          <w:szCs w:val="17"/>
          <w:i w:val="1"/>
          <w:iCs w:val="1"/>
          <w:color w:val="auto"/>
        </w:rPr>
        <w:t>Northrop Grumman Systems Corp. v. United States</w:t>
      </w:r>
      <w:r>
        <w:rPr>
          <w:rFonts w:ascii="Arial" w:cs="Arial" w:eastAsia="Arial" w:hAnsi="Arial"/>
          <w:sz w:val="17"/>
          <w:szCs w:val="17"/>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were delivered. The company’s lawsuit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In the course of the litigation, the United States subsequently amended its counterclaim, reducing it to seek approximately $193 million. The principal counterclaim alleges that the company delayed its performance and caused damages to the USPS because USPS did not realize certain costs savings as early as it had expected. On February 3, 2020, after extensive discovery and motions practice, the parties commenced what was expected to be a seven-week trial. After COVID-19-related interruptions, trial concluded on March 5, 2021. On October 12, 2021, the parties completed post-trial briefing, and on December 8, 2021 the court held a post-trial oral argument. Although the ultimate outcome of this matter cannot be predicted or reasonably estimated at this time, the company intends to continue vigorously to pursue and defend the matter.</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is engaged in remediation activities relating to environmental conditions allegedly resulting from historic operations at the former United States Navy and Grumman facilities in Bethpage, New York. For over 20 years, the company has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We understand that the State will soon seek court approval of the consent decree. Subject to court approval, we have also reached agreements with the Department of Defense and the Bethpage Water District to resolve claims involving these parties. We are in discussions with the South Farmingdale Water District to explore whether we can also resolve their claims at this stage.</w:t>
      </w:r>
    </w:p>
    <w:p>
      <w:pPr>
        <w:spacing w:after="0" w:line="11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have incurred, and expect to continue to incur, as included in Note 6, substantial remediation costs related to the legacy Bethpage environmental conditions. It is also possible that applicable remediation, allocation and allowability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standards and other requirements to which we are subject may continue to change, and our costs may increase materially. In addition to disputes and legal proceedings related to environmental conditions at the site (including remediation, allocation and allowability), we are a party to various, and may become a party to additional disputes and legal proceedings with individual and class action plaintiffs alleging personal injury and property damage, with insurance carriers and with other parties. We cannot at this time predict or reasonably estimate the potential cumulative outcomes or ranges of possible liability of these aggregate Bethpage matters.</w:t>
      </w:r>
    </w:p>
    <w:p>
      <w:pPr>
        <w:spacing w:after="0" w:line="13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June 2018, the FTC issued a Decision and Order enabling the company’s acquisition of OATK to proceed and providing generally for the company to continue to make solid rocket motors available to competing missile primes on a non-discriminatory basis.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from the FTC requesting certain information relating to a potential issue regarding the company’s compliance with the Order in connection with a then pending missile competition. The company promptly provided information in response to the request. The company has resumed discussions with staff at the FTC regarding our response and their views on compliance issues. We cannot predict the outcome of those discussions, but we do not believe they are likely to have a material adverse effect on the company’s unaudited condensed consolidated financial position as of March 31, 2022, or its annual results of operations and/or cash flows. We believe the company has been and continues to be in compliance with the Order.</w:t>
      </w:r>
    </w:p>
    <w:p>
      <w:pPr>
        <w:spacing w:after="0" w:line="11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March 31, 2022, or its annual results of operations and/or cash flows.</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March 31, 2022, or its annual results of operations and/or cash flows.</w:t>
      </w:r>
    </w:p>
    <w:p>
      <w:pPr>
        <w:spacing w:after="0" w:line="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U.S. government has raised questions about an interest rate assumption used by the company to determine our CAS pension expense. On June 1, 2020, the government provided written notice that the assumptions the company used during the period 2013-2019 were potentially noncompliant with CAS. We submitted a formal response on July 31, 2020, which we believe demonstrates the appropriateness of the assumptions used. On November 24, 2020, the government replied to the company’s response, disagreeing with our position and requesting additional input, which we provided on February 22, 2021 and further discussed with the government. We continue to exchange correspondence and engage with the government on this matter.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March 31, 2022 and December 31, 2021:</w:t>
      </w:r>
    </w:p>
    <w:tbl>
      <w:tblPr>
        <w:tblLayout w:type="fixed"/>
        <w:tblInd w:w="0" w:type="dxa"/>
        <w:tblCellMar>
          <w:top w:w="0" w:type="dxa"/>
          <w:left w:w="0" w:type="dxa"/>
          <w:bottom w:w="0" w:type="dxa"/>
          <w:right w:w="0" w:type="dxa"/>
        </w:tblCellMar>
      </w:tblPr>
      <w:tr>
        <w:trPr>
          <w:trHeight w:val="191"/>
        </w:trPr>
        <w:tc>
          <w:tcPr>
            <w:tcW w:w="3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Accrued Costs</w:t>
            </w:r>
            <w:r>
              <w:rPr>
                <w:rFonts w:ascii="Arial" w:cs="Arial" w:eastAsia="Arial" w:hAnsi="Arial"/>
                <w:sz w:val="23"/>
                <w:szCs w:val="23"/>
                <w:color w:val="auto"/>
                <w:vertAlign w:val="superscript"/>
              </w:rPr>
              <w:t>(1)(2)</w:t>
            </w:r>
          </w:p>
        </w:tc>
        <w:tc>
          <w:tcPr>
            <w:tcW w:w="26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0"/>
              </w:rPr>
              <w:t>Reasonably Possible Future Costs</w:t>
            </w:r>
          </w:p>
        </w:tc>
        <w:tc>
          <w:tcPr>
            <w:tcW w:w="180" w:type="dxa"/>
            <w:vAlign w:val="bottom"/>
          </w:tcPr>
          <w:p>
            <w:pPr>
              <w:spacing w:after="0"/>
              <w:rPr>
                <w:sz w:val="16"/>
                <w:szCs w:val="16"/>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w w:val="87"/>
              </w:rPr>
              <w:t>Deferred Costs</w:t>
            </w:r>
            <w:r>
              <w:rPr>
                <w:rFonts w:ascii="Arial" w:cs="Arial" w:eastAsia="Arial" w:hAnsi="Arial"/>
                <w:sz w:val="23"/>
                <w:szCs w:val="23"/>
                <w:color w:val="auto"/>
                <w:w w:val="87"/>
                <w:vertAlign w:val="superscript"/>
              </w:rPr>
              <w:t>(3)</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vMerge w:val="continue"/>
          </w:tcPr>
          <w:p>
            <w:pPr>
              <w:spacing w:after="0"/>
              <w:rPr>
                <w:sz w:val="19"/>
                <w:szCs w:val="19"/>
                <w:color w:val="auto"/>
              </w:rPr>
            </w:pPr>
          </w:p>
        </w:tc>
        <w:tc>
          <w:tcPr>
            <w:tcW w:w="354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150"/>
              <w:spacing w:after="0" w:line="230" w:lineRule="exact"/>
              <w:rPr>
                <w:sz w:val="20"/>
                <w:szCs w:val="20"/>
                <w:color w:val="auto"/>
              </w:rPr>
            </w:pPr>
            <w:r>
              <w:rPr>
                <w:rFonts w:ascii="Arial" w:cs="Arial" w:eastAsia="Arial" w:hAnsi="Arial"/>
                <w:sz w:val="18"/>
                <w:szCs w:val="18"/>
                <w:color w:val="auto"/>
                <w:w w:val="89"/>
              </w:rPr>
              <w:t>in Excess of Accrued Costs</w:t>
            </w:r>
            <w:r>
              <w:rPr>
                <w:rFonts w:ascii="Arial" w:cs="Arial" w:eastAsia="Arial" w:hAnsi="Arial"/>
                <w:sz w:val="23"/>
                <w:szCs w:val="23"/>
                <w:color w:val="auto"/>
                <w:w w:val="89"/>
                <w:vertAlign w:val="superscript"/>
              </w:rPr>
              <w:t>(2)</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2022</w:t>
            </w:r>
          </w:p>
        </w:tc>
        <w:tc>
          <w:tcPr>
            <w:tcW w:w="26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582</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 2021</w:t>
            </w:r>
          </w:p>
        </w:tc>
        <w:tc>
          <w:tcPr>
            <w:tcW w:w="2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As of March 31, 2022, $181 million is recorded in Other current liabilities and $401 million is recorded in Other non-current liabilities.</w:t>
      </w:r>
    </w:p>
    <w:p>
      <w:pPr>
        <w:spacing w:after="0" w:line="77" w:lineRule="exact"/>
        <w:rPr>
          <w:rFonts w:ascii="Arial" w:cs="Arial" w:eastAsia="Arial" w:hAnsi="Arial"/>
          <w:sz w:val="18"/>
          <w:szCs w:val="18"/>
          <w:color w:val="auto"/>
          <w:vertAlign w:val="superscript"/>
        </w:rPr>
      </w:pPr>
    </w:p>
    <w:p>
      <w:pPr>
        <w:ind w:left="180" w:right="240" w:hanging="172"/>
        <w:spacing w:after="0" w:line="246"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1" w:lineRule="exact"/>
        <w:rPr>
          <w:rFonts w:ascii="Arial" w:cs="Arial" w:eastAsia="Arial" w:hAnsi="Arial"/>
          <w:sz w:val="19"/>
          <w:szCs w:val="19"/>
          <w:color w:val="auto"/>
          <w:vertAlign w:val="superscript"/>
        </w:rPr>
      </w:pPr>
    </w:p>
    <w:p>
      <w:pPr>
        <w:ind w:left="180" w:right="140" w:hanging="172"/>
        <w:spacing w:after="0" w:line="246"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As of March 31, 2022, $156 million is deferred in Prepaid expenses and other current assets and $338 million is deferred in Other non-current assets. These amounts are evaluated for recoverability on a routine basis.</w:t>
      </w:r>
    </w:p>
    <w:p>
      <w:pPr>
        <w:spacing w:after="0" w:line="5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March 31, 2022, or its annual results of operations and/or cash flows.</w:t>
      </w:r>
    </w:p>
    <w:p>
      <w:pPr>
        <w:spacing w:after="0" w:line="5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Bethpage, as discussed in Note 5, in December 2019, the State of New York issued an Amended Record of Decision, seeking to impose additional remedial requirements beyond those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On September 22, 2021, the State of New York issued for public comment a new consent decree reflecting the agreement. On December 7, 2021, the public comment period closed. We understand that the State will soon seek court approval of the consent decree. As discussed in Note 5, the applicable remediation standards and other requirements to which we are subject may continue to change, our costs may increase materially, and those costs may not be fully recoverable.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March 31, 2022, there were $382 million of stand-by letters of credit and guarantees and $71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company maintains a commercial paper program that serves as a source of short-term financing with capacity to issue unsecured commercial paper notes up to $2.0 billion. At March 31, 2022, there were no commercial paper borrowings outstanding.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$2.0 billion (the “2018 Credit Agreement”) that matures in August 2024 and is intended to support the company’s commercial paper program and other general corporate purposes. Commercial paper borrowings reduce the amount available for borrowing under the 2018 Credit Agreement. At March 31, 2022, there was no balance outstanding under this facility.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the company was in compliance with all covenants under its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RETIREMENT BENEFITS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pension and other postretirement benefit (OPB) plans is shown in the following table:</w:t>
      </w:r>
    </w:p>
    <w:p>
      <w:pPr>
        <w:spacing w:after="0" w:line="50"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14605</wp:posOffset>
            </wp:positionV>
            <wp:extent cx="2425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Pension</w:t>
      </w:r>
    </w:p>
    <w:tbl>
      <w:tblPr>
        <w:tblLayout w:type="fixed"/>
        <w:tblInd w:w="0" w:type="dxa"/>
        <w:tblCellMar>
          <w:top w:w="0" w:type="dxa"/>
          <w:left w:w="0" w:type="dxa"/>
          <w:bottom w:w="0" w:type="dxa"/>
          <w:right w:w="0" w:type="dxa"/>
        </w:tblCellMar>
      </w:tblPr>
      <w:tr>
        <w:trPr>
          <w:trHeight w:val="214"/>
        </w:trPr>
        <w:tc>
          <w:tcPr>
            <w:tcW w:w="7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Benefits</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OPB</w:t>
            </w:r>
          </w:p>
        </w:tc>
        <w:tc>
          <w:tcPr>
            <w:tcW w:w="680" w:type="dxa"/>
            <w:vAlign w:val="bottom"/>
            <w:tcBorders>
              <w:bottom w:val="single" w:sz="8" w:color="auto"/>
            </w:tcBorders>
          </w:tcPr>
          <w:p>
            <w:pPr>
              <w:spacing w:after="0"/>
              <w:rPr>
                <w:sz w:val="18"/>
                <w:szCs w:val="18"/>
                <w:color w:val="auto"/>
              </w:rPr>
            </w:pPr>
          </w:p>
        </w:tc>
      </w:tr>
      <w:tr>
        <w:trPr>
          <w:trHeight w:val="223"/>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2021</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2021</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Components of net periodic benefit cost (benefit)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92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284</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(660)</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 cost</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benefit cost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Contributions made by the company to its retirement plans are as follows: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3"/>
        </w:trPr>
        <w:tc>
          <w:tcPr>
            <w:tcW w:w="8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3"/>
          </w:tcPr>
          <w:p>
            <w:pPr>
              <w:jc w:val="center"/>
              <w:ind w:right="30"/>
              <w:spacing w:after="0" w:line="202" w:lineRule="exact"/>
              <w:rPr>
                <w:sz w:val="20"/>
                <w:szCs w:val="20"/>
                <w:color w:val="auto"/>
              </w:rPr>
            </w:pPr>
            <w:r>
              <w:rPr>
                <w:rFonts w:ascii="Arial" w:cs="Arial" w:eastAsia="Arial" w:hAnsi="Arial"/>
                <w:sz w:val="18"/>
                <w:szCs w:val="18"/>
                <w:color w:val="auto"/>
                <w:w w:val="91"/>
              </w:rPr>
              <w:t>Three Months Ended March</w:t>
            </w:r>
          </w:p>
        </w:tc>
      </w:tr>
      <w:tr>
        <w:trPr>
          <w:trHeight w:val="229"/>
        </w:trPr>
        <w:tc>
          <w:tcPr>
            <w:tcW w:w="8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31</w:t>
            </w:r>
          </w:p>
        </w:tc>
        <w:tc>
          <w:tcPr>
            <w:tcW w:w="840" w:type="dxa"/>
            <w:vAlign w:val="bottom"/>
            <w:tcBorders>
              <w:bottom w:val="single" w:sz="8" w:color="auto"/>
            </w:tcBorders>
          </w:tcPr>
          <w:p>
            <w:pPr>
              <w:spacing w:after="0"/>
              <w:rPr>
                <w:sz w:val="19"/>
                <w:szCs w:val="19"/>
                <w:color w:val="auto"/>
              </w:rPr>
            </w:pPr>
          </w:p>
        </w:tc>
      </w:tr>
      <w:tr>
        <w:trPr>
          <w:trHeight w:val="223"/>
        </w:trPr>
        <w:tc>
          <w:tcPr>
            <w:tcW w:w="8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plans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OPB plans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Defined contribution plans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bl>
    <w:p>
      <w:pPr>
        <w:spacing w:after="0" w:line="225" w:lineRule="exact"/>
        <w:rPr>
          <w:sz w:val="20"/>
          <w:szCs w:val="20"/>
          <w:color w:val="auto"/>
        </w:rPr>
      </w:pPr>
    </w:p>
    <w:p>
      <w:pPr>
        <w:ind w:right="3880"/>
        <w:spacing w:after="0" w:line="315" w:lineRule="auto"/>
        <w:rPr>
          <w:sz w:val="20"/>
          <w:szCs w:val="20"/>
          <w:color w:val="auto"/>
        </w:rPr>
      </w:pPr>
      <w:r>
        <w:rPr>
          <w:rFonts w:ascii="Arial" w:cs="Arial" w:eastAsia="Arial" w:hAnsi="Arial"/>
          <w:sz w:val="18"/>
          <w:szCs w:val="18"/>
          <w:b w:val="1"/>
          <w:bCs w:val="1"/>
          <w:color w:val="auto"/>
        </w:rPr>
        <w:t>8. STOCK COMPENSATION PLANS AND OTHER COMPENSATION ARRANGEMENTS Stock Awards</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Three Months Ended March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RSRs granted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RPSRs granted</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Grant date aggregate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bl>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certain performance metrics over a three-year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Three Months Ended March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aggregate payout amount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Maximum aggregate payout amount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bl>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7"/>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9.  SEGMENT INFORMATION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8800" w:type="dxa"/>
            <w:vAlign w:val="bottom"/>
            <w:gridSpan w:val="2"/>
          </w:tcPr>
          <w:p>
            <w:pPr>
              <w:spacing w:after="0"/>
              <w:rPr>
                <w:sz w:val="20"/>
                <w:szCs w:val="20"/>
                <w:color w:val="auto"/>
              </w:rPr>
            </w:pPr>
            <w:r>
              <w:rPr>
                <w:rFonts w:ascii="Arial" w:cs="Arial" w:eastAsia="Arial" w:hAnsi="Arial"/>
                <w:sz w:val="18"/>
                <w:szCs w:val="18"/>
                <w:color w:val="auto"/>
              </w:rPr>
              <w:t>The following table presents sales and operating income by segment: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3"/>
              </w:rPr>
              <w:t>Three Months Ended March 31</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Aeronautics Systems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2,703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2,990</w:t>
            </w:r>
          </w:p>
        </w:tc>
      </w:tr>
      <w:tr>
        <w:trPr>
          <w:trHeight w:val="229"/>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Defense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1,283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r>
      <w:tr>
        <w:trPr>
          <w:trHeight w:val="230"/>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2,497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29"/>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Space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2,855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29"/>
        </w:trPr>
        <w:tc>
          <w:tcPr>
            <w:tcW w:w="88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23"/>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8,797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w:t>
            </w: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Defense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155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Space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261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88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1,037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29"/>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FAS/CAS operating adjustment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8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Unallocated corporate (expense)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r>
      <w:tr>
        <w:trPr>
          <w:trHeight w:val="230"/>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897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applicable Federal Acquisition Regulation (FAR) and U.S. Government Cost Accounting Standards (CAS) requirements. The FAS/CAS operating adjustment reflects the difference between CAS pension expense included as cost in segment operating income and the service cost component of FAS expense included in total operating income.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 Income</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Unallocated corporate (expense) income includes the portion of corporate costs not considered allowable or allocable under the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income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5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first quarter of 2021, the $2.0 billion pre-tax gain on the sale of our IT services business and $192 million of unallowable state taxes and transaction costs associated with the divestiture were recorded in Unallocated corporate (expense)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32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7"/>
        </w:trPr>
        <w:tc>
          <w:tcPr>
            <w:tcW w:w="10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Disaggregation of Revenue</w:t>
            </w: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Sales by Customer Type</w:t>
            </w:r>
          </w:p>
        </w:tc>
        <w:tc>
          <w:tcPr>
            <w:tcW w:w="20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8"/>
              </w:rPr>
              <w:t>Three Months Ended March 31</w:t>
            </w:r>
          </w:p>
        </w:tc>
        <w:tc>
          <w:tcPr>
            <w:tcW w:w="740" w:type="dxa"/>
            <w:vAlign w:val="bottom"/>
            <w:tcBorders>
              <w:bottom w:val="single" w:sz="8" w:color="auto"/>
            </w:tcBorders>
          </w:tcPr>
          <w:p>
            <w:pPr>
              <w:spacing w:after="0"/>
              <w:rPr>
                <w:sz w:val="24"/>
                <w:szCs w:val="24"/>
                <w:color w:val="auto"/>
              </w:rPr>
            </w:pPr>
          </w:p>
        </w:tc>
      </w:tr>
      <w:tr>
        <w:trPr>
          <w:trHeight w:val="223"/>
        </w:trPr>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auto"/>
            </w:tcBorders>
          </w:tcPr>
          <w:p>
            <w:pPr>
              <w:spacing w:after="0"/>
              <w:rPr>
                <w:sz w:val="19"/>
                <w:szCs w:val="19"/>
                <w:color w:val="auto"/>
              </w:rPr>
            </w:pP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 in millions</w:t>
            </w:r>
          </w:p>
        </w:tc>
        <w:tc>
          <w:tcPr>
            <w:tcW w:w="2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600" w:type="dxa"/>
            <w:vAlign w:val="bottom"/>
          </w:tcPr>
          <w:p>
            <w:pPr>
              <w:spacing w:after="0"/>
              <w:rPr>
                <w:sz w:val="19"/>
                <w:szCs w:val="19"/>
                <w:color w:val="auto"/>
              </w:rPr>
            </w:pP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92"/>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(3)</w:t>
            </w:r>
          </w:p>
        </w:tc>
      </w:tr>
      <w:tr>
        <w:trPr>
          <w:trHeight w:val="223"/>
        </w:trPr>
        <w:tc>
          <w:tcPr>
            <w:tcW w:w="100" w:type="dxa"/>
            <w:vAlign w:val="bottom"/>
          </w:tcPr>
          <w:p>
            <w:pPr>
              <w:spacing w:after="0"/>
              <w:rPr>
                <w:sz w:val="19"/>
                <w:szCs w:val="19"/>
                <w:color w:val="auto"/>
              </w:rPr>
            </w:pPr>
          </w:p>
        </w:tc>
        <w:tc>
          <w:tcPr>
            <w:tcW w:w="5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Aeronautics Systems</w:t>
            </w:r>
          </w:p>
        </w:tc>
        <w:tc>
          <w:tcPr>
            <w:tcW w:w="2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5320" w:type="dxa"/>
            <w:vAlign w:val="bottom"/>
            <w:gridSpan w:val="2"/>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2,292</w:t>
            </w:r>
          </w:p>
        </w:tc>
        <w:tc>
          <w:tcPr>
            <w:tcW w:w="600" w:type="dxa"/>
            <w:vAlign w:val="bottom"/>
          </w:tcPr>
          <w:p>
            <w:pPr>
              <w:jc w:val="right"/>
              <w:ind w:right="111"/>
              <w:spacing w:after="0"/>
              <w:rPr>
                <w:sz w:val="20"/>
                <w:szCs w:val="20"/>
                <w:color w:val="auto"/>
              </w:rPr>
            </w:pPr>
            <w:r>
              <w:rPr>
                <w:rFonts w:ascii="Arial" w:cs="Arial" w:eastAsia="Arial" w:hAnsi="Arial"/>
                <w:sz w:val="18"/>
                <w:szCs w:val="18"/>
                <w:b w:val="1"/>
                <w:bCs w:val="1"/>
                <w:color w:val="auto"/>
                <w:w w:val="82"/>
              </w:rPr>
              <w:t>85%</w:t>
            </w:r>
            <w:r>
              <w:rPr>
                <w:rFonts w:ascii="Arial" w:cs="Arial" w:eastAsia="Arial" w:hAnsi="Arial"/>
                <w:sz w:val="18"/>
                <w:szCs w:val="18"/>
                <w:color w:val="auto"/>
                <w:w w:val="82"/>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2,541</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343</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13%</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1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3</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93"/>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 w:type="dxa"/>
            <w:vAlign w:val="bottom"/>
          </w:tcPr>
          <w:p>
            <w:pPr>
              <w:spacing w:after="0"/>
              <w:rPr>
                <w:sz w:val="19"/>
                <w:szCs w:val="19"/>
                <w:color w:val="auto"/>
              </w:rPr>
            </w:pPr>
          </w:p>
        </w:tc>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65</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00" w:type="dxa"/>
            <w:vAlign w:val="bottom"/>
          </w:tcPr>
          <w:p>
            <w:pPr>
              <w:spacing w:after="0"/>
              <w:rPr>
                <w:sz w:val="19"/>
                <w:szCs w:val="19"/>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Aeronautics Systems sales</w:t>
            </w:r>
          </w:p>
        </w:tc>
        <w:tc>
          <w:tcPr>
            <w:tcW w:w="2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8"/>
              </w:rPr>
              <w:t>2,703</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2,990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Defense Systems</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5320" w:type="dxa"/>
            <w:vAlign w:val="bottom"/>
            <w:gridSpan w:val="2"/>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775</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60%</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993</w:t>
            </w: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293</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23%</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16</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%1</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00" w:type="dxa"/>
            <w:vAlign w:val="bottom"/>
          </w:tcPr>
          <w:p>
            <w:pPr>
              <w:spacing w:after="0"/>
              <w:rPr>
                <w:sz w:val="19"/>
                <w:szCs w:val="19"/>
                <w:color w:val="auto"/>
              </w:rPr>
            </w:pPr>
          </w:p>
        </w:tc>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199</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16%</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100" w:type="dxa"/>
            <w:vAlign w:val="bottom"/>
          </w:tcPr>
          <w:p>
            <w:pPr>
              <w:spacing w:after="0"/>
              <w:rPr>
                <w:sz w:val="19"/>
                <w:szCs w:val="19"/>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Defense Systems sales</w:t>
            </w:r>
          </w:p>
        </w:tc>
        <w:tc>
          <w:tcPr>
            <w:tcW w:w="2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8"/>
              </w:rPr>
              <w:t>1,283</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1,562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Mission Systems</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5320" w:type="dxa"/>
            <w:vAlign w:val="bottom"/>
            <w:gridSpan w:val="2"/>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1,794</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72%</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1,834</w:t>
            </w: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433</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17%</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1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24</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%1</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 w:type="dxa"/>
            <w:vAlign w:val="bottom"/>
          </w:tcPr>
          <w:p>
            <w:pPr>
              <w:spacing w:after="0"/>
              <w:rPr>
                <w:sz w:val="19"/>
                <w:szCs w:val="19"/>
                <w:color w:val="auto"/>
              </w:rPr>
            </w:pPr>
          </w:p>
        </w:tc>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246</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10%</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100" w:type="dxa"/>
            <w:vAlign w:val="bottom"/>
          </w:tcPr>
          <w:p>
            <w:pPr>
              <w:spacing w:after="0"/>
              <w:rPr>
                <w:sz w:val="19"/>
                <w:szCs w:val="19"/>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Mission Systems sales</w:t>
            </w:r>
          </w:p>
        </w:tc>
        <w:tc>
          <w:tcPr>
            <w:tcW w:w="2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8"/>
              </w:rPr>
              <w:t>2,497</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2,589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Space Systems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420" w:type="dxa"/>
            <w:vAlign w:val="bottom"/>
            <w:gridSpan w:val="3"/>
          </w:tcPr>
          <w:p>
            <w:pPr>
              <w:ind w:left="8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2,708</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94%</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2,326</w:t>
            </w:r>
          </w:p>
        </w:tc>
        <w:tc>
          <w:tcPr>
            <w:tcW w:w="7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72</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%3</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44</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%2</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00" w:type="dxa"/>
            <w:vAlign w:val="bottom"/>
          </w:tcPr>
          <w:p>
            <w:pPr>
              <w:spacing w:after="0"/>
              <w:rPr>
                <w:sz w:val="19"/>
                <w:szCs w:val="19"/>
                <w:color w:val="auto"/>
              </w:rPr>
            </w:pPr>
          </w:p>
        </w:tc>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31</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color w:val="auto"/>
              </w:rPr>
              <w:t>Space Systems sales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2,855</w:t>
            </w:r>
          </w:p>
        </w:tc>
        <w:tc>
          <w:tcPr>
            <w:tcW w:w="600" w:type="dxa"/>
            <w:vAlign w:val="bottom"/>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2,521</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00" w:type="dxa"/>
            <w:vAlign w:val="bottom"/>
          </w:tcPr>
          <w:p>
            <w:pPr>
              <w:spacing w:after="0" w:line="20" w:lineRule="exact"/>
              <w:rPr>
                <w:sz w:val="1"/>
                <w:szCs w:val="1"/>
                <w:color w:val="auto"/>
              </w:rPr>
            </w:pPr>
          </w:p>
        </w:tc>
        <w:tc>
          <w:tcPr>
            <w:tcW w:w="5320" w:type="dxa"/>
            <w:vAlign w:val="bottom"/>
            <w:gridSpan w:val="2"/>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420" w:type="dxa"/>
            <w:vAlign w:val="bottom"/>
            <w:gridSpan w:val="3"/>
          </w:tcPr>
          <w:p>
            <w:pPr>
              <w:ind w:left="8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7,569</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86%</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7,694</w:t>
            </w: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w w:val="88"/>
              </w:rPr>
              <w:t>1,141</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13%</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0" w:type="dxa"/>
            <w:vAlign w:val="bottom"/>
          </w:tcPr>
          <w:p>
            <w:pPr>
              <w:spacing w:after="0"/>
              <w:rPr>
                <w:sz w:val="19"/>
                <w:szCs w:val="19"/>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87</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Total Sales</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8,797</w:t>
            </w:r>
          </w:p>
        </w:tc>
        <w:tc>
          <w:tcPr>
            <w:tcW w:w="600" w:type="dxa"/>
            <w:vAlign w:val="bottom"/>
          </w:tcPr>
          <w:p>
            <w:pPr>
              <w:jc w:val="right"/>
              <w:ind w:right="111"/>
              <w:spacing w:after="0"/>
              <w:rPr>
                <w:sz w:val="20"/>
                <w:szCs w:val="20"/>
                <w:color w:val="auto"/>
              </w:rPr>
            </w:pPr>
            <w:r>
              <w:rPr>
                <w:rFonts w:ascii="Arial" w:cs="Arial" w:eastAsia="Arial" w:hAnsi="Arial"/>
                <w:sz w:val="17"/>
                <w:szCs w:val="17"/>
                <w:b w:val="1"/>
                <w:bCs w:val="1"/>
                <w:color w:val="auto"/>
                <w:w w:val="71"/>
              </w:rPr>
              <w:t>100%</w:t>
            </w:r>
            <w:r>
              <w:rPr>
                <w:rFonts w:ascii="Arial" w:cs="Arial" w:eastAsia="Arial" w:hAnsi="Arial"/>
                <w:sz w:val="17"/>
                <w:szCs w:val="17"/>
                <w:color w:val="auto"/>
                <w:w w:val="71"/>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9,157</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4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-1653540</wp:posOffset>
            </wp:positionV>
            <wp:extent cx="701230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-762000</wp:posOffset>
            </wp:positionV>
            <wp:extent cx="701230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-170815</wp:posOffset>
            </wp:positionV>
            <wp:extent cx="701230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2305" cy="162560"/>
                    </a:xfrm>
                    <a:prstGeom prst="rect">
                      <a:avLst/>
                    </a:prstGeom>
                    <a:noFill/>
                  </pic:spPr>
                </pic:pic>
              </a:graphicData>
            </a:graphic>
          </wp:anchor>
        </w:drawing>
      </w:r>
    </w:p>
    <w:p>
      <w:pPr>
        <w:spacing w:after="0" w:line="146" w:lineRule="exact"/>
        <w:rPr>
          <w:sz w:val="20"/>
          <w:szCs w:val="20"/>
          <w:color w:val="auto"/>
        </w:rPr>
      </w:pPr>
    </w:p>
    <w:p>
      <w:pPr>
        <w:ind w:left="280" w:right="340" w:hanging="172"/>
        <w:spacing w:after="0" w:line="246" w:lineRule="auto"/>
        <w:tabs>
          <w:tab w:leader="none" w:pos="2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1" w:lineRule="exact"/>
        <w:rPr>
          <w:rFonts w:ascii="Arial" w:cs="Arial" w:eastAsia="Arial" w:hAnsi="Arial"/>
          <w:sz w:val="19"/>
          <w:szCs w:val="19"/>
          <w:color w:val="auto"/>
          <w:vertAlign w:val="superscript"/>
        </w:rPr>
      </w:pPr>
    </w:p>
    <w:p>
      <w:pPr>
        <w:ind w:left="280" w:right="40" w:hanging="172"/>
        <w:spacing w:after="0" w:line="223" w:lineRule="auto"/>
        <w:tabs>
          <w:tab w:leader="none" w:pos="2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28" w:lineRule="exact"/>
        <w:rPr>
          <w:rFonts w:ascii="Arial" w:cs="Arial" w:eastAsia="Arial" w:hAnsi="Arial"/>
          <w:sz w:val="21"/>
          <w:szCs w:val="21"/>
          <w:color w:val="auto"/>
          <w:vertAlign w:val="superscript"/>
        </w:rPr>
      </w:pPr>
    </w:p>
    <w:p>
      <w:pPr>
        <w:ind w:left="280" w:hanging="172"/>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220" w:top="114" w:right="5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60" w:type="dxa"/>
            <w:vAlign w:val="bottom"/>
          </w:tcPr>
          <w:p>
            <w:pPr>
              <w:ind w:left="20"/>
              <w:spacing w:after="0"/>
              <w:rPr>
                <w:sz w:val="20"/>
                <w:szCs w:val="20"/>
                <w:color w:val="auto"/>
              </w:rPr>
            </w:pPr>
            <w:r>
              <w:rPr>
                <w:rFonts w:ascii="Arial" w:cs="Arial" w:eastAsia="Arial" w:hAnsi="Arial"/>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37"/>
        </w:trPr>
        <w:tc>
          <w:tcPr>
            <w:tcW w:w="7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20"/>
                <w:szCs w:val="20"/>
                <w:color w:val="auto"/>
              </w:rPr>
            </w:pPr>
          </w:p>
        </w:tc>
      </w:tr>
      <w:tr>
        <w:trPr>
          <w:trHeight w:val="237"/>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653"/>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1,276</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 xml:space="preserve">48 %  </w:t>
            </w: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1,411</w:t>
            </w:r>
          </w:p>
        </w:tc>
        <w:tc>
          <w:tcPr>
            <w:tcW w:w="72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1,362</w:t>
            </w:r>
          </w:p>
        </w:tc>
        <w:tc>
          <w:tcPr>
            <w:tcW w:w="1140" w:type="dxa"/>
            <w:vAlign w:val="bottom"/>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52 %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65</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44</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2,703</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2,990</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336</w:t>
            </w:r>
          </w:p>
        </w:tc>
        <w:tc>
          <w:tcPr>
            <w:tcW w:w="1140" w:type="dxa"/>
            <w:vAlign w:val="bottom"/>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31 %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748</w:t>
            </w:r>
          </w:p>
        </w:tc>
        <w:tc>
          <w:tcPr>
            <w:tcW w:w="1140" w:type="dxa"/>
            <w:vAlign w:val="bottom"/>
          </w:tcPr>
          <w:p>
            <w:pPr>
              <w:jc w:val="right"/>
              <w:ind w:right="333"/>
              <w:spacing w:after="0"/>
              <w:rPr>
                <w:sz w:val="20"/>
                <w:szCs w:val="20"/>
                <w:color w:val="auto"/>
              </w:rPr>
            </w:pPr>
            <w:r>
              <w:rPr>
                <w:rFonts w:ascii="Arial" w:cs="Arial" w:eastAsia="Arial" w:hAnsi="Arial"/>
                <w:sz w:val="18"/>
                <w:szCs w:val="18"/>
                <w:b w:val="1"/>
                <w:bCs w:val="1"/>
                <w:color w:val="auto"/>
              </w:rPr>
              <w:t>69 %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868</w:t>
            </w:r>
          </w:p>
        </w:tc>
        <w:tc>
          <w:tcPr>
            <w:tcW w:w="72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199</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185</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1,283</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1,562</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835</w:t>
            </w:r>
          </w:p>
        </w:tc>
        <w:tc>
          <w:tcPr>
            <w:tcW w:w="1140" w:type="dxa"/>
            <w:vAlign w:val="bottom"/>
          </w:tcPr>
          <w:p>
            <w:pPr>
              <w:jc w:val="right"/>
              <w:ind w:right="333"/>
              <w:spacing w:after="0"/>
              <w:rPr>
                <w:sz w:val="20"/>
                <w:szCs w:val="20"/>
                <w:color w:val="auto"/>
              </w:rPr>
            </w:pPr>
            <w:r>
              <w:rPr>
                <w:rFonts w:ascii="Arial" w:cs="Arial" w:eastAsia="Arial" w:hAnsi="Arial"/>
                <w:sz w:val="18"/>
                <w:szCs w:val="18"/>
                <w:b w:val="1"/>
                <w:bCs w:val="1"/>
                <w:color w:val="auto"/>
              </w:rPr>
              <w:t>37 %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865</w:t>
            </w:r>
          </w:p>
        </w:tc>
        <w:tc>
          <w:tcPr>
            <w:tcW w:w="72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1,416</w:t>
            </w:r>
          </w:p>
        </w:tc>
        <w:tc>
          <w:tcPr>
            <w:tcW w:w="1140" w:type="dxa"/>
            <w:vAlign w:val="bottom"/>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63 %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246</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237</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2,497</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2,589</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1,983</w:t>
            </w:r>
          </w:p>
        </w:tc>
        <w:tc>
          <w:tcPr>
            <w:tcW w:w="1140" w:type="dxa"/>
            <w:vAlign w:val="bottom"/>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70 %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1,844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841</w:t>
            </w:r>
          </w:p>
        </w:tc>
        <w:tc>
          <w:tcPr>
            <w:tcW w:w="1140" w:type="dxa"/>
            <w:vAlign w:val="bottom"/>
          </w:tcPr>
          <w:p>
            <w:pPr>
              <w:jc w:val="right"/>
              <w:ind w:right="333"/>
              <w:spacing w:after="0"/>
              <w:rPr>
                <w:sz w:val="20"/>
                <w:szCs w:val="20"/>
                <w:color w:val="auto"/>
              </w:rPr>
            </w:pPr>
            <w:r>
              <w:rPr>
                <w:rFonts w:ascii="Arial" w:cs="Arial" w:eastAsia="Arial" w:hAnsi="Arial"/>
                <w:sz w:val="18"/>
                <w:szCs w:val="18"/>
                <w:b w:val="1"/>
                <w:bCs w:val="1"/>
                <w:color w:val="auto"/>
              </w:rPr>
              <w:t>30 %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638</w:t>
            </w:r>
          </w:p>
        </w:tc>
        <w:tc>
          <w:tcPr>
            <w:tcW w:w="7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2,855</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2,521</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4,430</w:t>
            </w:r>
          </w:p>
        </w:tc>
        <w:tc>
          <w:tcPr>
            <w:tcW w:w="1140" w:type="dxa"/>
            <w:vAlign w:val="bottom"/>
          </w:tcPr>
          <w:p>
            <w:pPr>
              <w:jc w:val="right"/>
              <w:ind w:right="333"/>
              <w:spacing w:after="0"/>
              <w:rPr>
                <w:sz w:val="20"/>
                <w:szCs w:val="20"/>
                <w:color w:val="auto"/>
              </w:rPr>
            </w:pPr>
            <w:r>
              <w:rPr>
                <w:rFonts w:ascii="Arial" w:cs="Arial" w:eastAsia="Arial" w:hAnsi="Arial"/>
                <w:sz w:val="18"/>
                <w:szCs w:val="18"/>
                <w:b w:val="1"/>
                <w:bCs w:val="1"/>
                <w:color w:val="auto"/>
              </w:rPr>
              <w:t>50 %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4,629</w:t>
            </w:r>
          </w:p>
        </w:tc>
        <w:tc>
          <w:tcPr>
            <w:tcW w:w="72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4,367</w:t>
            </w:r>
          </w:p>
        </w:tc>
        <w:tc>
          <w:tcPr>
            <w:tcW w:w="11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50 %</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4,528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8,797</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9,157</w:t>
            </w:r>
          </w:p>
        </w:tc>
        <w:tc>
          <w:tcPr>
            <w:tcW w:w="72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60" w:type="dxa"/>
            <w:vAlign w:val="bottom"/>
          </w:tcPr>
          <w:p>
            <w:pPr>
              <w:ind w:left="20"/>
              <w:spacing w:after="0"/>
              <w:rPr>
                <w:sz w:val="20"/>
                <w:szCs w:val="20"/>
                <w:color w:val="auto"/>
              </w:rPr>
            </w:pPr>
            <w:r>
              <w:rPr>
                <w:rFonts w:ascii="Arial" w:cs="Arial" w:eastAsia="Arial" w:hAnsi="Arial"/>
                <w:sz w:val="18"/>
                <w:szCs w:val="18"/>
                <w:i w:val="1"/>
                <w:iCs w:val="1"/>
                <w:color w:val="auto"/>
              </w:rPr>
              <w:t>Sales by Geographic Region</w:t>
            </w: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7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19"/>
                <w:szCs w:val="19"/>
                <w:color w:val="auto"/>
              </w:rPr>
            </w:pPr>
          </w:p>
        </w:tc>
      </w:tr>
      <w:tr>
        <w:trPr>
          <w:trHeight w:val="23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632"/>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2,295</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 xml:space="preserve">87 %  </w:t>
            </w: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2,547</w:t>
            </w:r>
          </w:p>
        </w:tc>
        <w:tc>
          <w:tcPr>
            <w:tcW w:w="72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190</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7 %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137</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5 %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7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16</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65</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44</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2,703</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2,990</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791</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73 %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1,026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105</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10 %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72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101</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16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87</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8 %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172</w:t>
            </w:r>
          </w:p>
        </w:tc>
        <w:tc>
          <w:tcPr>
            <w:tcW w:w="7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199</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185</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1,283</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1,562</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1,818</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81 %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1,850</w:t>
            </w:r>
          </w:p>
        </w:tc>
        <w:tc>
          <w:tcPr>
            <w:tcW w:w="72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139</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6 %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225</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10 %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269</w:t>
            </w:r>
          </w:p>
        </w:tc>
        <w:tc>
          <w:tcPr>
            <w:tcW w:w="7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69</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246</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237</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2,497</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2,589</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2,752</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98 %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2,376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29</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1 %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7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40</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716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2,855</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2,521</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7,656</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87 %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7,799</w:t>
            </w:r>
          </w:p>
        </w:tc>
        <w:tc>
          <w:tcPr>
            <w:tcW w:w="72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463</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558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503</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6 %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533</w:t>
            </w: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16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175</w:t>
            </w:r>
          </w:p>
        </w:tc>
        <w:tc>
          <w:tcPr>
            <w:tcW w:w="11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2 %</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8,797</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9,157</w:t>
            </w:r>
          </w:p>
        </w:tc>
        <w:tc>
          <w:tcPr>
            <w:tcW w:w="72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All other is principally comprised of the Middle East.</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reviewed the accompanying condensed consolidated statement of financial position of Northrop Grumman Corporation and subsidiaries (the “Company”) as of March 31, 2022, and the related condensed consolidated statements of earnings and comprehensive income, cash flows and changes in shareholders’ equity for the three-month periods ended March 31, 2022 and 2021,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(PCAOB), the consolidated statement of financial position of Northrop Grumman Corporation and subsidiaries as of December 31, 2021, and the related consolidated statements of earnings and comprehensive income, changes in shareholders’ equity, and cash flows for the year then ended (not presented herein); and in our report dated January 26, 2022, we expressed an unqualified opinion on those consolidated financial statements. In our opinion, the information set forth in the accompanying condensed consolidated statement of financial position as of December 31, 2021, is fairly stated, in all material respects, in relation to the audited consolidated statement of financial position from which it has been derived.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Deloitte &amp; Touche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27, 2022</w:t>
      </w:r>
    </w:p>
    <w:p>
      <w:pPr>
        <w:spacing w:after="0" w:line="200" w:lineRule="exact"/>
        <w:rPr>
          <w:sz w:val="20"/>
          <w:szCs w:val="20"/>
          <w:color w:val="auto"/>
        </w:rPr>
      </w:pPr>
    </w:p>
    <w:p>
      <w:pPr>
        <w:sectPr>
          <w:pgSz w:w="11900" w:h="16838" w:orient="portrait"/>
          <w:cols w:equalWidth="0" w:num="2">
            <w:col w:w="200" w:space="540"/>
            <w:col w:w="10480"/>
          </w:cols>
          <w:pgMar w:left="320" w:top="109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p>
      <w:pPr>
        <w:ind w:right="3680"/>
        <w:spacing w:after="0" w:line="31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Northrop Grumman Corporation (herein referred to as “Northrop Grumman,” the “company,” “we,” “us,” or “our”) is a leading global aerospace and defense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5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10-Q, as well as our 2021 Annual Report on Form 10-K, which provides additional information on our business and the environment in which we operate and our operating results.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IT and Mission Support Services Business</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Effective January 30, 2021 (the “Divestiture date”), we completed the sale of our IT and mission support services business (the “IT services divestiture”) for $3.4 billion in cash and recorded a pre-tax gain of $2.0 billion. The IT and mission support services business was comprised of the majority of the former IS&amp;S division of Defense Systems (excluding the Vinnell Arabia business); select cyber, intelligence and missions support programs, which were part of the former CIMS division of Mission Systems; and the former Space Technical Services business unit of Space Systems. Operating results include sales and operating income for the IT and mission support services business prior to the Divestiture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March 2020, the World Health Organization characterized COVID-19 as a global pandemic, and the President declared a national emergency concerning the COVID-19 outbreak. In the more than two years since then, the pandemic (including the first and subsequent variants of COVID-19) has dramatically impacted the global health and economic environment, including millions of confirmed cases and deaths, business slowdowns or shutdowns, labor shortfalls, supply chain challenges, regulatory challenges, and market volatility. We discussed in some detail in our Annual Report on Form 10-K for the fiscal years ended December 31, 2020 and 2021, as well as interim Form 10-Qs, the pandemic, its impacts and risks, and actions taken up to the time of each filing. In this Form 10-Q, we provide a further update.</w:t>
      </w:r>
    </w:p>
    <w:p>
      <w:pPr>
        <w:spacing w:after="0" w:line="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At a macro level, the number of hospitalizations and deaths, in the U.S. in particular, have eased recently, as more people are fully vaccinated, and communities have continued to open up. It, of course, remains unclear whether that trajectory will continue, but there is some reason for optimism. The company continues to work to monitor and address the pandemic and related developments, including the impact on our company, our employees, our customers, our suppliers and our communities. Our goals have been, and continue to be, to lessen the potential adverse impacts, both health and economic, and to continue to position the company for long-term success. Like the communities in which we operate, our actions have varied, and will continue to vary, depending on the spread of COVID-19 and applicable government requirements, and the needs of our stakeholders.</w:t>
      </w:r>
    </w:p>
    <w:p>
      <w:pPr>
        <w:spacing w:after="0" w:line="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first quarter of 2022, COVID-19 case rates and the health and economic impacts of the pandemic fluctuated in different communities in the U.S. and globally, particularly with the spread of new variants. We continued to see a prolonged impact on the economy, our industry, and our company, with ongoing labor shortages, supply chain challenges, and inflation, among other impacts.</w:t>
      </w:r>
    </w:p>
    <w:p>
      <w:pPr>
        <w:spacing w:after="0" w:line="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company’s first quarter 2022 revenue and operating income were modestly reduced by the impact of the COVID-19 pandemic on the company earlier in the quarter, including through elevated levels of employee leave and supply chain challenges. While we cannot predict the future course of the pandemic, or its impact on us, we are not currently assuming significant additional impacts to our 2022 financial results. For further information on the pandemic and the potential impact to the company of COVID-19, see “Management’s Discussion and Analysis of Financial Condition and Results of Operations” and “Liquidity and Capital Resources” below and “Risk Factors” and “Management’s Discussion and Analysis of Financial Condition and Results of Operations”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 and Economic Environment</w:t>
      </w:r>
    </w:p>
    <w:p>
      <w:pPr>
        <w:spacing w:after="0" w:line="2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U.S. and its allies continue to face a global security environment of heightened tensions and instability, threats from state and non-state actors, including major global powers, as well as terrorist organizations, emerging nuclear tensions, diverse regional security concerns and political instability. The conflict in Ukraine has increased those tensions and instability, and highlighted threats. The market for defense products, services and solutions globally is driven by these complex and evolving security challenges, considered in the broader context of political and socioeconomic circumstances and priorities.</w:t>
      </w:r>
    </w:p>
    <w:p>
      <w:pPr>
        <w:spacing w:after="0" w:line="4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Our operations and financial performance, as well as demand for our products and services, are impacted by global events, including violence and unrest. The same is true for our suppliers and other business partners. We have begun to experience an increased demand for certain of our goods and services related to the conflict in the Ukraine, in particular, but we have not seen a significant increase to date. Although we are not currently experiencing significant disruption to our operations or our supply chain, or unanticipated costs as a result of the conflict, any or all of these may occur in the future. While we do not have sizeable business dealings in Russia or Ukraine, we do sell and procure some products and services in the region, including procuring engines and cores for the Antares rocket used in our Commercial Resupply Services contract. We are actively monitoring the situation and are exploring potential measures to mitigate the risk of future disruption and costs to our programs.</w:t>
      </w:r>
    </w:p>
    <w:p>
      <w:pPr>
        <w:spacing w:after="0" w:line="4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global geopolitical and economic environments also continue to be impacted by uncertainty and stress. Geopolitical relationships have changed and are continuing to change. Global economic growth is expected to remain in the low single digits in 2022, reflecting, among other things, the continued impact of and uncertainty surrounding geopolitical tensions globally, financial market volatility, inflation and the COVID-19 pandemic. We expect still further impacts related to the conflict in Ukraine and economic sanctions imposed on Russia. The global economy may also be affected by the residual legal, regulatory and economic impacts of Britain’s exit from the European Union, the full impacts of which are complex and gradually becoming evident. Rising inflation has led to higher costs of various commodities and supplier products. It has also increased interest rates, raising the cost of borrowing for the federal government, which could impact other spending priorities. Additionally, and more broadly, economic tensions and changes in international trade policies, including higher tariffs on imported goods and materials and renegotiation of free trade agreements, could impact the global market for defense products, services and solutions.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May 28, 2021, the Administration released its budget request for fiscal year (FY) 2022. The budget proposed $753 billion for national defense programs and $770 billion in non-defense discretionary funding. The Administration’s budget request included funding for an infrastructure and economic recovery plan as well as an education and economic support plan. On November 15, 2021, the President signed into law the $1.2 trillion Infrastructure and Investment and Jobs Act. Enactment of the infrastructure plan and any future spending plans, as well as the costs of the pandemic may have broader implications for the defense industry, our customers’ budgets and priorities, and the overall economic environment, including the national debt. It is difficult to predict the specific course of future defense budgets. However, we believe the ongoing conflict in Ukraine has highlighted some of the national security threats to our nation and our allies, and the need for strong deterrence and a robust defense capability, as well as impacting our political and economic environment. More generally, the threat to U.S. national security remains very substantial and we believe that our capabilities, particularly in space, missiles, missile defense, hypersonics, counter-hypersonics, survivable aircraft and mission systems should help our customers defend against current and future threats and, as a result, continue to allow for long-term profitable business growth.</w:t>
      </w:r>
    </w:p>
    <w:p>
      <w:pPr>
        <w:spacing w:after="0" w:line="3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March 15, 2022, the President signed into law the consolidated appropriations act for FY 2022, which provides full-year funding through September 30, including $782 billion for national defense. This represents nearly $30 billion more than the Administration initially requested for FY 2022, and approximately 6%, or $42 billion higher than it was in FY 2021. The Pentagon’s portion of the overall national defense budget is $743 billion. Congress also approved $14 billion in emergency aid to support security, economic, and humanitarian assistance for Ukraine and Central European partners.</w:t>
      </w:r>
    </w:p>
    <w:p>
      <w:pPr>
        <w:spacing w:after="0" w:line="3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Bipartisan Budget Act of 2019 suspended the debt ceiling through July 31, 2021. In October 2021, the statutory debt limit was increased by $480 billion and, in December 2021, was further increased by $2.5 trillion, which is currently expected to allow the Treasury Department to finance the government into 2023.</w:t>
      </w:r>
    </w:p>
    <w:p>
      <w:pPr>
        <w:spacing w:after="0" w:line="49" w:lineRule="exact"/>
        <w:rPr>
          <w:sz w:val="20"/>
          <w:szCs w:val="20"/>
          <w:color w:val="auto"/>
        </w:rPr>
      </w:pPr>
    </w:p>
    <w:p>
      <w:pPr>
        <w:jc w:val="both"/>
        <w:ind w:right="540"/>
        <w:spacing w:after="0" w:line="235" w:lineRule="auto"/>
        <w:rPr>
          <w:sz w:val="20"/>
          <w:szCs w:val="20"/>
          <w:color w:val="auto"/>
        </w:rPr>
      </w:pPr>
      <w:r>
        <w:rPr>
          <w:rFonts w:ascii="Arial" w:cs="Arial" w:eastAsia="Arial" w:hAnsi="Arial"/>
          <w:sz w:val="18"/>
          <w:szCs w:val="18"/>
          <w:color w:val="auto"/>
        </w:rPr>
        <w:t>The political environment, federal budget and debt ceiling are expected to continue to be the subject of considerable debate, especially in light of the ongoing conflict in Ukraine and its potential long-term impacts, which could have material impacts on defense spending broadly and the company’s programs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on the risks we face from the current political and economic environment, see “Risk Factors” in our 2021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purposes of the operating results discussion below, we assess our performance using certain financial measures that are not calculated in accordance with GAAP. Organic sales is defined as total sales excluding sales attributable to the company's IT services divestiture. This measure may be useful 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w:t>
      </w:r>
    </w:p>
    <w:p>
      <w:pPr>
        <w:spacing w:after="0" w:line="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Transaction-adjusted net earnings and transaction-adjusted earnings per share (transaction-adjusted EPS) exclude impacts related to the IT services divestiture, including the gain on sale of the business, associated federal and state income tax expenses, transaction costs, and the make-whole premium for early debt redemption. They also exclude the impact of mark-to-market pension and OPB (“MTM”) benefit/(expense)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divestiture activity and pension and OPB actuarial gains and losses. These measures are also consistent with how management views the underlying performance of the business as the impact of the IT services divestiture and MTM accounting are not considered in management’s assessment of the company’s operating performance or in its determination of incentive compensation awards.</w:t>
      </w:r>
    </w:p>
    <w:p>
      <w:pPr>
        <w:spacing w:after="0" w:line="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Selected financial highlights are presented in the table below:</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51"/>
        </w:trPr>
        <w:tc>
          <w:tcPr>
            <w:tcW w:w="7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Three Months Ended March 31</w:t>
            </w: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8,797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9,157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7,900</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8,315</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costs and expenses as a % of sales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89.8 %</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90.8 %</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business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1,980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897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10.2 %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30.8 %</w:t>
            </w:r>
          </w:p>
        </w:tc>
        <w:tc>
          <w:tcPr>
            <w:tcW w:w="1200" w:type="dxa"/>
            <w:vAlign w:val="bottom"/>
            <w:tcBorders>
              <w:bottom w:val="single" w:sz="8" w:color="auto"/>
            </w:tcBorders>
          </w:tcPr>
          <w:p>
            <w:pPr>
              <w:spacing w:after="0"/>
              <w:rPr>
                <w:sz w:val="19"/>
                <w:szCs w:val="19"/>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189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r>
      <w:tr>
        <w:trPr>
          <w:trHeight w:val="230"/>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16.5 %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27.2 %</w:t>
            </w:r>
          </w:p>
        </w:tc>
        <w:tc>
          <w:tcPr>
            <w:tcW w:w="1200" w:type="dxa"/>
            <w:vAlign w:val="bottom"/>
            <w:tcBorders>
              <w:bottom w:val="single" w:sz="8" w:color="auto"/>
            </w:tcBorders>
          </w:tcPr>
          <w:p>
            <w:pPr>
              <w:spacing w:after="0"/>
              <w:rPr>
                <w:sz w:val="19"/>
                <w:szCs w:val="19"/>
                <w:color w:val="auto"/>
              </w:rPr>
            </w:pPr>
          </w:p>
        </w:tc>
      </w:tr>
      <w:tr>
        <w:trPr>
          <w:trHeight w:val="223"/>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955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2,195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r>
      <w:tr>
        <w:trPr>
          <w:trHeight w:val="230"/>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6.10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13.43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sales to organic sales: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1"/>
              </w:rPr>
              <w:t>Three Months Ended March 31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spacing w:after="0"/>
              <w:rPr>
                <w:sz w:val="14"/>
                <w:szCs w:val="14"/>
                <w:color w:val="auto"/>
              </w:rPr>
            </w:pPr>
          </w:p>
        </w:tc>
        <w:tc>
          <w:tcPr>
            <w:tcW w:w="114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IT services</w:t>
            </w:r>
          </w:p>
        </w:tc>
        <w:tc>
          <w:tcPr>
            <w:tcW w:w="118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4"/>
              </w:rPr>
              <w:t>Organic</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14"/>
                <w:szCs w:val="14"/>
                <w:color w:val="auto"/>
              </w:rPr>
            </w:pPr>
          </w:p>
        </w:tc>
        <w:tc>
          <w:tcPr>
            <w:tcW w:w="98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1"/>
              </w:rPr>
              <w:t>IT services</w:t>
            </w:r>
          </w:p>
        </w:tc>
        <w:tc>
          <w:tcPr>
            <w:tcW w:w="200" w:type="dxa"/>
            <w:vAlign w:val="bottom"/>
          </w:tcPr>
          <w:p>
            <w:pPr>
              <w:spacing w:after="0"/>
              <w:rPr>
                <w:sz w:val="14"/>
                <w:szCs w:val="14"/>
                <w:color w:val="auto"/>
              </w:rPr>
            </w:pPr>
          </w:p>
        </w:tc>
        <w:tc>
          <w:tcPr>
            <w:tcW w:w="96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Organic</w:t>
            </w:r>
          </w:p>
        </w:tc>
        <w:tc>
          <w:tcPr>
            <w:tcW w:w="14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9"/>
              </w:rPr>
              <w:t>Organic sales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sales</w:t>
            </w: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79"/>
              </w:rPr>
              <w:t>sales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sales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sales</w:t>
            </w: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1,283</w:t>
            </w:r>
          </w:p>
        </w:tc>
        <w:tc>
          <w:tcPr>
            <w:tcW w:w="140" w:type="dxa"/>
            <w:vAlign w:val="bottom"/>
          </w:tcPr>
          <w:p>
            <w:pPr>
              <w:spacing w:after="0"/>
              <w:rPr>
                <w:sz w:val="19"/>
                <w:szCs w:val="19"/>
                <w:color w:val="auto"/>
              </w:rPr>
            </w:pPr>
          </w:p>
        </w:tc>
        <w:tc>
          <w:tcPr>
            <w:tcW w:w="114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1,456</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2,497</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266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2,855</w:t>
            </w:r>
          </w:p>
        </w:tc>
        <w:tc>
          <w:tcPr>
            <w:tcW w:w="140" w:type="dxa"/>
            <w:vAlign w:val="bottom"/>
          </w:tcPr>
          <w:p>
            <w:pPr>
              <w:spacing w:after="0"/>
              <w:rPr>
                <w:sz w:val="19"/>
                <w:szCs w:val="19"/>
                <w:color w:val="auto"/>
              </w:rPr>
            </w:pPr>
          </w:p>
        </w:tc>
        <w:tc>
          <w:tcPr>
            <w:tcW w:w="114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2,505</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8,797</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First quarter 2022 sales decreased $360 million due, in part, to a $162 million reduction in sales related to the IT services divestiture. First quarter 2022 organic sales decreased $198 million, or 2 percent, primarily due to lower sales at Aeronautics Systems and Defense Systems, partially offset by higher sales at Space Systems. First quarter 2022 organic sales reflect the continuation from 2021 of a tightened labor market as well as some temporal COVID-19-related headwinds early in the quarter related to supply chain and labor disruption.</w:t>
      </w:r>
    </w:p>
    <w:p>
      <w:pPr>
        <w:spacing w:after="0" w:line="36" w:lineRule="exact"/>
        <w:rPr>
          <w:sz w:val="20"/>
          <w:szCs w:val="20"/>
          <w:color w:val="auto"/>
        </w:rPr>
      </w:pPr>
    </w:p>
    <w:p>
      <w:pPr>
        <w:jc w:val="both"/>
        <w:ind w:right="100"/>
        <w:spacing w:after="0" w:line="340"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First quarter 2022 operating income decreased $1.9 billion, or 68 percent, primarily due to a $2.0 billion pre-tax gain on sale and $192 million of unallocated corporate expenses recognized in the prior year associated with the IT services divestiture. Operating income also decreased due to a $65 million reduction in the FAS/CAS operating adjustment and $58 million of lower segment operating income. First quarter 2022 operating margin rate declined to 10.2 percent reflecting the items above.</w:t>
      </w:r>
    </w:p>
    <w:p>
      <w:pPr>
        <w:spacing w:after="0" w:line="71" w:lineRule="exact"/>
        <w:rPr>
          <w:sz w:val="20"/>
          <w:szCs w:val="20"/>
          <w:color w:val="auto"/>
        </w:rPr>
      </w:pPr>
    </w:p>
    <w:p>
      <w:pPr>
        <w:ind w:right="500"/>
        <w:spacing w:after="0" w:line="334" w:lineRule="auto"/>
        <w:rPr>
          <w:sz w:val="20"/>
          <w:szCs w:val="20"/>
          <w:color w:val="auto"/>
        </w:rPr>
      </w:pPr>
      <w:r>
        <w:rPr>
          <w:rFonts w:ascii="Arial" w:cs="Arial" w:eastAsia="Arial" w:hAnsi="Arial"/>
          <w:sz w:val="16"/>
          <w:szCs w:val="16"/>
          <w:color w:val="auto"/>
        </w:rPr>
        <w:t>First quarter 2022 general and administrative (G&amp;A) costs as a percentage of sales increased to 11.1 percent from 9.8 percent in the prior year period primarily due to an increase in investments for future business opportunities as well as the timing of indirect cost recognition during the year.</w:t>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“Segment Operating Results” below for further information by segment. For information regarding product and service operating costs and expenses, see “Product and Service Analysis”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The first quarter 2022 effective tax rate (ETR) decreased to 16.5 percent from 27.2 percent primarily due to additional federal income taxes in the prior year resulting from the IT services divestiture. See Note 3 to the financial statements for additional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earnings to transaction-adjusted net earnings: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Three Months Ended March 31</w:t>
            </w: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2,195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(1,980)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NM</w:t>
            </w:r>
          </w:p>
        </w:tc>
      </w:tr>
      <w:tr>
        <w:trPr>
          <w:trHeight w:val="229"/>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State tax impact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NM</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Make-whole premium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29"/>
        </w:trPr>
        <w:tc>
          <w:tcPr>
            <w:tcW w:w="760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impact of items above</w:t>
            </w:r>
            <w:r>
              <w:rPr>
                <w:rFonts w:ascii="Arial" w:cs="Arial" w:eastAsia="Arial" w:hAnsi="Arial"/>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614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r>
      <w:tr>
        <w:trPr>
          <w:trHeight w:val="223"/>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Transaction adjustment, net of 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Transaction-adjusted net earnings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955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1,075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r>
    </w:tbl>
    <w:p>
      <w:pPr>
        <w:spacing w:after="0" w:line="179"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55" w:lineRule="exact"/>
        <w:rPr>
          <w:rFonts w:ascii="Arial" w:cs="Arial" w:eastAsia="Arial" w:hAnsi="Arial"/>
          <w:sz w:val="18"/>
          <w:szCs w:val="18"/>
          <w:b w:val="1"/>
          <w:bCs w:val="1"/>
          <w:color w:val="auto"/>
          <w:vertAlign w:val="superscript"/>
        </w:rPr>
      </w:pPr>
    </w:p>
    <w:p>
      <w:pPr>
        <w:ind w:left="180" w:right="120" w:hanging="172"/>
        <w:spacing w:after="0" w:line="231" w:lineRule="auto"/>
        <w:tabs>
          <w:tab w:leader="none" w:pos="168" w:val="left"/>
        </w:tabs>
        <w:numPr>
          <w:ilvl w:val="0"/>
          <w:numId w:val="9"/>
        </w:numPr>
        <w:rPr>
          <w:rFonts w:ascii="Arial" w:cs="Arial" w:eastAsia="Arial" w:hAnsi="Arial"/>
          <w:sz w:val="19"/>
          <w:szCs w:val="19"/>
          <w:b w:val="1"/>
          <w:bCs w:val="1"/>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73" w:lineRule="exact"/>
        <w:rPr>
          <w:sz w:val="20"/>
          <w:szCs w:val="20"/>
          <w:color w:val="auto"/>
        </w:rPr>
      </w:pPr>
    </w:p>
    <w:p>
      <w:pPr>
        <w:jc w:val="both"/>
        <w:ind w:right="640"/>
        <w:spacing w:after="0" w:line="340" w:lineRule="auto"/>
        <w:rPr>
          <w:sz w:val="20"/>
          <w:szCs w:val="20"/>
          <w:color w:val="auto"/>
        </w:rPr>
      </w:pPr>
      <w:r>
        <w:rPr>
          <w:rFonts w:ascii="Arial" w:cs="Arial" w:eastAsia="Arial" w:hAnsi="Arial"/>
          <w:sz w:val="16"/>
          <w:szCs w:val="16"/>
          <w:color w:val="auto"/>
        </w:rPr>
        <w:t>First quarter 2022 net earnings decreased $1.2 billion, or 56 percent, primarily due to a $1.1 billion after-tax decline associated with the IT services divestiture. Transaction-adjusted net earnings decreased $120 million, or 11 percent, primarily due to the lower operating income described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diluted earnings per share to transaction-adjusted EPS: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Three Months Ended March 31</w:t>
            </w: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7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13.43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Gain on sale of business per share</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(12.11)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State tax impact per share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Transaction costs per share</w:t>
            </w: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0.19</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Make-whole premium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60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impact of line items above per share</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r>
      <w:tr>
        <w:trPr>
          <w:trHeight w:val="223"/>
        </w:trPr>
        <w:tc>
          <w:tcPr>
            <w:tcW w:w="7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Transaction adjustment per share, net of tax</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Transaction-adjusted EPS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r>
    </w:tbl>
    <w:p>
      <w:pPr>
        <w:spacing w:after="0" w:line="179"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55" w:lineRule="exact"/>
        <w:rPr>
          <w:rFonts w:ascii="Arial" w:cs="Arial" w:eastAsia="Arial" w:hAnsi="Arial"/>
          <w:sz w:val="18"/>
          <w:szCs w:val="18"/>
          <w:b w:val="1"/>
          <w:bCs w:val="1"/>
          <w:color w:val="auto"/>
          <w:vertAlign w:val="superscript"/>
        </w:rPr>
      </w:pPr>
    </w:p>
    <w:p>
      <w:pPr>
        <w:ind w:left="180" w:right="120" w:hanging="172"/>
        <w:spacing w:after="0" w:line="231" w:lineRule="auto"/>
        <w:tabs>
          <w:tab w:leader="none" w:pos="168" w:val="left"/>
        </w:tabs>
        <w:numPr>
          <w:ilvl w:val="0"/>
          <w:numId w:val="10"/>
        </w:numPr>
        <w:rPr>
          <w:rFonts w:ascii="Arial" w:cs="Arial" w:eastAsia="Arial" w:hAnsi="Arial"/>
          <w:sz w:val="19"/>
          <w:szCs w:val="19"/>
          <w:b w:val="1"/>
          <w:bCs w:val="1"/>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7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First quarter 2022 diluted earnings per share decreased 55 percent, principally due to a $6.86 after-tax decline associated with the IT services divestiture. Transaction-adjusted earnings per share decreased $0.47, or 7 percent, reflecting an 11 percent decrease in transaction-adjusted net earnings and a 4 percent reduction in weighted-average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The company is aligned in four operating sectors, which also comprise our reportable segments: Aeronautics Systems, Defense Systems, Mission Systems and Space Systems. We present our sectors in the following business areas, which are reported in a manner reflecting core capabilities: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5"/>
              </w:rPr>
              <w:t>Defense Systems</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Mission Systems</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Space Systems</w:t>
            </w:r>
          </w:p>
        </w:tc>
        <w:tc>
          <w:tcPr>
            <w:tcW w:w="0" w:type="dxa"/>
            <w:vAlign w:val="bottom"/>
          </w:tcPr>
          <w:p>
            <w:pPr>
              <w:spacing w:after="0"/>
              <w:rPr>
                <w:sz w:val="1"/>
                <w:szCs w:val="1"/>
                <w:color w:val="auto"/>
              </w:rPr>
            </w:pPr>
          </w:p>
        </w:tc>
      </w:tr>
      <w:tr>
        <w:trPr>
          <w:trHeight w:val="169"/>
        </w:trPr>
        <w:tc>
          <w:tcPr>
            <w:tcW w:w="26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Autonomous Systems</w:t>
            </w:r>
          </w:p>
        </w:tc>
        <w:tc>
          <w:tcPr>
            <w:tcW w:w="2880" w:type="dxa"/>
            <w:vAlign w:val="bottom"/>
            <w:shd w:val="clear" w:color="auto" w:fill="CCEEFF"/>
          </w:tcPr>
          <w:p>
            <w:pPr>
              <w:jc w:val="center"/>
              <w:ind w:left="150"/>
              <w:spacing w:after="0" w:line="169" w:lineRule="exact"/>
              <w:rPr>
                <w:sz w:val="20"/>
                <w:szCs w:val="20"/>
                <w:color w:val="auto"/>
              </w:rPr>
            </w:pPr>
            <w:r>
              <w:rPr>
                <w:rFonts w:ascii="Arial" w:cs="Arial" w:eastAsia="Arial" w:hAnsi="Arial"/>
                <w:sz w:val="18"/>
                <w:szCs w:val="18"/>
                <w:color w:val="auto"/>
                <w:w w:val="92"/>
              </w:rPr>
              <w:t>Battle Management &amp; Missile</w:t>
            </w:r>
          </w:p>
        </w:tc>
        <w:tc>
          <w:tcPr>
            <w:tcW w:w="3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Airborne Multifunction Sensors</w:t>
            </w:r>
          </w:p>
        </w:tc>
        <w:tc>
          <w:tcPr>
            <w:tcW w:w="2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Launch &amp; Strategic Missiles</w:t>
            </w:r>
          </w:p>
        </w:tc>
        <w:tc>
          <w:tcPr>
            <w:tcW w:w="0" w:type="dxa"/>
            <w:vAlign w:val="bottom"/>
          </w:tcPr>
          <w:p>
            <w:pPr>
              <w:spacing w:after="0"/>
              <w:rPr>
                <w:sz w:val="1"/>
                <w:szCs w:val="1"/>
                <w:color w:val="auto"/>
              </w:rPr>
            </w:pPr>
          </w:p>
        </w:tc>
      </w:tr>
      <w:tr>
        <w:trPr>
          <w:trHeight w:val="229"/>
        </w:trPr>
        <w:tc>
          <w:tcPr>
            <w:tcW w:w="2620" w:type="dxa"/>
            <w:vAlign w:val="bottom"/>
            <w:vMerge w:val="continue"/>
            <w:shd w:val="clear" w:color="auto" w:fill="CCEEFF"/>
          </w:tcPr>
          <w:p>
            <w:pPr>
              <w:spacing w:after="0"/>
              <w:rPr>
                <w:sz w:val="19"/>
                <w:szCs w:val="19"/>
                <w:color w:val="auto"/>
              </w:rPr>
            </w:pPr>
          </w:p>
        </w:tc>
        <w:tc>
          <w:tcPr>
            <w:tcW w:w="28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6"/>
              </w:rPr>
              <w:t>Systems</w:t>
            </w:r>
          </w:p>
        </w:tc>
        <w:tc>
          <w:tcPr>
            <w:tcW w:w="3040" w:type="dxa"/>
            <w:vAlign w:val="bottom"/>
            <w:vMerge w:val="continue"/>
            <w:shd w:val="clear" w:color="auto" w:fill="CCEEFF"/>
          </w:tcPr>
          <w:p>
            <w:pPr>
              <w:spacing w:after="0"/>
              <w:rPr>
                <w:sz w:val="19"/>
                <w:szCs w:val="19"/>
                <w:color w:val="auto"/>
              </w:rPr>
            </w:pPr>
          </w:p>
        </w:tc>
        <w:tc>
          <w:tcPr>
            <w:tcW w:w="2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jc w:val="center"/>
              <w:ind w:left="10"/>
              <w:spacing w:after="0"/>
              <w:rPr>
                <w:sz w:val="20"/>
                <w:szCs w:val="20"/>
                <w:color w:val="auto"/>
              </w:rPr>
            </w:pPr>
            <w:r>
              <w:rPr>
                <w:rFonts w:ascii="Arial" w:cs="Arial" w:eastAsia="Arial" w:hAnsi="Arial"/>
                <w:sz w:val="18"/>
                <w:szCs w:val="18"/>
                <w:color w:val="auto"/>
                <w:w w:val="94"/>
              </w:rPr>
              <w:t>Manned Aircraft</w:t>
            </w:r>
          </w:p>
        </w:tc>
        <w:tc>
          <w:tcPr>
            <w:tcW w:w="2880" w:type="dxa"/>
            <w:vAlign w:val="bottom"/>
          </w:tcPr>
          <w:p>
            <w:pPr>
              <w:jc w:val="center"/>
              <w:ind w:left="150"/>
              <w:spacing w:after="0"/>
              <w:rPr>
                <w:sz w:val="20"/>
                <w:szCs w:val="20"/>
                <w:color w:val="auto"/>
              </w:rPr>
            </w:pPr>
            <w:r>
              <w:rPr>
                <w:rFonts w:ascii="Arial" w:cs="Arial" w:eastAsia="Arial" w:hAnsi="Arial"/>
                <w:sz w:val="18"/>
                <w:szCs w:val="18"/>
                <w:color w:val="auto"/>
                <w:w w:val="90"/>
              </w:rPr>
              <w:t>Mission Readiness</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80" w:type="dxa"/>
            <w:vAlign w:val="bottom"/>
          </w:tcPr>
          <w:p>
            <w:pPr>
              <w:jc w:val="center"/>
              <w:spacing w:after="0"/>
              <w:rPr>
                <w:sz w:val="20"/>
                <w:szCs w:val="20"/>
                <w:color w:val="auto"/>
              </w:rPr>
            </w:pPr>
            <w:r>
              <w:rPr>
                <w:rFonts w:ascii="Arial" w:cs="Arial" w:eastAsia="Arial" w:hAnsi="Arial"/>
                <w:sz w:val="18"/>
                <w:szCs w:val="18"/>
                <w:color w:val="auto"/>
                <w:w w:val="82"/>
              </w:rPr>
              <w:t>Space</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Navigation, Targeting &amp;</w:t>
            </w:r>
          </w:p>
        </w:tc>
        <w:tc>
          <w:tcPr>
            <w:tcW w:w="2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Survivability</w:t>
            </w: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Networked Information Solutions</w:t>
            </w:r>
          </w:p>
        </w:tc>
        <w:tc>
          <w:tcPr>
            <w:tcW w:w="2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3"/>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897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Reconciliation to segment operating income: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 pension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r>
      <w:tr>
        <w:trPr>
          <w:trHeight w:val="230"/>
        </w:trPr>
        <w:tc>
          <w:tcPr>
            <w:tcW w:w="7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FAS pension service expense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92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r>
      <w:tr>
        <w:trPr>
          <w:trHeight w:val="230"/>
        </w:trPr>
        <w:tc>
          <w:tcPr>
            <w:tcW w:w="7300" w:type="dxa"/>
            <w:vAlign w:val="bottom"/>
          </w:tcPr>
          <w:p>
            <w:pPr>
              <w:ind w:left="180"/>
              <w:spacing w:after="0"/>
              <w:rPr>
                <w:sz w:val="20"/>
                <w:szCs w:val="20"/>
                <w:color w:val="auto"/>
              </w:rPr>
            </w:pPr>
            <w:r>
              <w:rPr>
                <w:rFonts w:ascii="Arial" w:cs="Arial" w:eastAsia="Arial" w:hAnsi="Arial"/>
                <w:sz w:val="18"/>
                <w:szCs w:val="18"/>
                <w:color w:val="auto"/>
              </w:rPr>
              <w:t>Gain on sale of business</w:t>
            </w:r>
          </w:p>
        </w:tc>
        <w:tc>
          <w:tcPr>
            <w:tcW w:w="12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(1,980)</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services divestiture – unallowable state taxes and transaction costs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29"/>
        </w:trPr>
        <w:tc>
          <w:tcPr>
            <w:tcW w:w="7300" w:type="dxa"/>
            <w:vAlign w:val="bottom"/>
          </w:tcPr>
          <w:p>
            <w:pPr>
              <w:ind w:left="180"/>
              <w:spacing w:after="0"/>
              <w:rPr>
                <w:sz w:val="20"/>
                <w:szCs w:val="20"/>
                <w:color w:val="auto"/>
              </w:rPr>
            </w:pPr>
            <w:r>
              <w:rPr>
                <w:rFonts w:ascii="Arial" w:cs="Arial" w:eastAsia="Arial" w:hAnsi="Arial"/>
                <w:sz w:val="18"/>
                <w:szCs w:val="18"/>
                <w:color w:val="auto"/>
              </w:rPr>
              <w:t>Intangible asset amortization and PP&amp;E step-up depreciation</w:t>
            </w:r>
          </w:p>
        </w:tc>
        <w:tc>
          <w:tcPr>
            <w:tcW w:w="12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60</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30"/>
        </w:trPr>
        <w:tc>
          <w:tcPr>
            <w:tcW w:w="7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unallocated corporate expense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127 %</w:t>
            </w:r>
          </w:p>
        </w:tc>
      </w:tr>
      <w:tr>
        <w:trPr>
          <w:trHeight w:val="223"/>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Unallocated corporate expense (income)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94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(1,708)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1,037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37"/>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Segment operating margin rate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11.8 %</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12.0 %</w:t>
            </w:r>
          </w:p>
        </w:tc>
        <w:tc>
          <w:tcPr>
            <w:tcW w:w="134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First quarter 2022 segment operating income decreased $58 million, or 5 percent. First quarter 2021 segment operating income included $20 million from the IT services business, as well as a benefit of approximately $100 million due to the impact of lower overhead rates on the company’s fixed price contracts. Segment operating margin rate decreased to 11.8 percent from 12.0 percent and reflects a lower operating margin rate at Space Systems, partially offset by higher operating margin rates at Aeronautics Systems and Defense Systems.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FAS/CAS Operating Adjustment</w:t>
      </w:r>
    </w:p>
    <w:p>
      <w:pPr>
        <w:spacing w:after="0" w:line="2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First quarter 2022 FAS/CAS operating adjustment decreased primarily due to lower CAS pension expense resulting from favorable plan asset returns in 2021 and changes in certain CAS actuarial assumptions as of December 31, 2021.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 (Income)</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change in unallocated corporate expense (income) is primarily due to the $2.0 billion pre-tax gain on sale and $192 million of unallowable state taxes and transaction costs recognized in the prior year associated with the IT services divestiture.</w:t>
      </w:r>
    </w:p>
    <w:p>
      <w:pPr>
        <w:spacing w:after="0" w:line="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Net EAC Adjustments </w:t>
      </w:r>
      <w:r>
        <w:rPr>
          <w:rFonts w:ascii="Arial" w:cs="Arial" w:eastAsia="Arial" w:hAnsi="Arial"/>
          <w:sz w:val="18"/>
          <w:szCs w:val="18"/>
          <w:color w:val="auto"/>
        </w:rPr>
        <w:t>- We record changes in estimated contract earnings at completion (net EAC adjustments) using the cumulative catch-up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Net EAC adjustments can have a significant effect on reported sales and operating income and the aggregate amounts are presented in the table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Three Months Ended March</w:t>
            </w:r>
          </w:p>
        </w:tc>
      </w:tr>
      <w:tr>
        <w:trPr>
          <w:trHeight w:val="230"/>
        </w:trPr>
        <w:tc>
          <w:tcPr>
            <w:tcW w:w="8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color w:val="auto"/>
                <w:w w:val="89"/>
              </w:rPr>
              <w:t>31</w:t>
            </w:r>
          </w:p>
        </w:tc>
        <w:tc>
          <w:tcPr>
            <w:tcW w:w="840" w:type="dxa"/>
            <w:vAlign w:val="bottom"/>
            <w:tcBorders>
              <w:bottom w:val="single" w:sz="8" w:color="auto"/>
            </w:tcBorders>
          </w:tcPr>
          <w:p>
            <w:pPr>
              <w:spacing w:after="0"/>
              <w:rPr>
                <w:sz w:val="19"/>
                <w:szCs w:val="19"/>
                <w:color w:val="auto"/>
              </w:rPr>
            </w:pPr>
          </w:p>
        </w:tc>
      </w:tr>
      <w:tr>
        <w:trPr>
          <w:trHeight w:val="223"/>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Favorable EAC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Unfavorable EAC adjustments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EAC adjustments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392"/>
        </w:trPr>
        <w:tc>
          <w:tcPr>
            <w:tcW w:w="8980" w:type="dxa"/>
            <w:vAlign w:val="bottom"/>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Three Months Ended March</w:t>
            </w:r>
          </w:p>
        </w:tc>
      </w:tr>
      <w:tr>
        <w:trPr>
          <w:trHeight w:val="230"/>
        </w:trPr>
        <w:tc>
          <w:tcPr>
            <w:tcW w:w="8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color w:val="auto"/>
                <w:w w:val="89"/>
              </w:rPr>
              <w:t>31</w:t>
            </w:r>
          </w:p>
        </w:tc>
        <w:tc>
          <w:tcPr>
            <w:tcW w:w="840" w:type="dxa"/>
            <w:vAlign w:val="bottom"/>
            <w:tcBorders>
              <w:bottom w:val="single" w:sz="8" w:color="auto"/>
            </w:tcBorders>
          </w:tcPr>
          <w:p>
            <w:pPr>
              <w:spacing w:after="0"/>
              <w:rPr>
                <w:sz w:val="19"/>
                <w:szCs w:val="19"/>
                <w:color w:val="auto"/>
              </w:rPr>
            </w:pPr>
          </w:p>
        </w:tc>
      </w:tr>
      <w:tr>
        <w:trPr>
          <w:trHeight w:val="223"/>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EAC adjustments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bl>
    <w:p>
      <w:pPr>
        <w:spacing w:after="0" w:line="16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2,703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307</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308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11.4 %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10.3 %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First quarter 2022 sales decreased $287 million, or 10 percent, due to lower volume in both Manned Aircraft and Autonomous Systems, including restricted programs and the E-2, Triton and F/A-18 production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First quarter 2022 operating income was comparable to the prior year period. Operating margin rate increased to 11.4 percent from 10.3 percent primarily due to a $67 million favorable EAC adjustment on the engineering, manufacturing and development phase of the B-21 program largely related to performance incentives, partially offset by the previously described overhead rate benefit to fixed price contracts in the prior year.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5"/>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1,283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155</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177</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12.1 %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11.3 %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First quarter 2022 sales decreased $279 million due, in part, to a $106 million reduction in sales related to the IT services divestiture. First quarter 2022 organic sales decreased $173 million, or 12 percent, principally due to lower scope on an international training program as well as lower volume on the Advanced Anti-Radiation Guided Missile (AARGM) and Precision Guided Kit (PGK) programs due to timing of ramp-up on follow-on production lots. These reductions were partially offset by higher volume on an international weapons program.</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First quarter 2022 operating income decreased $22 million, or 12 percent, due, in part, to a $14 million reduction in operating income related to the IT services divestiture. Lower organic sales volume was partially offset by a higher operating margin rate, which increased to 12.1 percent from 11.3 percent primarily due to improved performance at Battle Management and Missile Systems.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MISSION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5"/>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2,497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2,589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385</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397</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15.4 %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15.3 %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First quarter 2022 sales decreased $92 million due, in part, to a $42 million reduction in sales related to the IT services divestiture. First quarter 2022 organic sales decreased $50 million, or 2 percent, primarily due to lower volume on Navigation, Targeting and Survivability programs, as well as lower volume on airborne radar and electronic warfare programs. These decreases were partially offset by an increase in restricted sales, higher volume on the Ground/Air Task-Oriented Radar program, as well as higher intercompany volume largely related to ramp-up on the Ground Based Strategic Deterrent (GBSD) program.</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First quarter 2022 operating income decreased $12 million, or 3 percent, principally due to lower sales. Operating margin rate was comparable to the prior year period and reflects improved performance on Maritime/Land Systems and Sensors and Navigation, Targeting and Survivability programs, partially offset by the previously described overhead rate benefit to fixed price contracts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2,855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261</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276</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9.1 %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10.9 %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First quarter 2022 sales increased $334 million, or 13 percent, and includes a $16 million reduction in sales related to the IT services divestiture. First quarter 2022 organic sales increased $350 million, or 14 percent, due to higher sales in both the Launch &amp; Strategic Missiles and Space business areas. Launch &amp; Strategic Missiles sales increased primarily due to ramp-up on development programs, including a $130 million increase on the Next Generation Interceptor program and a $117 million increase on GBSD. Space sales were driven by higher volume on CRS and restricted programs, partially offset by lower volume on the James Webb Space Telescope after its successful launch in December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First quarter 2022 operating income decreased $15 million, or 5 percent, due to a lower operating margin rate, partially offset by higher sales volume. Operating margin rate decreased to 9.1 percent from 10.9 percent primarily due to lower net EAC adjustments on commercial space programs as well as the previously described overhead rate benefit to fixed price contracts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w w:val="91"/>
              </w:rPr>
              <w:t>Three Months Ended 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169"/>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ind w:left="40"/>
              <w:spacing w:after="0" w:line="169" w:lineRule="exact"/>
              <w:rPr>
                <w:sz w:val="20"/>
                <w:szCs w:val="20"/>
                <w:color w:val="auto"/>
              </w:rPr>
            </w:pPr>
            <w:r>
              <w:rPr>
                <w:rFonts w:ascii="Arial" w:cs="Arial" w:eastAsia="Arial" w:hAnsi="Arial"/>
                <w:sz w:val="18"/>
                <w:szCs w:val="18"/>
                <w:color w:val="auto"/>
              </w:rPr>
              <w:t>Operating</w:t>
            </w:r>
          </w:p>
        </w:tc>
        <w:tc>
          <w:tcPr>
            <w:tcW w:w="0" w:type="dxa"/>
            <w:vAlign w:val="bottom"/>
          </w:tcPr>
          <w:p>
            <w:pPr>
              <w:spacing w:after="0"/>
              <w:rPr>
                <w:sz w:val="1"/>
                <w:szCs w:val="1"/>
                <w:color w:val="auto"/>
              </w:rPr>
            </w:pPr>
          </w:p>
        </w:tc>
      </w:tr>
      <w:tr>
        <w:trPr>
          <w:trHeight w:val="176"/>
        </w:trPr>
        <w:tc>
          <w:tcPr>
            <w:tcW w:w="6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Information:</w:t>
            </w:r>
          </w:p>
        </w:tc>
        <w:tc>
          <w:tcPr>
            <w:tcW w:w="200" w:type="dxa"/>
            <w:vAlign w:val="bottom"/>
          </w:tcPr>
          <w:p>
            <w:pPr>
              <w:spacing w:after="0"/>
              <w:rPr>
                <w:sz w:val="15"/>
                <w:szCs w:val="15"/>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7"/>
              </w:rPr>
              <w:t>Sales</w:t>
            </w:r>
          </w:p>
        </w:tc>
        <w:tc>
          <w:tcPr>
            <w:tcW w:w="220" w:type="dxa"/>
            <w:vAlign w:val="bottom"/>
          </w:tcPr>
          <w:p>
            <w:pPr>
              <w:spacing w:after="0"/>
              <w:rPr>
                <w:sz w:val="15"/>
                <w:szCs w:val="15"/>
                <w:color w:val="auto"/>
              </w:rPr>
            </w:pPr>
          </w:p>
        </w:tc>
        <w:tc>
          <w:tcPr>
            <w:tcW w:w="10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Costs and</w:t>
            </w:r>
          </w:p>
        </w:tc>
        <w:tc>
          <w:tcPr>
            <w:tcW w:w="220" w:type="dxa"/>
            <w:vAlign w:val="bottom"/>
          </w:tcPr>
          <w:p>
            <w:pPr>
              <w:spacing w:after="0"/>
              <w:rPr>
                <w:sz w:val="15"/>
                <w:szCs w:val="15"/>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color w:val="auto"/>
                <w:w w:val="97"/>
              </w:rPr>
              <w:t>Sales</w:t>
            </w:r>
          </w:p>
        </w:tc>
        <w:tc>
          <w:tcPr>
            <w:tcW w:w="240" w:type="dxa"/>
            <w:vAlign w:val="bottom"/>
          </w:tcPr>
          <w:p>
            <w:pPr>
              <w:spacing w:after="0"/>
              <w:rPr>
                <w:sz w:val="15"/>
                <w:szCs w:val="15"/>
                <w:color w:val="auto"/>
              </w:rPr>
            </w:pPr>
          </w:p>
        </w:tc>
        <w:tc>
          <w:tcPr>
            <w:tcW w:w="960" w:type="dxa"/>
            <w:vAlign w:val="bottom"/>
          </w:tcPr>
          <w:p>
            <w:pPr>
              <w:ind w:left="40"/>
              <w:spacing w:after="0" w:line="176" w:lineRule="exact"/>
              <w:rPr>
                <w:sz w:val="20"/>
                <w:szCs w:val="20"/>
                <w:color w:val="auto"/>
              </w:rPr>
            </w:pPr>
            <w:r>
              <w:rPr>
                <w:rFonts w:ascii="Arial" w:cs="Arial" w:eastAsia="Arial" w:hAnsi="Arial"/>
                <w:sz w:val="18"/>
                <w:szCs w:val="18"/>
                <w:color w:val="auto"/>
              </w:rPr>
              <w:t>Costs and</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Expenses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2,045</w:t>
            </w:r>
          </w:p>
        </w:tc>
        <w:tc>
          <w:tcPr>
            <w:tcW w:w="2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Aeronautics Systems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2,396</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Defense Systems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1,128</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1,762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1,509</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Mission Systems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2,497</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2,112</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2,195</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Space Systems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2,594</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Totals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Total Product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6,841</w:t>
            </w:r>
          </w:p>
        </w:tc>
        <w:tc>
          <w:tcPr>
            <w:tcW w:w="2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Service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1,956</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1,725</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 reconciliation of segment operating income to total operating income is included in “Segment Operating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27"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First quarter 2022 product sales decreased $181 million, or 3 percent, primarily due to decreases in product sales at Aeronautics Systems and Defense Systems, partially offset by increases in product sales at Space Systems. The decrease at Aeronautics Systems was principally due to lower volume on restricted programs, as well as the E-2 and F/A-18 production programs. The decrease at Defense Systems was driven by lower volume on the AARGM and PGK programs. The increase at Space Systems is principally related to ramp-up on development programs including NGI and GBSD.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2022 product costs decreased $156 million, or 3 percent, consistent with the lower product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First quarter 2022 service sales decreased $179 million, or 8 percent, primarily due to the IT services divestiture and lower volume on an international training program at Defense Systems. Sales from the divested IT services business, which were largely included in service sales, were $162 million in the prior year period. The decreases were partially offset by higher service volume on restricted programs at Aeronautics Systems.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2022 service costs decreased $146 million, or 8 percent, consistent with the lower service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March 31, 2022 and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 2022</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2021</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Funded</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95"/>
              </w:rPr>
              <w:t>Unfunded</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Backlog</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3"/>
              </w:rPr>
              <w:t>Backlog</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5,404</w:t>
            </w:r>
          </w:p>
        </w:tc>
        <w:tc>
          <w:tcPr>
            <w:tcW w:w="2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737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9,960</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4,055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6,828</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31,168</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37,114</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31,098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44,695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75,793</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76,046</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First quarter 2022 net awards totaled $8.5 billion and backlog totaled $75.8 billion. Significant first quarter new awards include $2.5 billion for restricted programs (primarily at Aeronautics Systems and Mission Systems), $1.3 billion for Commercial Resupply Service Missions, $0.7 billion for the Space Development Agency Tranche 1 Transport Layer and $0.6 billion for F-35 at Aeronautics Systems.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focused on the efficient conversion of operating income into cash and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March 31, 2022, we had $2.2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 aggregate principal amount of $2.0 billion, and in April 2022, we renewed our one-year $500 million uncommitted credit facility. At March 31, 2022, there was no balance outstanding under these credit facilities.</w:t>
      </w:r>
    </w:p>
    <w:p>
      <w:pPr>
        <w:spacing w:after="0" w:line="53" w:lineRule="exact"/>
        <w:rPr>
          <w:sz w:val="20"/>
          <w:szCs w:val="20"/>
          <w:color w:val="auto"/>
        </w:rPr>
      </w:pPr>
    </w:p>
    <w:p>
      <w:pPr>
        <w:ind w:right="240"/>
        <w:spacing w:after="0" w:line="340" w:lineRule="auto"/>
        <w:rPr>
          <w:sz w:val="20"/>
          <w:szCs w:val="20"/>
          <w:color w:val="auto"/>
        </w:rPr>
      </w:pPr>
      <w:r>
        <w:rPr>
          <w:rFonts w:ascii="Arial" w:cs="Arial" w:eastAsia="Arial" w:hAnsi="Arial"/>
          <w:sz w:val="16"/>
          <w:szCs w:val="16"/>
          <w:color w:val="auto"/>
        </w:rPr>
        <w:t>Effective January 30, 2021, we completed the IT services divestiture for $3.4 billion cash. Proceeds were primarily used in the first quarter of 2021 for a $2.0 billion accelerated share repurchase and to fund redemption of $1.5 billion of the company’s 2.55 percent unsecured notes due October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the CARES Act</w:t>
      </w:r>
    </w:p>
    <w:p>
      <w:pPr>
        <w:spacing w:after="0" w:line="2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Our first installment of deferred social security taxes of $200 million was paid in the fourth quarter of 2021 and the second installment of $200 million is due in the fourth quarter of 2022. Under Section 3610, the CARES Act also authorized the government to reimburse qualifying contractors for certain costs of providing paid leave to employees as a result of COVID-19. The company continues to seek, and anticipates continuing to seek, recovery for certain COVID-19-related costs under Section 3610 of the CARES Act and through our contract provisions, though it is unclear how much we will be able to recover. In addition, the U.S. Department of Defense (DoD) has, to date, taken steps to increase the rate for certain progress payments from 80 percent to 90 percent for costs incurred and work performed on relevant contracts; it is unclear what steps the DoD will continue to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Code (IRC) Section 174</w:t>
      </w:r>
    </w:p>
    <w:p>
      <w:pPr>
        <w:spacing w:after="0" w:line="2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Beginning in 2022, the Tax Cuts and Jobs Act of 2017 (“TCJA”) eliminates the option to deduct research and development expenditures currently and requires taxpayers to amortize them over five years pursuant to IRC Section 174. Congress is considering, but has not passed, legislation that would defer the amortization requirement to later years. Although first quarter 2022 cash from operations was not impacted, if legislation is not passed and made effective retroactively to January 1, 2022, we estimate the provisions currently in effect will reduce cash from operations for the year ended December 31, 2022 by approximately $1 billion. The actual impact on 2022 cash from operations will depend on if and when Congress passes additional legislation, whether such legislation is made effective retroactively, the amount of research and development expenditures incurred and paid by the company during 2022, and whether the IRS issues guidance on the provision which differs from our current interpretation.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Measures</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In addition to our cash position, we consider various cash flow measures in capital deployment decision-making, including cash provided by operating activities and adjusted free cash flow, a non-GAAP measure described in more detail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used in operating activities: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31</w:t>
            </w:r>
          </w:p>
        </w:tc>
        <w:tc>
          <w:tcPr>
            <w:tcW w:w="820" w:type="dxa"/>
            <w:vAlign w:val="bottom"/>
            <w:tcBorders>
              <w:bottom w:val="single" w:sz="8" w:color="auto"/>
            </w:tcBorders>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Non-cash items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Pension and OPB contributions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trade working capital</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(1,254)</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305 %</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639 %</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amortization, non-cash lease expense, stock based compensation expense, deferred income taxes and net periodic pension and OPB income.</w:t>
      </w:r>
    </w:p>
    <w:p>
      <w:pPr>
        <w:spacing w:after="0" w:line="7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First quarter 2022 cash used in operating activities increased $422 million, as compared with the same period in 2021, principally due to increases in trade working capital. The net use of cash during the first quarter is consistent with the company’s historical timing of operating cash flows, which are generally more heavily weighted towards the second half of the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774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740" w:type="dxa"/>
            <w:vAlign w:val="bottom"/>
            <w:gridSpan w:val="2"/>
          </w:tcPr>
          <w:p>
            <w:pPr>
              <w:spacing w:after="0"/>
              <w:rPr>
                <w:sz w:val="20"/>
                <w:szCs w:val="20"/>
                <w:color w:val="auto"/>
              </w:rPr>
            </w:pPr>
            <w:r>
              <w:rPr>
                <w:rFonts w:ascii="Arial" w:cs="Arial" w:eastAsia="Arial" w:hAnsi="Arial"/>
                <w:sz w:val="18"/>
                <w:szCs w:val="18"/>
                <w:color w:val="auto"/>
              </w:rPr>
              <w:t>The table below reconciles net cash used in operating activities to adjusted free cash flow:</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w w:val="94"/>
              </w:rPr>
              <w:t>Three Months Ended March</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31</w:t>
            </w:r>
          </w:p>
        </w:tc>
        <w:tc>
          <w:tcPr>
            <w:tcW w:w="840" w:type="dxa"/>
            <w:vAlign w:val="bottom"/>
            <w:tcBorders>
              <w:bottom w:val="single" w:sz="8" w:color="auto"/>
            </w:tcBorders>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639 %</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First quarter 2022 adjusted free cash flow decreased $461 million, as compared with the same period in 2021, due to higher net cash used in operating activities and an increase in capital expenditures.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First quarter 2022 net cash used in investing activities was $249 million compared to net cash provided by investing activities of $3.2 billion in the prior year period, principally due to $3.4 billion in cash received from the sale of our IT services business during the first quarter of 2021.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First quarter 2022 net cash used in financing activities decreased $3.9 billion, as compared with the same period in 2021, principally due to a $2.2 billion decrease in debt repayments and a $1.7 billion reduction in share repurchases.</w:t>
      </w:r>
    </w:p>
    <w:p>
      <w:pPr>
        <w:spacing w:after="0" w:line="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6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2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4 to the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2021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2021 Annual Report on Form 10-K and from time to time in our other filings with the Securities and Exchange Commission (SEC). These risks and uncertainties are amplified by the global COVID-19 pandemic and the related effects on the broader economic environment, which have caused and will continue to cause significant challenges, instability and uncertainty. They include: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Industry and Economic Risks</w:t>
      </w:r>
    </w:p>
    <w:p>
      <w:pPr>
        <w:spacing w:after="0" w:line="9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103"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 including related to hostilities and other global events</w:t>
      </w:r>
    </w:p>
    <w:p>
      <w:pPr>
        <w:spacing w:after="0" w:line="48"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use of estimates when accounting for our contracts and the effect of contract cost growth and/or changes in estimated contract revenues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6700" w:firstLine="8"/>
        <w:spacing w:after="0" w:line="352"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 Legal and Regulatory Risks</w:t>
      </w: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10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48" w:lineRule="exact"/>
        <w:rPr>
          <w:rFonts w:ascii="Arial" w:cs="Arial" w:eastAsia="Arial" w:hAnsi="Arial"/>
          <w:sz w:val="18"/>
          <w:szCs w:val="18"/>
          <w:color w:val="auto"/>
        </w:rPr>
      </w:pPr>
    </w:p>
    <w:p>
      <w:pPr>
        <w:ind w:left="340" w:right="560" w:hanging="332"/>
        <w:spacing w:after="0" w:line="308"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procurement and other laws, SEC and other regulations, contract terms and practices applicable to our industry, findings by the U.S. government as to our compliance with such requirements, and changes in our customers’ business practices globally</w:t>
      </w:r>
    </w:p>
    <w:p>
      <w:pPr>
        <w:spacing w:after="0" w:line="11" w:lineRule="exact"/>
        <w:rPr>
          <w:rFonts w:ascii="Arial" w:cs="Arial" w:eastAsia="Arial" w:hAnsi="Arial"/>
          <w:sz w:val="17"/>
          <w:szCs w:val="17"/>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Business and Operational Risks</w:t>
      </w:r>
    </w:p>
    <w:p>
      <w:pPr>
        <w:spacing w:after="0" w:line="90" w:lineRule="exact"/>
        <w:rPr>
          <w:sz w:val="20"/>
          <w:szCs w:val="20"/>
          <w:color w:val="auto"/>
        </w:rPr>
      </w:pPr>
    </w:p>
    <w:p>
      <w:pPr>
        <w:ind w:left="340" w:right="80" w:hanging="332"/>
        <w:spacing w:after="0" w:line="255"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impacts of the COVID-19 pandemic (or future health epidemics, pandemics or similar outbreaks), including potential new variants, case surges or prolonged recovery periods, their effects on the broader environment, and varying related government requirements, on: our business, our ability to maintain a qualified and productive workforce, work slowdowns or stoppages, labor shortages, supply chain and logistics challenges, costs we cannot recover and liabilities for which we are not compensated, performance challenges (including cost and schedule), government funding, changes in government acquisition priorities and processes, government payment rules and practices, insurance challenges, and potential impacts on access to capital, the markets and the fair value of our assets</w:t>
      </w:r>
    </w:p>
    <w:p>
      <w:pPr>
        <w:spacing w:after="0" w:line="70"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cyber and other security threats or disruptions faced by us, our customers or our suppliers and other partners, and changes in related regulations</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and viability of our subcontractors and suppliers and the availability and pricing of raw materials and components</w:t>
      </w:r>
    </w:p>
    <w:p>
      <w:pPr>
        <w:spacing w:after="0" w:line="103" w:lineRule="exact"/>
        <w:rPr>
          <w:rFonts w:ascii="Arial" w:cs="Arial" w:eastAsia="Arial" w:hAnsi="Arial"/>
          <w:sz w:val="18"/>
          <w:szCs w:val="18"/>
          <w:color w:val="auto"/>
        </w:rPr>
      </w:pPr>
    </w:p>
    <w:p>
      <w:pPr>
        <w:ind w:left="340" w:right="160" w:hanging="332"/>
        <w:spacing w:after="0" w:line="308" w:lineRule="auto"/>
        <w:tabs>
          <w:tab w:leader="none" w:pos="3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climate change, its impacts on our company, our operations and our stakeholders (employees, suppliers, customers, shareholders and regulators), and changes in laws, regulations and priorities related to greenhouse gas emissions and other climate change related concerns</w:t>
      </w:r>
    </w:p>
    <w:p>
      <w:pPr>
        <w:spacing w:after="0" w:line="24" w:lineRule="exact"/>
        <w:rPr>
          <w:rFonts w:ascii="Arial" w:cs="Arial" w:eastAsia="Arial" w:hAnsi="Arial"/>
          <w:sz w:val="17"/>
          <w:szCs w:val="17"/>
          <w:color w:val="auto"/>
        </w:rPr>
      </w:pPr>
    </w:p>
    <w:p>
      <w:pPr>
        <w:ind w:left="340" w:right="2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35"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48"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03"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103"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103"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urge you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2021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March 31, 2022,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During the three months ended March 31, 2022,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2021 Annual Report on Form 10-K.</w:t>
      </w:r>
    </w:p>
    <w:p>
      <w:pPr>
        <w:spacing w:after="0" w:line="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risk factors please see the section entitled “Risk Factors” in our 2021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of common stock during the three months ended March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Total Number</w:t>
            </w:r>
          </w:p>
        </w:tc>
        <w:tc>
          <w:tcPr>
            <w:tcW w:w="156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Approximate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of Shares</w:t>
            </w:r>
          </w:p>
        </w:tc>
        <w:tc>
          <w:tcPr>
            <w:tcW w:w="1560" w:type="dxa"/>
            <w:vAlign w:val="bottom"/>
          </w:tcPr>
          <w:p>
            <w:pPr>
              <w:jc w:val="center"/>
              <w:ind w:left="310"/>
              <w:spacing w:after="0" w:line="176" w:lineRule="exact"/>
              <w:rPr>
                <w:sz w:val="20"/>
                <w:szCs w:val="20"/>
                <w:color w:val="auto"/>
              </w:rPr>
            </w:pPr>
            <w:r>
              <w:rPr>
                <w:rFonts w:ascii="Arial" w:cs="Arial" w:eastAsia="Arial" w:hAnsi="Arial"/>
                <w:sz w:val="18"/>
                <w:szCs w:val="18"/>
                <w:b w:val="1"/>
                <w:bCs w:val="1"/>
                <w:color w:val="auto"/>
                <w:w w:val="91"/>
              </w:rPr>
              <w:t>Dollar Value of</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5"/>
              </w:rPr>
              <w:t>Purchased as</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180" w:type="dxa"/>
            <w:vAlign w:val="bottom"/>
            <w:vMerge w:val="restart"/>
          </w:tcPr>
          <w:p>
            <w:pPr>
              <w:jc w:val="center"/>
              <w:ind w:left="550"/>
              <w:spacing w:after="0"/>
              <w:rPr>
                <w:sz w:val="20"/>
                <w:szCs w:val="20"/>
                <w:color w:val="auto"/>
              </w:rPr>
            </w:pPr>
            <w:r>
              <w:rPr>
                <w:rFonts w:ascii="Arial" w:cs="Arial" w:eastAsia="Arial" w:hAnsi="Arial"/>
                <w:sz w:val="18"/>
                <w:szCs w:val="18"/>
                <w:b w:val="1"/>
                <w:bCs w:val="1"/>
                <w:color w:val="auto"/>
                <w:w w:val="91"/>
              </w:rPr>
              <w:t>Total Number</w:t>
            </w:r>
          </w:p>
        </w:tc>
        <w:tc>
          <w:tcPr>
            <w:tcW w:w="1460" w:type="dxa"/>
            <w:vAlign w:val="bottom"/>
            <w:gridSpan w:val="2"/>
            <w:vMerge w:val="restart"/>
          </w:tcPr>
          <w:p>
            <w:pPr>
              <w:jc w:val="center"/>
              <w:ind w:right="50"/>
              <w:spacing w:after="0"/>
              <w:rPr>
                <w:sz w:val="20"/>
                <w:szCs w:val="20"/>
                <w:color w:val="auto"/>
              </w:rPr>
            </w:pPr>
            <w:r>
              <w:rPr>
                <w:rFonts w:ascii="Arial" w:cs="Arial" w:eastAsia="Arial" w:hAnsi="Arial"/>
                <w:sz w:val="18"/>
                <w:szCs w:val="18"/>
                <w:b w:val="1"/>
                <w:bCs w:val="1"/>
                <w:color w:val="auto"/>
                <w:w w:val="88"/>
              </w:rPr>
              <w:t>Average Price</w:t>
            </w: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Announced</w:t>
            </w:r>
          </w:p>
        </w:tc>
        <w:tc>
          <w:tcPr>
            <w:tcW w:w="1560" w:type="dxa"/>
            <w:vAlign w:val="bottom"/>
          </w:tcPr>
          <w:p>
            <w:pPr>
              <w:jc w:val="center"/>
              <w:ind w:left="310"/>
              <w:spacing w:after="0" w:line="176" w:lineRule="exact"/>
              <w:rPr>
                <w:sz w:val="20"/>
                <w:szCs w:val="20"/>
                <w:color w:val="auto"/>
              </w:rPr>
            </w:pPr>
            <w:r>
              <w:rPr>
                <w:rFonts w:ascii="Arial" w:cs="Arial" w:eastAsia="Arial" w:hAnsi="Arial"/>
                <w:sz w:val="18"/>
                <w:szCs w:val="18"/>
                <w:b w:val="1"/>
                <w:bCs w:val="1"/>
                <w:color w:val="auto"/>
                <w:w w:val="92"/>
              </w:rPr>
              <w:t>under the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180" w:type="dxa"/>
            <w:vAlign w:val="bottom"/>
          </w:tcPr>
          <w:p>
            <w:pPr>
              <w:jc w:val="center"/>
              <w:ind w:left="550"/>
              <w:spacing w:after="0" w:line="176" w:lineRule="exact"/>
              <w:rPr>
                <w:sz w:val="20"/>
                <w:szCs w:val="20"/>
                <w:color w:val="auto"/>
              </w:rPr>
            </w:pPr>
            <w:r>
              <w:rPr>
                <w:rFonts w:ascii="Arial" w:cs="Arial" w:eastAsia="Arial" w:hAnsi="Arial"/>
                <w:sz w:val="18"/>
                <w:szCs w:val="18"/>
                <w:b w:val="1"/>
                <w:bCs w:val="1"/>
                <w:color w:val="auto"/>
                <w:w w:val="85"/>
              </w:rPr>
              <w:t>of Shares</w:t>
            </w:r>
          </w:p>
        </w:tc>
        <w:tc>
          <w:tcPr>
            <w:tcW w:w="260" w:type="dxa"/>
            <w:vAlign w:val="bottom"/>
          </w:tcPr>
          <w:p>
            <w:pPr>
              <w:spacing w:after="0"/>
              <w:rPr>
                <w:sz w:val="15"/>
                <w:szCs w:val="15"/>
                <w:color w:val="auto"/>
              </w:rPr>
            </w:pPr>
          </w:p>
        </w:tc>
        <w:tc>
          <w:tcPr>
            <w:tcW w:w="1200" w:type="dxa"/>
            <w:vAlign w:val="bottom"/>
          </w:tcPr>
          <w:p>
            <w:pPr>
              <w:jc w:val="center"/>
              <w:ind w:right="310"/>
              <w:spacing w:after="0" w:line="176" w:lineRule="exact"/>
              <w:rPr>
                <w:sz w:val="20"/>
                <w:szCs w:val="20"/>
                <w:color w:val="auto"/>
              </w:rPr>
            </w:pPr>
            <w:r>
              <w:rPr>
                <w:rFonts w:ascii="Arial" w:cs="Arial" w:eastAsia="Arial" w:hAnsi="Arial"/>
                <w:sz w:val="18"/>
                <w:szCs w:val="18"/>
                <w:b w:val="1"/>
                <w:bCs w:val="1"/>
                <w:color w:val="auto"/>
                <w:w w:val="92"/>
              </w:rPr>
              <w:t>Paid per</w:t>
            </w: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0"/>
              </w:rPr>
              <w:t>Plans or</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vMerge w:val="continue"/>
          </w:tcPr>
          <w:p>
            <w:pPr>
              <w:spacing w:after="0"/>
              <w:rPr>
                <w:sz w:val="19"/>
                <w:szCs w:val="19"/>
                <w:color w:val="auto"/>
              </w:rPr>
            </w:pPr>
          </w:p>
        </w:tc>
        <w:tc>
          <w:tcPr>
            <w:tcW w:w="21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9"/>
              </w:rPr>
              <w:t>Purchased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90"/>
              <w:spacing w:after="0" w:line="230" w:lineRule="exact"/>
              <w:rPr>
                <w:sz w:val="20"/>
                <w:szCs w:val="20"/>
                <w:color w:val="auto"/>
              </w:rPr>
            </w:pPr>
            <w:r>
              <w:rPr>
                <w:rFonts w:ascii="Arial" w:cs="Arial" w:eastAsia="Arial" w:hAnsi="Arial"/>
                <w:sz w:val="26"/>
                <w:szCs w:val="26"/>
                <w:b w:val="1"/>
                <w:bCs w:val="1"/>
                <w:color w:val="auto"/>
                <w:w w:val="99"/>
                <w:vertAlign w:val="subscript"/>
              </w:rPr>
              <w:t>Share</w:t>
            </w:r>
            <w:r>
              <w:rPr>
                <w:rFonts w:ascii="Arial" w:cs="Arial" w:eastAsia="Arial" w:hAnsi="Arial"/>
                <w:sz w:val="10"/>
                <w:szCs w:val="10"/>
                <w:b w:val="1"/>
                <w:bCs w:val="1"/>
                <w:color w:val="auto"/>
                <w:w w:val="99"/>
              </w:rPr>
              <w:t>(1)(3)</w:t>
            </w:r>
          </w:p>
        </w:tc>
        <w:tc>
          <w:tcPr>
            <w:tcW w:w="1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Programs</w:t>
            </w:r>
          </w:p>
        </w:tc>
        <w:tc>
          <w:tcPr>
            <w:tcW w:w="204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8"/>
                <w:szCs w:val="18"/>
                <w:b w:val="1"/>
                <w:bCs w:val="1"/>
                <w:color w:val="auto"/>
                <w:w w:val="89"/>
              </w:rPr>
              <w:t>($ in millions)</w:t>
            </w:r>
            <w:r>
              <w:rPr>
                <w:rFonts w:ascii="Arial" w:cs="Arial" w:eastAsia="Arial" w:hAnsi="Arial"/>
                <w:sz w:val="23"/>
                <w:szCs w:val="23"/>
                <w:b w:val="1"/>
                <w:bCs w:val="1"/>
                <w:color w:val="auto"/>
                <w:w w:val="89"/>
                <w:vertAlign w:val="superscript"/>
              </w:rPr>
              <w:t>(2)</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2022 - January 28, 2022</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255,824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396.46</w:t>
            </w:r>
          </w:p>
        </w:tc>
        <w:tc>
          <w:tcPr>
            <w:tcW w:w="1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255,824</w:t>
            </w:r>
          </w:p>
        </w:tc>
        <w:tc>
          <w:tcPr>
            <w:tcW w:w="15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4,107</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January 29, 2022 - February 25, 2022</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404,647</w:t>
            </w:r>
          </w:p>
        </w:tc>
        <w:tc>
          <w:tcPr>
            <w:tcW w:w="260" w:type="dxa"/>
            <w:vAlign w:val="bottom"/>
          </w:tcPr>
          <w:p>
            <w:pPr>
              <w:spacing w:after="0"/>
              <w:rPr>
                <w:sz w:val="19"/>
                <w:szCs w:val="19"/>
                <w:color w:val="auto"/>
              </w:rPr>
            </w:pPr>
          </w:p>
        </w:tc>
        <w:tc>
          <w:tcPr>
            <w:tcW w:w="1200" w:type="dxa"/>
            <w:vAlign w:val="bottom"/>
          </w:tcPr>
          <w:p>
            <w:pPr>
              <w:jc w:val="right"/>
              <w:ind w:right="150"/>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(3)</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404,647</w:t>
            </w:r>
          </w:p>
        </w:tc>
        <w:tc>
          <w:tcPr>
            <w:tcW w:w="1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3,930</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26, 2022 - April 1, 2022</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251,153</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447.04</w:t>
            </w:r>
          </w:p>
        </w:tc>
        <w:tc>
          <w:tcPr>
            <w:tcW w:w="1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251,153</w:t>
            </w:r>
          </w:p>
        </w:tc>
        <w:tc>
          <w:tcPr>
            <w:tcW w:w="1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3,818</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911,624</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line="223"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0"/>
                <w:szCs w:val="10"/>
                <w:color w:val="auto"/>
              </w:rPr>
              <w:t>(3)</w:t>
            </w:r>
          </w:p>
        </w:tc>
        <w:tc>
          <w:tcPr>
            <w:tcW w:w="1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911,624</w:t>
            </w:r>
          </w:p>
        </w:tc>
        <w:tc>
          <w:tcPr>
            <w:tcW w:w="15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3,818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value remaining includes an additional $2.0 billion share repurchase authorization approved by the company’s board of directors on January 24, 2022.</w:t>
      </w:r>
    </w:p>
    <w:p>
      <w:pPr>
        <w:spacing w:after="0" w:line="77" w:lineRule="exact"/>
        <w:rPr>
          <w:rFonts w:ascii="Arial" w:cs="Arial" w:eastAsia="Arial" w:hAnsi="Arial"/>
          <w:sz w:val="18"/>
          <w:szCs w:val="18"/>
          <w:color w:val="auto"/>
          <w:vertAlign w:val="superscript"/>
        </w:rPr>
      </w:pPr>
    </w:p>
    <w:p>
      <w:pPr>
        <w:ind w:left="180" w:right="40" w:hanging="172"/>
        <w:spacing w:after="0" w:line="252" w:lineRule="auto"/>
        <w:tabs>
          <w:tab w:leader="none" w:pos="168"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During the fourth quarter of 2021, the company entered into an accelerated share repurchase (ASR) agreement with Goldman Sachs &amp; Co. LLC, which was completed on February 1, 2022. Pursuant to the terms of the ASR, a total of approximately 0.1 million shares of our common stock were repurchased with an average final purchase price of $374.79</w:t>
      </w:r>
    </w:p>
    <w:p>
      <w:pPr>
        <w:spacing w:after="0" w:line="5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39">
        <w:r>
          <w:rPr>
            <w:rFonts w:ascii="Arial" w:cs="Arial" w:eastAsia="Arial" w:hAnsi="Arial"/>
            <w:sz w:val="18"/>
            <w:szCs w:val="18"/>
            <w:u w:val="single" w:color="auto"/>
            <w:color w:val="0000FF"/>
          </w:rPr>
          <w:t>Group Personal Excess Liability Policy effective January 1, 2022</w:t>
        </w:r>
      </w:hyperlink>
    </w:p>
    <w:p>
      <w:pPr>
        <w:spacing w:after="0" w:line="90" w:lineRule="exact"/>
        <w:rPr>
          <w:sz w:val="20"/>
          <w:szCs w:val="20"/>
          <w:color w:val="auto"/>
        </w:rPr>
      </w:pPr>
    </w:p>
    <w:p>
      <w:pPr>
        <w:ind w:left="980" w:hanging="541"/>
        <w:spacing w:after="0" w:line="24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w:anchor="page54">
        <w:r>
          <w:rPr>
            <w:rFonts w:ascii="Arial" w:cs="Arial" w:eastAsia="Arial" w:hAnsi="Arial"/>
            <w:sz w:val="18"/>
            <w:szCs w:val="18"/>
            <w:u w:val="single" w:color="auto"/>
            <w:color w:val="0000FF"/>
          </w:rPr>
          <w:t>2022 Restricted Stock Rights Grant Agreement Specifying Terms and Conditions Applicable to 2022 Restricted Stock Rights Granted under</w:t>
        </w:r>
      </w:hyperlink>
      <w:r>
        <w:rPr>
          <w:rFonts w:ascii="Arial" w:cs="Arial" w:eastAsia="Arial" w:hAnsi="Arial"/>
          <w:sz w:val="18"/>
          <w:szCs w:val="18"/>
          <w:color w:val="auto"/>
        </w:rPr>
        <w:t xml:space="preserve"> </w:t>
      </w:r>
      <w:hyperlink w:anchor="page54">
        <w:r>
          <w:rPr>
            <w:rFonts w:ascii="Arial" w:cs="Arial" w:eastAsia="Arial" w:hAnsi="Arial"/>
            <w:sz w:val="18"/>
            <w:szCs w:val="18"/>
            <w:u w:val="single" w:color="auto"/>
            <w:color w:val="0000FF"/>
          </w:rPr>
          <w:t>the 2011 Long-Term Incentive Stock Plan</w:t>
        </w:r>
      </w:hyperlink>
    </w:p>
    <w:p>
      <w:pPr>
        <w:spacing w:after="0" w:line="62" w:lineRule="exact"/>
        <w:rPr>
          <w:sz w:val="20"/>
          <w:szCs w:val="20"/>
          <w:color w:val="auto"/>
        </w:rPr>
      </w:pPr>
    </w:p>
    <w:p>
      <w:pPr>
        <w:ind w:left="980" w:right="120" w:hanging="541"/>
        <w:spacing w:after="0" w:line="24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w:anchor="page62">
        <w:r>
          <w:rPr>
            <w:rFonts w:ascii="Arial" w:cs="Arial" w:eastAsia="Arial" w:hAnsi="Arial"/>
            <w:sz w:val="18"/>
            <w:szCs w:val="18"/>
            <w:u w:val="single" w:color="auto"/>
            <w:color w:val="0000FF"/>
          </w:rPr>
          <w:t>2022 Restricted Performance Stock Rights Grant Agreement Specifying Terms and Conditions Applicable to 2022 Restricted Performance</w:t>
        </w:r>
      </w:hyperlink>
      <w:r>
        <w:rPr>
          <w:rFonts w:ascii="Arial" w:cs="Arial" w:eastAsia="Arial" w:hAnsi="Arial"/>
          <w:sz w:val="18"/>
          <w:szCs w:val="18"/>
          <w:color w:val="auto"/>
        </w:rPr>
        <w:t xml:space="preserve"> </w:t>
      </w:r>
      <w:hyperlink w:anchor="page62">
        <w:r>
          <w:rPr>
            <w:rFonts w:ascii="Arial" w:cs="Arial" w:eastAsia="Arial" w:hAnsi="Arial"/>
            <w:sz w:val="18"/>
            <w:szCs w:val="18"/>
            <w:u w:val="single" w:color="auto"/>
            <w:color w:val="0000FF"/>
          </w:rPr>
          <w:t>Stock Rights Granted under the 2011 Long-Term Incentive Stock Plan</w:t>
        </w:r>
      </w:hyperlink>
    </w:p>
    <w:p>
      <w:pPr>
        <w:spacing w:after="0" w:line="62"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71">
        <w:r>
          <w:rPr>
            <w:rFonts w:ascii="Arial" w:cs="Arial" w:eastAsia="Arial" w:hAnsi="Arial"/>
            <w:sz w:val="18"/>
            <w:szCs w:val="18"/>
            <w:u w:val="single" w:color="auto"/>
            <w:color w:val="0000FF"/>
          </w:rPr>
          <w:t>Letter from Independent Registered Public Accounting Firm</w:t>
        </w:r>
      </w:hyperlink>
    </w:p>
    <w:p>
      <w:pPr>
        <w:spacing w:after="0" w:line="77"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72">
        <w:r>
          <w:rPr>
            <w:rFonts w:ascii="Arial" w:cs="Arial" w:eastAsia="Arial" w:hAnsi="Arial"/>
            <w:sz w:val="18"/>
            <w:szCs w:val="18"/>
            <w:u w:val="single" w:color="auto"/>
            <w:color w:val="0000FF"/>
          </w:rPr>
          <w:t>Certification of Kathy J. Warden pursuant to Section 302 of the Sarbanes-Oxley Act of 2002</w:t>
        </w:r>
      </w:hyperlink>
    </w:p>
    <w:p>
      <w:pPr>
        <w:spacing w:after="0" w:line="77" w:lineRule="exact"/>
        <w:rPr>
          <w:sz w:val="20"/>
          <w:szCs w:val="20"/>
          <w:color w:val="auto"/>
        </w:rPr>
      </w:pPr>
    </w:p>
    <w:p>
      <w:pPr>
        <w:ind w:left="440" w:right="3460" w:firstLine="90"/>
        <w:spacing w:after="0" w:line="369" w:lineRule="auto"/>
        <w:rPr>
          <w:rFonts w:ascii="Arial" w:cs="Arial" w:eastAsia="Arial" w:hAnsi="Arial"/>
          <w:sz w:val="16"/>
          <w:szCs w:val="16"/>
          <w:color w:val="auto"/>
        </w:rPr>
      </w:pPr>
      <w:r>
        <w:rPr>
          <w:rFonts w:ascii="Arial" w:cs="Arial" w:eastAsia="Arial" w:hAnsi="Arial"/>
          <w:sz w:val="16"/>
          <w:szCs w:val="16"/>
          <w:color w:val="auto"/>
        </w:rPr>
        <w:t xml:space="preserve">*31.2 </w:t>
      </w:r>
      <w:hyperlink w:anchor="page73">
        <w:r>
          <w:rPr>
            <w:rFonts w:ascii="Arial" w:cs="Arial" w:eastAsia="Arial" w:hAnsi="Arial"/>
            <w:sz w:val="16"/>
            <w:szCs w:val="16"/>
            <w:u w:val="single" w:color="auto"/>
            <w:color w:val="0000FF"/>
          </w:rPr>
          <w:t>Certification of David F. Keffer pursuant to Section 302 of the Sarbanes-Oxley Act of 2002</w:t>
        </w:r>
      </w:hyperlink>
      <w:r>
        <w:rPr>
          <w:rFonts w:ascii="Arial" w:cs="Arial" w:eastAsia="Arial" w:hAnsi="Arial"/>
          <w:sz w:val="16"/>
          <w:szCs w:val="16"/>
          <w:color w:val="auto"/>
        </w:rPr>
        <w:t xml:space="preserve"> **32.1 </w:t>
      </w:r>
      <w:hyperlink w:anchor="page74">
        <w:r>
          <w:rPr>
            <w:rFonts w:ascii="Arial" w:cs="Arial" w:eastAsia="Arial" w:hAnsi="Arial"/>
            <w:sz w:val="16"/>
            <w:szCs w:val="16"/>
            <w:u w:val="single" w:color="auto"/>
            <w:color w:val="0000FF"/>
          </w:rPr>
          <w:t>Certification of Kathy J. Warden pursuant to Section 906 of the Sarbanes-Oxley Act of 2002</w:t>
        </w:r>
      </w:hyperlink>
      <w:r>
        <w:rPr>
          <w:rFonts w:ascii="Arial" w:cs="Arial" w:eastAsia="Arial" w:hAnsi="Arial"/>
          <w:sz w:val="16"/>
          <w:szCs w:val="16"/>
          <w:color w:val="auto"/>
        </w:rPr>
        <w:t xml:space="preserve"> **32.2 </w:t>
      </w:r>
      <w:hyperlink w:anchor="page75">
        <w:r>
          <w:rPr>
            <w:rFonts w:ascii="Arial" w:cs="Arial" w:eastAsia="Arial" w:hAnsi="Arial"/>
            <w:sz w:val="16"/>
            <w:szCs w:val="16"/>
            <w:u w:val="single" w:color="auto"/>
            <w:color w:val="0000FF"/>
          </w:rPr>
          <w:t>Certification of David F. Keffer pursuant to Section 906 of the Sarbanes-Oxley Act of 2002</w:t>
        </w:r>
      </w:hyperlink>
    </w:p>
    <w:p>
      <w:pPr>
        <w:spacing w:after="0" w:line="2" w:lineRule="exact"/>
        <w:rPr>
          <w:rFonts w:ascii="Arial" w:cs="Arial" w:eastAsia="Arial" w:hAnsi="Arial"/>
          <w:sz w:val="16"/>
          <w:szCs w:val="16"/>
          <w:color w:val="auto"/>
        </w:rPr>
      </w:pPr>
    </w:p>
    <w:p>
      <w:pPr>
        <w:ind w:left="980" w:hanging="395"/>
        <w:spacing w:after="0" w:line="244" w:lineRule="auto"/>
        <w:rPr>
          <w:sz w:val="20"/>
          <w:szCs w:val="20"/>
          <w:color w:val="auto"/>
        </w:rPr>
      </w:pPr>
      <w:r>
        <w:rPr>
          <w:rFonts w:ascii="Arial" w:cs="Arial" w:eastAsia="Arial" w:hAnsi="Arial"/>
          <w:sz w:val="16"/>
          <w:szCs w:val="16"/>
          <w:color w:val="auto"/>
        </w:rPr>
        <w:t>*101 Northrop Grumman Corporation Quarterly Report on Form 10-Q for the quarter ended March 31, 2022, formatted as inline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50" w:lineRule="exact"/>
        <w:rPr>
          <w:rFonts w:ascii="Arial" w:cs="Arial" w:eastAsia="Arial" w:hAnsi="Arial"/>
          <w:sz w:val="16"/>
          <w:szCs w:val="16"/>
          <w:color w:val="auto"/>
        </w:rPr>
      </w:pPr>
    </w:p>
    <w:p>
      <w:pPr>
        <w:ind w:left="5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22" w:lineRule="exact"/>
        <w:rPr>
          <w:rFonts w:ascii="Arial" w:cs="Arial" w:eastAsia="Arial" w:hAnsi="Arial"/>
          <w:sz w:val="16"/>
          <w:szCs w:val="16"/>
          <w:color w:val="auto"/>
        </w:rPr>
      </w:pPr>
    </w:p>
    <w:p>
      <w:pPr>
        <w:ind w:left="980" w:hanging="630"/>
        <w:spacing w:after="0"/>
        <w:tabs>
          <w:tab w:leader="none" w:pos="9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ind w:left="980" w:hanging="630"/>
        <w:spacing w:after="0" w:line="204" w:lineRule="auto"/>
        <w:tabs>
          <w:tab w:leader="none" w:pos="9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ind w:left="980" w:hanging="630"/>
        <w:spacing w:after="0" w:line="204" w:lineRule="auto"/>
        <w:tabs>
          <w:tab w:leader="none" w:pos="9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NORTHROP GRUMMAN CORPORATION</w:t>
      </w:r>
    </w:p>
    <w:p>
      <w:pPr>
        <w:ind w:left="4340"/>
        <w:spacing w:after="0"/>
        <w:rPr>
          <w:sz w:val="20"/>
          <w:szCs w:val="20"/>
          <w:color w:val="auto"/>
        </w:rPr>
      </w:pPr>
      <w:r>
        <w:rPr>
          <w:rFonts w:ascii="Arial" w:cs="Arial" w:eastAsia="Arial" w:hAnsi="Arial"/>
          <w:sz w:val="18"/>
          <w:szCs w:val="18"/>
          <w:color w:val="auto"/>
        </w:rPr>
        <w:t>(Registrant)</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ind w:left="736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Arial" w:cs="Arial" w:eastAsia="Arial" w:hAnsi="Arial"/>
          <w:sz w:val="18"/>
          <w:szCs w:val="18"/>
          <w:color w:val="auto"/>
        </w:rPr>
        <w:t>Michael A. Hardesty</w:t>
      </w:r>
    </w:p>
    <w:p>
      <w:pPr>
        <w:jc w:val="center"/>
        <w:ind w:left="5240"/>
        <w:spacing w:after="0" w:line="203" w:lineRule="auto"/>
        <w:rPr>
          <w:sz w:val="20"/>
          <w:szCs w:val="20"/>
          <w:color w:val="auto"/>
        </w:rPr>
      </w:pPr>
      <w:r>
        <w:rPr>
          <w:rFonts w:ascii="Arial" w:cs="Arial" w:eastAsia="Arial" w:hAnsi="Arial"/>
          <w:sz w:val="18"/>
          <w:szCs w:val="18"/>
          <w:color w:val="auto"/>
        </w:rPr>
        <w:t>Corporate Vice President, Controller and</w:t>
      </w:r>
    </w:p>
    <w:p>
      <w:pPr>
        <w:jc w:val="center"/>
        <w:ind w:left="5240"/>
        <w:spacing w:after="0" w:line="203"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524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18" w:right="3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GROUP PERSONAL EXCESS LIABILITY POLICY</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left="20" w:right="360" w:hanging="3"/>
        <w:spacing w:after="0" w:line="235" w:lineRule="auto"/>
        <w:rPr>
          <w:sz w:val="20"/>
          <w:szCs w:val="20"/>
          <w:color w:val="auto"/>
        </w:rPr>
      </w:pPr>
      <w:r>
        <w:rPr>
          <w:rFonts w:ascii="Arial" w:cs="Arial" w:eastAsia="Arial" w:hAnsi="Arial"/>
          <w:sz w:val="18"/>
          <w:szCs w:val="18"/>
          <w:color w:val="auto"/>
        </w:rPr>
        <w:t>This is your Chubb Group Personal Excess Liability Policy. Together with your Coverage Summary, it explains your coverages and other conditions of your insurance in detail.</w:t>
      </w:r>
    </w:p>
    <w:p>
      <w:pPr>
        <w:spacing w:after="0" w:line="162" w:lineRule="exact"/>
        <w:rPr>
          <w:sz w:val="20"/>
          <w:szCs w:val="20"/>
          <w:color w:val="auto"/>
        </w:rPr>
      </w:pPr>
    </w:p>
    <w:p>
      <w:pPr>
        <w:ind w:left="20" w:right="1760"/>
        <w:spacing w:after="0" w:line="453" w:lineRule="auto"/>
        <w:rPr>
          <w:sz w:val="20"/>
          <w:szCs w:val="20"/>
          <w:color w:val="auto"/>
        </w:rPr>
      </w:pPr>
      <w:r>
        <w:rPr>
          <w:rFonts w:ascii="Arial" w:cs="Arial" w:eastAsia="Arial" w:hAnsi="Arial"/>
          <w:sz w:val="18"/>
          <w:szCs w:val="18"/>
          <w:color w:val="auto"/>
        </w:rPr>
        <w:t xml:space="preserve">This policy is a contract between you and us. READ YOUR POLICY CAREFULLY and keep it in a safe place. </w:t>
      </w:r>
      <w:r>
        <w:rPr>
          <w:rFonts w:ascii="Arial" w:cs="Arial" w:eastAsia="Arial" w:hAnsi="Arial"/>
          <w:sz w:val="18"/>
          <w:szCs w:val="18"/>
          <w:b w:val="1"/>
          <w:bCs w:val="1"/>
          <w:i w:val="1"/>
          <w:iCs w:val="1"/>
          <w:color w:val="auto"/>
        </w:rPr>
        <w:t>Agreement</w:t>
      </w:r>
    </w:p>
    <w:p>
      <w:pPr>
        <w:spacing w:after="0" w:line="2" w:lineRule="exact"/>
        <w:rPr>
          <w:sz w:val="20"/>
          <w:szCs w:val="20"/>
          <w:color w:val="auto"/>
        </w:rPr>
      </w:pPr>
    </w:p>
    <w:p>
      <w:pPr>
        <w:ind w:left="20" w:right="280" w:hanging="9"/>
        <w:spacing w:after="0" w:line="235" w:lineRule="auto"/>
        <w:rPr>
          <w:sz w:val="20"/>
          <w:szCs w:val="20"/>
          <w:color w:val="auto"/>
        </w:rPr>
      </w:pPr>
      <w:r>
        <w:rPr>
          <w:rFonts w:ascii="Arial" w:cs="Arial" w:eastAsia="Arial" w:hAnsi="Arial"/>
          <w:sz w:val="18"/>
          <w:szCs w:val="18"/>
          <w:color w:val="auto"/>
        </w:rPr>
        <w:t>We agree to provide the insurance described in this policy in return for the premium paid by you or the Sponsoring Organization and your compliance with the policy conditions.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Definitions</w:t>
      </w:r>
    </w:p>
    <w:p>
      <w:pPr>
        <w:spacing w:after="0" w:line="185" w:lineRule="exact"/>
        <w:rPr>
          <w:sz w:val="20"/>
          <w:szCs w:val="20"/>
          <w:color w:val="auto"/>
        </w:rPr>
      </w:pPr>
    </w:p>
    <w:p>
      <w:pPr>
        <w:ind w:left="20" w:right="340" w:hanging="5"/>
        <w:spacing w:after="0" w:line="235" w:lineRule="auto"/>
        <w:rPr>
          <w:sz w:val="20"/>
          <w:szCs w:val="20"/>
          <w:color w:val="auto"/>
        </w:rPr>
      </w:pPr>
      <w:r>
        <w:rPr>
          <w:rFonts w:ascii="Arial" w:cs="Arial" w:eastAsia="Arial" w:hAnsi="Arial"/>
          <w:sz w:val="18"/>
          <w:szCs w:val="18"/>
          <w:color w:val="auto"/>
        </w:rPr>
        <w:t>In this policy, we use words in their plain English meaning. Words with special meanings are defined in the part of the policy where they are used. The few defined terms used throughout the policy are defined here: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You </w:t>
      </w:r>
      <w:r>
        <w:rPr>
          <w:rFonts w:ascii="Arial" w:cs="Arial" w:eastAsia="Arial" w:hAnsi="Arial"/>
          <w:sz w:val="18"/>
          <w:szCs w:val="18"/>
          <w:color w:val="auto"/>
        </w:rPr>
        <w:t>means the individual who is a member of the Defined Group shown as the Insured named in the Coverage Summary.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Spouse </w:t>
      </w:r>
      <w:r>
        <w:rPr>
          <w:rFonts w:ascii="Arial" w:cs="Arial" w:eastAsia="Arial" w:hAnsi="Arial"/>
          <w:sz w:val="18"/>
          <w:szCs w:val="18"/>
          <w:color w:val="auto"/>
        </w:rPr>
        <w:t>means a partner in marriage or a partner in a civil union recognized under state law and who lives with you.</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We and us </w:t>
      </w:r>
      <w:r>
        <w:rPr>
          <w:rFonts w:ascii="Arial" w:cs="Arial" w:eastAsia="Arial" w:hAnsi="Arial"/>
          <w:sz w:val="18"/>
          <w:szCs w:val="18"/>
          <w:color w:val="auto"/>
        </w:rPr>
        <w:t>mean the insurance company named in the Coverage Summary.</w:t>
      </w:r>
    </w:p>
    <w:p>
      <w:pPr>
        <w:spacing w:after="0" w:line="185" w:lineRule="exact"/>
        <w:rPr>
          <w:sz w:val="20"/>
          <w:szCs w:val="20"/>
          <w:color w:val="auto"/>
        </w:rPr>
      </w:pPr>
    </w:p>
    <w:p>
      <w:pPr>
        <w:ind w:left="20" w:right="60" w:hanging="3"/>
        <w:spacing w:after="0" w:line="237" w:lineRule="auto"/>
        <w:rPr>
          <w:sz w:val="20"/>
          <w:szCs w:val="20"/>
          <w:color w:val="auto"/>
        </w:rPr>
      </w:pPr>
      <w:r>
        <w:rPr>
          <w:rFonts w:ascii="Arial" w:cs="Arial" w:eastAsia="Arial" w:hAnsi="Arial"/>
          <w:sz w:val="18"/>
          <w:szCs w:val="18"/>
          <w:b w:val="1"/>
          <w:bCs w:val="1"/>
          <w:color w:val="auto"/>
        </w:rPr>
        <w:t xml:space="preserve">Family member </w:t>
      </w:r>
      <w:r>
        <w:rPr>
          <w:rFonts w:ascii="Arial" w:cs="Arial" w:eastAsia="Arial" w:hAnsi="Arial"/>
          <w:sz w:val="18"/>
          <w:szCs w:val="18"/>
          <w:color w:val="auto"/>
        </w:rPr>
        <w:t>means your spouse or domestic partner or other relative who lives with you, or any other person under 25 in your care</w:t>
      </w:r>
      <w:r>
        <w:rPr>
          <w:rFonts w:ascii="Arial" w:cs="Arial" w:eastAsia="Arial" w:hAnsi="Arial"/>
          <w:sz w:val="18"/>
          <w:szCs w:val="18"/>
          <w:b w:val="1"/>
          <w:bCs w:val="1"/>
          <w:color w:val="auto"/>
        </w:rPr>
        <w:t xml:space="preserve"> </w:t>
      </w:r>
      <w:r>
        <w:rPr>
          <w:rFonts w:ascii="Arial" w:cs="Arial" w:eastAsia="Arial" w:hAnsi="Arial"/>
          <w:sz w:val="18"/>
          <w:szCs w:val="18"/>
          <w:color w:val="auto"/>
        </w:rPr>
        <w:t>or your relative's care who lives with you.</w:t>
      </w:r>
    </w:p>
    <w:p>
      <w:pPr>
        <w:spacing w:after="0" w:line="158" w:lineRule="exact"/>
        <w:rPr>
          <w:sz w:val="20"/>
          <w:szCs w:val="20"/>
          <w:color w:val="auto"/>
        </w:rPr>
      </w:pPr>
    </w:p>
    <w:p>
      <w:pPr>
        <w:ind w:left="20" w:right="160" w:firstLine="3"/>
        <w:spacing w:after="0" w:line="237" w:lineRule="auto"/>
        <w:rPr>
          <w:sz w:val="20"/>
          <w:szCs w:val="20"/>
          <w:color w:val="auto"/>
        </w:rPr>
      </w:pPr>
      <w:r>
        <w:rPr>
          <w:rFonts w:ascii="Arial" w:cs="Arial" w:eastAsia="Arial" w:hAnsi="Arial"/>
          <w:sz w:val="18"/>
          <w:szCs w:val="18"/>
          <w:b w:val="1"/>
          <w:bCs w:val="1"/>
          <w:color w:val="auto"/>
        </w:rPr>
        <w:t xml:space="preserve">Domestic partner </w:t>
      </w:r>
      <w:r>
        <w:rPr>
          <w:rFonts w:ascii="Arial" w:cs="Arial" w:eastAsia="Arial" w:hAnsi="Arial"/>
          <w:sz w:val="18"/>
          <w:szCs w:val="18"/>
          <w:color w:val="auto"/>
        </w:rPr>
        <w:t>means a person in a legal or personal relationship with you, who lives with you and shares a common domestic life</w:t>
      </w:r>
      <w:r>
        <w:rPr>
          <w:rFonts w:ascii="Arial" w:cs="Arial" w:eastAsia="Arial" w:hAnsi="Arial"/>
          <w:sz w:val="18"/>
          <w:szCs w:val="18"/>
          <w:b w:val="1"/>
          <w:bCs w:val="1"/>
          <w:color w:val="auto"/>
        </w:rPr>
        <w:t xml:space="preserve"> </w:t>
      </w:r>
      <w:r>
        <w:rPr>
          <w:rFonts w:ascii="Arial" w:cs="Arial" w:eastAsia="Arial" w:hAnsi="Arial"/>
          <w:sz w:val="18"/>
          <w:szCs w:val="18"/>
          <w:color w:val="auto"/>
        </w:rPr>
        <w:t>with you, and meeting all of the benefits eligibility criteria as defined by the Sponsoring Organization.</w:t>
      </w:r>
    </w:p>
    <w:p>
      <w:pPr>
        <w:spacing w:after="0" w:line="158" w:lineRule="exact"/>
        <w:rPr>
          <w:sz w:val="20"/>
          <w:szCs w:val="20"/>
          <w:color w:val="auto"/>
        </w:rPr>
      </w:pPr>
    </w:p>
    <w:p>
      <w:pPr>
        <w:ind w:left="20" w:right="400" w:hanging="2"/>
        <w:spacing w:after="0" w:line="237" w:lineRule="auto"/>
        <w:rPr>
          <w:sz w:val="20"/>
          <w:szCs w:val="20"/>
          <w:color w:val="auto"/>
        </w:rPr>
      </w:pPr>
      <w:r>
        <w:rPr>
          <w:rFonts w:ascii="Arial" w:cs="Arial" w:eastAsia="Arial" w:hAnsi="Arial"/>
          <w:sz w:val="18"/>
          <w:szCs w:val="18"/>
          <w:b w:val="1"/>
          <w:bCs w:val="1"/>
          <w:color w:val="auto"/>
        </w:rPr>
        <w:t xml:space="preserve">Sponsoring Organization </w:t>
      </w:r>
      <w:r>
        <w:rPr>
          <w:rFonts w:ascii="Arial" w:cs="Arial" w:eastAsia="Arial" w:hAnsi="Arial"/>
          <w:sz w:val="18"/>
          <w:szCs w:val="18"/>
          <w:color w:val="auto"/>
        </w:rPr>
        <w:t>means the entity, corporation, partnership or sole proprietorship sponsoring and defining the criteria for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as an Insured.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Policy </w:t>
      </w:r>
      <w:r>
        <w:rPr>
          <w:rFonts w:ascii="Arial" w:cs="Arial" w:eastAsia="Arial" w:hAnsi="Arial"/>
          <w:sz w:val="18"/>
          <w:szCs w:val="18"/>
          <w:color w:val="auto"/>
        </w:rPr>
        <w:t>means your entire Group Personal Excess Liability Policy, including the Coverage Summary.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Coverage Summary </w:t>
      </w:r>
      <w:r>
        <w:rPr>
          <w:rFonts w:ascii="Arial" w:cs="Arial" w:eastAsia="Arial" w:hAnsi="Arial"/>
          <w:sz w:val="18"/>
          <w:szCs w:val="18"/>
          <w:color w:val="auto"/>
        </w:rPr>
        <w:t>means the most recent Coverage Summary we issued to you, including any endorsements.</w:t>
      </w:r>
    </w:p>
    <w:p>
      <w:pPr>
        <w:spacing w:after="0" w:line="185" w:lineRule="exact"/>
        <w:rPr>
          <w:sz w:val="20"/>
          <w:szCs w:val="20"/>
          <w:color w:val="auto"/>
        </w:rPr>
      </w:pPr>
    </w:p>
    <w:p>
      <w:pPr>
        <w:ind w:left="20" w:right="340"/>
        <w:spacing w:after="0" w:line="294" w:lineRule="auto"/>
        <w:rPr>
          <w:sz w:val="20"/>
          <w:szCs w:val="20"/>
          <w:color w:val="auto"/>
        </w:rPr>
      </w:pPr>
      <w:r>
        <w:rPr>
          <w:rFonts w:ascii="Arial" w:cs="Arial" w:eastAsia="Arial" w:hAnsi="Arial"/>
          <w:sz w:val="16"/>
          <w:szCs w:val="16"/>
          <w:b w:val="1"/>
          <w:bCs w:val="1"/>
          <w:color w:val="auto"/>
        </w:rPr>
        <w:t xml:space="preserve">Occurrence </w:t>
      </w:r>
      <w:r>
        <w:rPr>
          <w:rFonts w:ascii="Arial" w:cs="Arial" w:eastAsia="Arial" w:hAnsi="Arial"/>
          <w:sz w:val="16"/>
          <w:szCs w:val="16"/>
          <w:color w:val="auto"/>
        </w:rPr>
        <w:t>means an accident or offense to which this insurance applies and which begins within the policy period. Continuous or</w:t>
      </w:r>
      <w:r>
        <w:rPr>
          <w:rFonts w:ascii="Arial" w:cs="Arial" w:eastAsia="Arial" w:hAnsi="Arial"/>
          <w:sz w:val="16"/>
          <w:szCs w:val="16"/>
          <w:b w:val="1"/>
          <w:bCs w:val="1"/>
          <w:color w:val="auto"/>
        </w:rPr>
        <w:t xml:space="preserve"> </w:t>
      </w:r>
      <w:r>
        <w:rPr>
          <w:rFonts w:ascii="Arial" w:cs="Arial" w:eastAsia="Arial" w:hAnsi="Arial"/>
          <w:sz w:val="16"/>
          <w:szCs w:val="16"/>
          <w:color w:val="auto"/>
        </w:rPr>
        <w:t>repeated exposure to substantially the same general conditions unless excluded is considered to be one occurrence.</w:t>
      </w:r>
    </w:p>
    <w:p>
      <w:pPr>
        <w:spacing w:after="0" w:line="116" w:lineRule="exact"/>
        <w:rPr>
          <w:sz w:val="20"/>
          <w:szCs w:val="20"/>
          <w:color w:val="auto"/>
        </w:rPr>
      </w:pPr>
    </w:p>
    <w:p>
      <w:pPr>
        <w:ind w:left="20" w:right="540" w:hanging="2"/>
        <w:spacing w:after="0" w:line="263" w:lineRule="auto"/>
        <w:rPr>
          <w:sz w:val="20"/>
          <w:szCs w:val="20"/>
          <w:color w:val="auto"/>
        </w:rPr>
      </w:pPr>
      <w:r>
        <w:rPr>
          <w:rFonts w:ascii="Arial" w:cs="Arial" w:eastAsia="Arial" w:hAnsi="Arial"/>
          <w:sz w:val="17"/>
          <w:szCs w:val="17"/>
          <w:b w:val="1"/>
          <w:bCs w:val="1"/>
          <w:color w:val="auto"/>
        </w:rPr>
        <w:t xml:space="preserve">Business </w:t>
      </w:r>
      <w:r>
        <w:rPr>
          <w:rFonts w:ascii="Arial" w:cs="Arial" w:eastAsia="Arial" w:hAnsi="Arial"/>
          <w:sz w:val="17"/>
          <w:szCs w:val="17"/>
          <w:color w:val="auto"/>
        </w:rPr>
        <w:t>means any employment, trade, occupation, profession, or farm operation including the raising or care of animals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intended to realize a benefit or financial gain engaged in on a full-time, part-time or occasional basis.</w:t>
      </w:r>
    </w:p>
    <w:p>
      <w:pPr>
        <w:spacing w:after="0" w:line="139" w:lineRule="exact"/>
        <w:rPr>
          <w:sz w:val="20"/>
          <w:szCs w:val="20"/>
          <w:color w:val="auto"/>
        </w:rPr>
      </w:pPr>
    </w:p>
    <w:p>
      <w:pPr>
        <w:ind w:left="20" w:right="140" w:firstLine="4"/>
        <w:spacing w:after="0" w:line="237" w:lineRule="auto"/>
        <w:rPr>
          <w:sz w:val="20"/>
          <w:szCs w:val="20"/>
          <w:color w:val="auto"/>
        </w:rPr>
      </w:pPr>
      <w:r>
        <w:rPr>
          <w:rFonts w:ascii="Arial" w:cs="Arial" w:eastAsia="Arial" w:hAnsi="Arial"/>
          <w:sz w:val="18"/>
          <w:szCs w:val="18"/>
          <w:b w:val="1"/>
          <w:bCs w:val="1"/>
          <w:color w:val="auto"/>
        </w:rPr>
        <w:t xml:space="preserve">Defmed Group </w:t>
      </w:r>
      <w:r>
        <w:rPr>
          <w:rFonts w:ascii="Arial" w:cs="Arial" w:eastAsia="Arial" w:hAnsi="Arial"/>
          <w:sz w:val="18"/>
          <w:szCs w:val="18"/>
          <w:color w:val="auto"/>
        </w:rPr>
        <w:t>means those individuals meeting the criteria for qualification as an Insured as defined by the Sponsoring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accepted by us.</w:t>
      </w:r>
    </w:p>
    <w:p>
      <w:pPr>
        <w:spacing w:after="0" w:line="158" w:lineRule="exact"/>
        <w:rPr>
          <w:sz w:val="20"/>
          <w:szCs w:val="20"/>
          <w:color w:val="auto"/>
        </w:rPr>
      </w:pPr>
    </w:p>
    <w:p>
      <w:pPr>
        <w:jc w:val="both"/>
        <w:ind w:left="20" w:firstLine="2"/>
        <w:spacing w:after="0" w:line="227" w:lineRule="auto"/>
        <w:rPr>
          <w:sz w:val="20"/>
          <w:szCs w:val="20"/>
          <w:color w:val="auto"/>
        </w:rPr>
      </w:pPr>
      <w:r>
        <w:rPr>
          <w:rFonts w:ascii="Arial" w:cs="Arial" w:eastAsia="Arial" w:hAnsi="Arial"/>
          <w:sz w:val="17"/>
          <w:szCs w:val="17"/>
          <w:b w:val="1"/>
          <w:bCs w:val="1"/>
          <w:color w:val="auto"/>
        </w:rPr>
        <w:t xml:space="preserve">Follow form </w:t>
      </w:r>
      <w:r>
        <w:rPr>
          <w:rFonts w:ascii="Arial" w:cs="Arial" w:eastAsia="Arial" w:hAnsi="Arial"/>
          <w:sz w:val="17"/>
          <w:szCs w:val="17"/>
          <w:color w:val="auto"/>
        </w:rPr>
        <w:t>means we cover damages to the extent they are both covered under the Required Primary Underlying Insurance and, not</w:t>
      </w:r>
      <w:r>
        <w:rPr>
          <w:rFonts w:ascii="Arial" w:cs="Arial" w:eastAsia="Arial" w:hAnsi="Arial"/>
          <w:sz w:val="17"/>
          <w:szCs w:val="17"/>
          <w:b w:val="1"/>
          <w:bCs w:val="1"/>
          <w:color w:val="auto"/>
        </w:rPr>
        <w:t xml:space="preserve"> </w:t>
      </w:r>
      <w:r>
        <w:rPr>
          <w:rFonts w:ascii="Arial" w:cs="Arial" w:eastAsia="Arial" w:hAnsi="Arial"/>
          <w:sz w:val="17"/>
          <w:szCs w:val="17"/>
          <w:color w:val="auto"/>
        </w:rPr>
        <w:t>excluded under this policy. Also, the amount of coverage, defense coverages, cancellation and "other insurance" provisions of this policy supersede and replace the similar provisions contained in such other policies. When this policy is called upon to pay losses in excess of required primary underlying policies exhausted by payment of claims, we do not provide broader coverage than provided by such policies. When no primary underlying coverage exists, the extent of coverage provided on a follow form basis will be determined as if the required primary underlying insurance had been purchased from us.</w:t>
      </w:r>
    </w:p>
    <w:p>
      <w:pPr>
        <w:sectPr>
          <w:pgSz w:w="11900" w:h="16838" w:orient="portrait"/>
          <w:cols w:equalWidth="0" w:num="1">
            <w:col w:w="9840"/>
          </w:cols>
          <w:pgMar w:left="960" w:top="1120" w:right="1099" w:bottom="1440" w:gutter="0" w:footer="0" w:header="0"/>
        </w:sectPr>
      </w:pPr>
    </w:p>
    <w:bookmarkStart w:id="39" w:name="page40"/>
    <w:bookmarkEnd w:id="39"/>
    <w:p>
      <w:pPr>
        <w:ind w:left="4"/>
        <w:spacing w:after="0"/>
        <w:rPr>
          <w:sz w:val="20"/>
          <w:szCs w:val="20"/>
          <w:color w:val="auto"/>
        </w:rPr>
      </w:pPr>
      <w:r>
        <w:rPr>
          <w:rFonts w:ascii="Arial" w:cs="Arial" w:eastAsia="Arial" w:hAnsi="Arial"/>
          <w:sz w:val="18"/>
          <w:szCs w:val="18"/>
          <w:b w:val="1"/>
          <w:bCs w:val="1"/>
          <w:color w:val="auto"/>
        </w:rPr>
        <w:t xml:space="preserve">Covered person </w:t>
      </w:r>
      <w:r>
        <w:rPr>
          <w:rFonts w:ascii="Arial" w:cs="Arial" w:eastAsia="Arial" w:hAnsi="Arial"/>
          <w:sz w:val="18"/>
          <w:szCs w:val="18"/>
          <w:color w:val="auto"/>
        </w:rPr>
        <w:t>means:</w:t>
      </w:r>
    </w:p>
    <w:p>
      <w:pPr>
        <w:spacing w:after="0" w:line="189" w:lineRule="exact"/>
        <w:rPr>
          <w:sz w:val="20"/>
          <w:szCs w:val="20"/>
          <w:color w:val="auto"/>
        </w:rPr>
      </w:pPr>
    </w:p>
    <w:p>
      <w:pPr>
        <w:ind w:left="324" w:hanging="324"/>
        <w:spacing w:after="0"/>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or a family member;</w:t>
      </w:r>
    </w:p>
    <w:p>
      <w:pPr>
        <w:spacing w:after="0" w:line="184" w:lineRule="exact"/>
        <w:rPr>
          <w:rFonts w:ascii="Arial" w:cs="Arial" w:eastAsia="Arial" w:hAnsi="Arial"/>
          <w:sz w:val="18"/>
          <w:szCs w:val="18"/>
          <w:color w:val="auto"/>
        </w:rPr>
      </w:pPr>
    </w:p>
    <w:p>
      <w:pPr>
        <w:ind w:left="324" w:right="280" w:hanging="324"/>
        <w:spacing w:after="0" w:line="235" w:lineRule="auto"/>
        <w:tabs>
          <w:tab w:leader="none" w:pos="3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using a vehicle or watercraft covered under this policy with permission from you or a family member with respect to their legal responsibility arising out of its use;</w:t>
      </w:r>
    </w:p>
    <w:p>
      <w:pPr>
        <w:spacing w:after="0" w:line="161" w:lineRule="exact"/>
        <w:rPr>
          <w:rFonts w:ascii="Arial" w:cs="Arial" w:eastAsia="Arial" w:hAnsi="Arial"/>
          <w:sz w:val="18"/>
          <w:szCs w:val="18"/>
          <w:color w:val="auto"/>
        </w:rPr>
      </w:pPr>
    </w:p>
    <w:p>
      <w:pPr>
        <w:ind w:left="324" w:hanging="324"/>
        <w:spacing w:after="0"/>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person who is a covered person under your Required Primary Underlying Insurance;</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person or organization with respect to their legal responsibility for covered acts or omissions of you or a family member; or</w:t>
      </w:r>
    </w:p>
    <w:p>
      <w:pPr>
        <w:spacing w:after="0" w:line="196" w:lineRule="exact"/>
        <w:rPr>
          <w:rFonts w:ascii="Arial" w:cs="Arial" w:eastAsia="Arial" w:hAnsi="Arial"/>
          <w:sz w:val="17"/>
          <w:szCs w:val="17"/>
          <w:color w:val="auto"/>
        </w:rPr>
      </w:pPr>
    </w:p>
    <w:p>
      <w:pPr>
        <w:ind w:left="324" w:hanging="324"/>
        <w:spacing w:after="0"/>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181" w:lineRule="exact"/>
        <w:rPr>
          <w:sz w:val="20"/>
          <w:szCs w:val="20"/>
          <w:color w:val="auto"/>
        </w:rPr>
      </w:pPr>
    </w:p>
    <w:p>
      <w:pPr>
        <w:ind w:left="4" w:right="140" w:firstLine="16"/>
        <w:spacing w:after="0" w:line="237" w:lineRule="auto"/>
        <w:rPr>
          <w:sz w:val="20"/>
          <w:szCs w:val="20"/>
          <w:color w:val="auto"/>
        </w:rPr>
      </w:pPr>
      <w:r>
        <w:rPr>
          <w:rFonts w:ascii="Arial" w:cs="Arial" w:eastAsia="Arial" w:hAnsi="Arial"/>
          <w:sz w:val="18"/>
          <w:szCs w:val="18"/>
          <w:b w:val="1"/>
          <w:bCs w:val="1"/>
          <w:color w:val="auto"/>
        </w:rPr>
        <w:t xml:space="preserve">Damages </w:t>
      </w:r>
      <w:r>
        <w:rPr>
          <w:rFonts w:ascii="Arial" w:cs="Arial" w:eastAsia="Arial" w:hAnsi="Arial"/>
          <w:sz w:val="18"/>
          <w:szCs w:val="18"/>
          <w:color w:val="auto"/>
        </w:rPr>
        <w:t>mean the sum that is paid or is payable to satisfy a claim settled by us or resolved by judicial procedure or by a compromise</w:t>
      </w:r>
      <w:r>
        <w:rPr>
          <w:rFonts w:ascii="Arial" w:cs="Arial" w:eastAsia="Arial" w:hAnsi="Arial"/>
          <w:sz w:val="18"/>
          <w:szCs w:val="18"/>
          <w:b w:val="1"/>
          <w:bCs w:val="1"/>
          <w:color w:val="auto"/>
        </w:rPr>
        <w:t xml:space="preserve"> </w:t>
      </w:r>
      <w:r>
        <w:rPr>
          <w:rFonts w:ascii="Arial" w:cs="Arial" w:eastAsia="Arial" w:hAnsi="Arial"/>
          <w:sz w:val="18"/>
          <w:szCs w:val="18"/>
          <w:color w:val="auto"/>
        </w:rPr>
        <w:t>we agree to in writing.</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means the following injuries, and resulting death:</w:t>
      </w:r>
    </w:p>
    <w:p>
      <w:pPr>
        <w:spacing w:after="0" w:line="189" w:lineRule="exact"/>
        <w:rPr>
          <w:sz w:val="20"/>
          <w:szCs w:val="20"/>
          <w:color w:val="auto"/>
        </w:rPr>
      </w:pPr>
    </w:p>
    <w:p>
      <w:pPr>
        <w:ind w:left="324" w:hanging="324"/>
        <w:spacing w:after="0"/>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bodily injury;</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shock, mental anguish, or mental injury;</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false arrest, false imprisonment, or wrongful detention;</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wrongful entry or eviction;</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malicious prosecution or humiliation; and</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libel, slander, defamation of character, or invasion of privacy.</w:t>
      </w:r>
    </w:p>
    <w:p>
      <w:pPr>
        <w:spacing w:after="0" w:line="181" w:lineRule="exact"/>
        <w:rPr>
          <w:sz w:val="20"/>
          <w:szCs w:val="20"/>
          <w:color w:val="auto"/>
        </w:rPr>
      </w:pPr>
    </w:p>
    <w:p>
      <w:pPr>
        <w:ind w:left="4" w:right="360" w:hanging="2"/>
        <w:spacing w:after="0" w:line="237" w:lineRule="auto"/>
        <w:rPr>
          <w:sz w:val="20"/>
          <w:szCs w:val="20"/>
          <w:color w:val="auto"/>
        </w:rPr>
      </w:pPr>
      <w:r>
        <w:rPr>
          <w:rFonts w:ascii="Arial" w:cs="Arial" w:eastAsia="Arial" w:hAnsi="Arial"/>
          <w:sz w:val="18"/>
          <w:szCs w:val="18"/>
          <w:b w:val="1"/>
          <w:bCs w:val="1"/>
          <w:color w:val="auto"/>
        </w:rPr>
        <w:t xml:space="preserve">Bodily injury </w:t>
      </w:r>
      <w:r>
        <w:rPr>
          <w:rFonts w:ascii="Arial" w:cs="Arial" w:eastAsia="Arial" w:hAnsi="Arial"/>
          <w:sz w:val="18"/>
          <w:szCs w:val="18"/>
          <w:color w:val="auto"/>
        </w:rPr>
        <w:t>means physical bodily harm, including sickness or disease that results from it, and required care, loss of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death.</w:t>
      </w:r>
    </w:p>
    <w:p>
      <w:pPr>
        <w:spacing w:after="0" w:line="158" w:lineRule="exact"/>
        <w:rPr>
          <w:sz w:val="20"/>
          <w:szCs w:val="20"/>
          <w:color w:val="auto"/>
        </w:rPr>
      </w:pPr>
    </w:p>
    <w:p>
      <w:pPr>
        <w:jc w:val="both"/>
        <w:ind w:left="4"/>
        <w:spacing w:after="0" w:line="220" w:lineRule="auto"/>
        <w:rPr>
          <w:sz w:val="20"/>
          <w:szCs w:val="20"/>
          <w:color w:val="auto"/>
        </w:rPr>
      </w:pPr>
      <w:r>
        <w:rPr>
          <w:rFonts w:ascii="Arial" w:cs="Arial" w:eastAsia="Arial" w:hAnsi="Arial"/>
          <w:sz w:val="18"/>
          <w:szCs w:val="18"/>
          <w:b w:val="1"/>
          <w:bCs w:val="1"/>
          <w:color w:val="auto"/>
        </w:rPr>
        <w:t xml:space="preserve">Property damage </w:t>
      </w:r>
      <w:r>
        <w:rPr>
          <w:rFonts w:ascii="Arial" w:cs="Arial" w:eastAsia="Arial" w:hAnsi="Arial"/>
          <w:sz w:val="18"/>
          <w:szCs w:val="18"/>
          <w:color w:val="auto"/>
        </w:rPr>
        <w:t>means physical injury to or destruction of tangible property and the resulting loss of its use. Tangible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cost of recreating or replacing stocks, bonds, deeds, mortgages, bank deposits, and similar instruments, but does not include the value represented by such instruments. Tangible property does not include the cost of recreating or replacing any software, data or other information that is in electronic form.</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Registered vehicle </w:t>
      </w:r>
      <w:r>
        <w:rPr>
          <w:rFonts w:ascii="Arial" w:cs="Arial" w:eastAsia="Arial" w:hAnsi="Arial"/>
          <w:sz w:val="18"/>
          <w:szCs w:val="18"/>
          <w:color w:val="auto"/>
        </w:rPr>
        <w:t>means any motorized land vehicle not desc ribed in "unregistered vehicle."</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Unregistered vehicle </w:t>
      </w:r>
      <w:r>
        <w:rPr>
          <w:rFonts w:ascii="Arial" w:cs="Arial" w:eastAsia="Arial" w:hAnsi="Arial"/>
          <w:sz w:val="18"/>
          <w:szCs w:val="18"/>
          <w:color w:val="auto"/>
        </w:rPr>
        <w:t>means:</w:t>
      </w:r>
    </w:p>
    <w:p>
      <w:pPr>
        <w:spacing w:after="0" w:line="189" w:lineRule="exact"/>
        <w:rPr>
          <w:sz w:val="20"/>
          <w:szCs w:val="20"/>
          <w:color w:val="auto"/>
        </w:rPr>
      </w:pPr>
    </w:p>
    <w:p>
      <w:pPr>
        <w:ind w:left="324" w:hanging="324"/>
        <w:spacing w:after="0"/>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motorized land vehicle not designed for or required to be registered for use on public roads;</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motorized land vehicle which is in dead storage at your residence;</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motorized land vehicle used solely on and to service your residence premises;</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motorized land vehicle used to assist the disabled that is not designed for or required to be registered for use on public roads; or</w:t>
      </w:r>
    </w:p>
    <w:p>
      <w:pPr>
        <w:spacing w:after="0" w:line="207" w:lineRule="exact"/>
        <w:rPr>
          <w:rFonts w:ascii="Arial" w:cs="Arial" w:eastAsia="Arial" w:hAnsi="Arial"/>
          <w:sz w:val="16"/>
          <w:szCs w:val="16"/>
          <w:color w:val="auto"/>
        </w:rPr>
      </w:pPr>
    </w:p>
    <w:p>
      <w:pPr>
        <w:ind w:left="324" w:hanging="324"/>
        <w:spacing w:after="0"/>
        <w:tabs>
          <w:tab w:leader="none" w:pos="3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golf carts.</w:t>
      </w:r>
    </w:p>
    <w:p>
      <w:pPr>
        <w:sectPr>
          <w:pgSz w:w="11900" w:h="16838" w:orient="portrait"/>
          <w:cols w:equalWidth="0" w:num="1">
            <w:col w:w="9824"/>
          </w:cols>
          <w:pgMar w:left="976" w:top="1120" w:right="1099" w:bottom="1440" w:gutter="0" w:footer="0" w:header="0"/>
        </w:sectPr>
      </w:pP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t>GROUP PERSONAL EXCESS COVERAGE</w:t>
      </w:r>
    </w:p>
    <w:p>
      <w:pPr>
        <w:spacing w:after="0" w:line="189" w:lineRule="exact"/>
        <w:rPr>
          <w:sz w:val="20"/>
          <w:szCs w:val="20"/>
          <w:color w:val="auto"/>
        </w:rPr>
      </w:pPr>
    </w:p>
    <w:p>
      <w:pPr>
        <w:jc w:val="both"/>
        <w:ind w:left="20"/>
        <w:spacing w:after="0" w:line="235" w:lineRule="auto"/>
        <w:rPr>
          <w:sz w:val="20"/>
          <w:szCs w:val="20"/>
          <w:color w:val="auto"/>
        </w:rPr>
      </w:pPr>
      <w:r>
        <w:rPr>
          <w:rFonts w:ascii="Arial" w:cs="Arial" w:eastAsia="Arial" w:hAnsi="Arial"/>
          <w:sz w:val="18"/>
          <w:szCs w:val="18"/>
          <w:color w:val="auto"/>
        </w:rPr>
        <w:t>This part of your Group Personal Excess Liability Policy provides you or a family member with liability coverage in excess of your underlying insurance anywhere in the world unless stated otherwise or an exclusion applies.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Payment for a Loss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 of coverage</w:t>
      </w:r>
    </w:p>
    <w:p>
      <w:pPr>
        <w:spacing w:after="0" w:line="189" w:lineRule="exact"/>
        <w:rPr>
          <w:sz w:val="20"/>
          <w:szCs w:val="20"/>
          <w:color w:val="auto"/>
        </w:rPr>
      </w:pPr>
    </w:p>
    <w:p>
      <w:pPr>
        <w:jc w:val="both"/>
        <w:ind w:left="20"/>
        <w:spacing w:after="0" w:line="224" w:lineRule="auto"/>
        <w:rPr>
          <w:sz w:val="20"/>
          <w:szCs w:val="20"/>
          <w:color w:val="auto"/>
        </w:rPr>
      </w:pPr>
      <w:r>
        <w:rPr>
          <w:rFonts w:ascii="Arial" w:cs="Arial" w:eastAsia="Arial" w:hAnsi="Arial"/>
          <w:sz w:val="18"/>
          <w:szCs w:val="18"/>
          <w:color w:val="auto"/>
        </w:rPr>
        <w:t>The amount of coverage for liability is shown in the Coverage Summary. We will pay on your behalf up to that amount for covered damages from any one occurrence, regardless of how many claims, homes, vehicles, watercraft, or people are involved in the occurrence.</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Any costs we pay for legal expenses (see </w:t>
      </w:r>
      <w:r>
        <w:rPr>
          <w:rFonts w:ascii="Arial" w:cs="Arial" w:eastAsia="Arial" w:hAnsi="Arial"/>
          <w:sz w:val="18"/>
          <w:szCs w:val="18"/>
          <w:b w:val="1"/>
          <w:bCs w:val="1"/>
          <w:color w:val="auto"/>
        </w:rPr>
        <w:t>Defense coverages)</w:t>
      </w:r>
      <w:r>
        <w:rPr>
          <w:rFonts w:ascii="Arial" w:cs="Arial" w:eastAsia="Arial" w:hAnsi="Arial"/>
          <w:sz w:val="18"/>
          <w:szCs w:val="18"/>
          <w:color w:val="auto"/>
        </w:rPr>
        <w:t xml:space="preserve"> are in addition to the amount of coverage.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Underlying Insurance</w:t>
      </w:r>
    </w:p>
    <w:p>
      <w:pPr>
        <w:spacing w:after="0" w:line="189" w:lineRule="exact"/>
        <w:rPr>
          <w:sz w:val="20"/>
          <w:szCs w:val="20"/>
          <w:color w:val="auto"/>
        </w:rPr>
      </w:pPr>
    </w:p>
    <w:p>
      <w:pPr>
        <w:jc w:val="both"/>
        <w:ind w:left="20" w:hanging="13"/>
        <w:spacing w:after="0" w:line="235" w:lineRule="auto"/>
        <w:rPr>
          <w:sz w:val="20"/>
          <w:szCs w:val="20"/>
          <w:color w:val="auto"/>
        </w:rPr>
      </w:pPr>
      <w:r>
        <w:rPr>
          <w:rFonts w:ascii="Arial" w:cs="Arial" w:eastAsia="Arial" w:hAnsi="Arial"/>
          <w:sz w:val="18"/>
          <w:szCs w:val="18"/>
          <w:color w:val="auto"/>
        </w:rPr>
        <w:t>We will pay only for covered damages in excess of all underlying insurance covering those damages, even if the underlying coverage is for more than the minimum amount.</w:t>
      </w:r>
    </w:p>
    <w:p>
      <w:pPr>
        <w:spacing w:after="0" w:line="162" w:lineRule="exact"/>
        <w:rPr>
          <w:sz w:val="20"/>
          <w:szCs w:val="20"/>
          <w:color w:val="auto"/>
        </w:rPr>
      </w:pPr>
    </w:p>
    <w:p>
      <w:pPr>
        <w:jc w:val="both"/>
        <w:ind w:left="20" w:firstLine="4"/>
        <w:spacing w:after="0" w:line="235" w:lineRule="auto"/>
        <w:rPr>
          <w:sz w:val="20"/>
          <w:szCs w:val="20"/>
          <w:color w:val="auto"/>
        </w:rPr>
      </w:pPr>
      <w:r>
        <w:rPr>
          <w:rFonts w:ascii="Arial" w:cs="Arial" w:eastAsia="Arial" w:hAnsi="Arial"/>
          <w:sz w:val="18"/>
          <w:szCs w:val="18"/>
          <w:color w:val="auto"/>
        </w:rPr>
        <w:t>"Underlying insurance" includes all liability coverage that applies to the covered damages, except for other insurance purchased in excess of this policy.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Required primary underlying insurance</w:t>
      </w:r>
    </w:p>
    <w:p>
      <w:pPr>
        <w:spacing w:after="0" w:line="189" w:lineRule="exact"/>
        <w:rPr>
          <w:sz w:val="20"/>
          <w:szCs w:val="20"/>
          <w:color w:val="auto"/>
        </w:rPr>
      </w:pPr>
    </w:p>
    <w:p>
      <w:pPr>
        <w:jc w:val="both"/>
        <w:ind w:left="20" w:hanging="5"/>
        <w:spacing w:after="0" w:line="216" w:lineRule="auto"/>
        <w:rPr>
          <w:sz w:val="20"/>
          <w:szCs w:val="20"/>
          <w:color w:val="auto"/>
        </w:rPr>
      </w:pPr>
      <w:r>
        <w:rPr>
          <w:rFonts w:ascii="Arial" w:cs="Arial" w:eastAsia="Arial" w:hAnsi="Arial"/>
          <w:sz w:val="18"/>
          <w:szCs w:val="18"/>
          <w:color w:val="auto"/>
        </w:rPr>
        <w:t>Regardless of whatever other primary underlying insurance may be available in the event of a claim or loss, it is a condition of your policy that you and your family members must maintain in full effect primary underlying liability insurance of the types and in at least the amounts set forth below unless a different amount is shown in your Coverage Summary, covering your personal liability and to the extent you or a family member have such liability exposures, all vehicles and watercraft you or your family members own, or rent for longer than 60 days, or have furnished for longer than 60 days,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Personal liability(homeowners) for personal injury and property damage in the minimum amount of $300,000 each occurrence.</w:t>
      </w:r>
    </w:p>
    <w:p>
      <w:pPr>
        <w:spacing w:after="0" w:line="196" w:lineRule="exact"/>
        <w:rPr>
          <w:sz w:val="20"/>
          <w:szCs w:val="20"/>
          <w:color w:val="auto"/>
        </w:rPr>
      </w:pPr>
    </w:p>
    <w:p>
      <w:pPr>
        <w:jc w:val="both"/>
        <w:ind w:left="20"/>
        <w:spacing w:after="0" w:line="219" w:lineRule="auto"/>
        <w:rPr>
          <w:sz w:val="20"/>
          <w:szCs w:val="20"/>
          <w:color w:val="auto"/>
        </w:rPr>
      </w:pPr>
      <w:r>
        <w:rPr>
          <w:rFonts w:ascii="Arial" w:cs="Arial" w:eastAsia="Arial" w:hAnsi="Arial"/>
          <w:sz w:val="18"/>
          <w:szCs w:val="18"/>
          <w:color w:val="auto"/>
        </w:rPr>
        <w:t>We cover damages for bodily injury and property damage a covered person is legally entitled to receive from the owner or operator of an uninsured motorized/underinsured motorized land vehicle. We cover these damages in excess of the underlying insurance or the Required Primary Underlying Insurance, whichever is greater, if they are caused by an occurrence during the policy period, unless otherwise stated.</w:t>
      </w:r>
    </w:p>
    <w:p>
      <w:pPr>
        <w:spacing w:after="0" w:line="159" w:lineRule="exact"/>
        <w:rPr>
          <w:sz w:val="20"/>
          <w:szCs w:val="20"/>
          <w:color w:val="auto"/>
        </w:rPr>
      </w:pPr>
    </w:p>
    <w:p>
      <w:pPr>
        <w:jc w:val="both"/>
        <w:ind w:left="20"/>
        <w:spacing w:after="0" w:line="217" w:lineRule="auto"/>
        <w:rPr>
          <w:sz w:val="20"/>
          <w:szCs w:val="20"/>
          <w:color w:val="auto"/>
        </w:rPr>
      </w:pPr>
      <w:r>
        <w:rPr>
          <w:rFonts w:ascii="Arial" w:cs="Arial" w:eastAsia="Arial" w:hAnsi="Arial"/>
          <w:sz w:val="18"/>
          <w:szCs w:val="18"/>
          <w:b w:val="1"/>
          <w:bCs w:val="1"/>
          <w:color w:val="auto"/>
        </w:rPr>
        <w:t xml:space="preserve">Amount of coverage. </w:t>
      </w:r>
      <w:r>
        <w:rPr>
          <w:rFonts w:ascii="Arial" w:cs="Arial" w:eastAsia="Arial" w:hAnsi="Arial"/>
          <w:sz w:val="18"/>
          <w:szCs w:val="18"/>
          <w:color w:val="auto"/>
        </w:rPr>
        <w:t>The maximum amount of excess uninsured motorists/underinsure d motorists protection available for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is the excess uninsured motorists/underinsure d motorists protection amount shown in the Coverage Summary regardless of the number of vehicles covered by the Required Primary Underlying Insurance. We will not pay more than this amount in any one occurrence for covered damages regardless of how many claims, vehicles or people are involved in the occurrence. This coverage will follow form.</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Uninsured motorists/underinsured motorists protection arbitration</w:t>
      </w:r>
    </w:p>
    <w:p>
      <w:pPr>
        <w:spacing w:after="0" w:line="189" w:lineRule="exact"/>
        <w:rPr>
          <w:sz w:val="20"/>
          <w:szCs w:val="20"/>
          <w:color w:val="auto"/>
        </w:rPr>
      </w:pPr>
    </w:p>
    <w:p>
      <w:pPr>
        <w:jc w:val="both"/>
        <w:ind w:left="20" w:hanging="9"/>
        <w:spacing w:after="0" w:line="212" w:lineRule="auto"/>
        <w:rPr>
          <w:sz w:val="20"/>
          <w:szCs w:val="20"/>
          <w:color w:val="auto"/>
        </w:rPr>
      </w:pPr>
      <w:r>
        <w:rPr>
          <w:rFonts w:ascii="Arial" w:cs="Arial" w:eastAsia="Arial" w:hAnsi="Arial"/>
          <w:sz w:val="18"/>
          <w:szCs w:val="18"/>
          <w:color w:val="auto"/>
        </w:rPr>
        <w:t>If we and a covered person disagree whether that person is legally entitled to recover damages from the owner or operator of an uninsured motor vehicle/underinsured motor vehicle, or do not agree as to the amount of damages, either party may make a written demand for arbitration. In this event, each party will select an arbitrator. The two arbitrators will select a third. If they cannot agree on a third arbitrator within 45 days, either may request that the arbitration be submitted to the American Arbitration Association. When the covered person's recovery exceeds the minimum limit specified in the applicable jurisdiction's financial responsibility law, each party will pay the expenses it incurs, and bear the expenses of the third arbitrator equally. Otherwise, we will bear all the expenses of the arbitration.</w:t>
      </w:r>
    </w:p>
    <w:p>
      <w:pPr>
        <w:spacing w:after="0" w:line="165" w:lineRule="exact"/>
        <w:rPr>
          <w:sz w:val="20"/>
          <w:szCs w:val="20"/>
          <w:color w:val="auto"/>
        </w:rPr>
      </w:pPr>
    </w:p>
    <w:p>
      <w:pPr>
        <w:jc w:val="both"/>
        <w:ind w:left="20"/>
        <w:spacing w:after="0" w:line="228" w:lineRule="auto"/>
        <w:rPr>
          <w:sz w:val="20"/>
          <w:szCs w:val="20"/>
          <w:color w:val="auto"/>
        </w:rPr>
      </w:pPr>
      <w:r>
        <w:rPr>
          <w:rFonts w:ascii="Arial" w:cs="Arial" w:eastAsia="Arial" w:hAnsi="Arial"/>
          <w:sz w:val="17"/>
          <w:szCs w:val="17"/>
          <w:color w:val="auto"/>
        </w:rPr>
        <w:t>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If the amount exceeds that limit, either party may demand the right to a trial. This demand must be made within 60 days of the arbitrator's decision. If this demand is not made, the amount of damages agreed to by the arbitrators will be binding.</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Uninsured/underinsured liability coverage</w:t>
      </w:r>
    </w:p>
    <w:p>
      <w:pPr>
        <w:sectPr>
          <w:pgSz w:w="11900" w:h="16838" w:orient="portrait"/>
          <w:cols w:equalWidth="0" w:num="1">
            <w:col w:w="9840"/>
          </w:cols>
          <w:pgMar w:left="960" w:top="1120" w:right="1099" w:bottom="1440" w:gutter="0" w:footer="0" w:header="0"/>
        </w:sectPr>
      </w:pPr>
    </w:p>
    <w:bookmarkStart w:id="41" w:name="page42"/>
    <w:bookmarkEnd w:id="41"/>
    <w:p>
      <w:pPr>
        <w:ind w:left="4"/>
        <w:spacing w:after="0"/>
        <w:rPr>
          <w:sz w:val="20"/>
          <w:szCs w:val="20"/>
          <w:color w:val="auto"/>
        </w:rPr>
      </w:pPr>
      <w:r>
        <w:rPr>
          <w:rFonts w:ascii="Arial" w:cs="Arial" w:eastAsia="Arial" w:hAnsi="Arial"/>
          <w:sz w:val="16"/>
          <w:szCs w:val="16"/>
          <w:color w:val="auto"/>
        </w:rPr>
        <w:t>This coverage is in effect only if excess uninsured motorists/underinsured motorists protection is shown in the Coverage Summary.</w:t>
      </w:r>
    </w:p>
    <w:p>
      <w:pPr>
        <w:spacing w:after="0" w:line="208" w:lineRule="exact"/>
        <w:rPr>
          <w:sz w:val="20"/>
          <w:szCs w:val="20"/>
          <w:color w:val="auto"/>
        </w:rPr>
      </w:pPr>
    </w:p>
    <w:p>
      <w:pPr>
        <w:jc w:val="both"/>
        <w:ind w:left="4"/>
        <w:spacing w:after="0" w:line="249" w:lineRule="auto"/>
        <w:rPr>
          <w:sz w:val="20"/>
          <w:szCs w:val="20"/>
          <w:color w:val="auto"/>
        </w:rPr>
      </w:pPr>
      <w:r>
        <w:rPr>
          <w:rFonts w:ascii="Arial" w:cs="Arial" w:eastAsia="Arial" w:hAnsi="Arial"/>
          <w:sz w:val="16"/>
          <w:szCs w:val="16"/>
          <w:color w:val="auto"/>
        </w:rPr>
        <w:t>We cover up to a maximum of $1 million for bodily injury and personal injury you or a family member are legally entitled to receive from an uninsured or underinsured negligent person caused by an occurrence, unless stated otherwise or an exclusion applies. We will not pay more than this amount for covered damages from any one occurrence, regardless of how many claims or people are involved in the occurrence. This coverage is excess over the total of any other collectible insurance that covers damages from the occurrence.</w:t>
      </w:r>
    </w:p>
    <w:p>
      <w:pPr>
        <w:spacing w:after="0" w:line="154" w:lineRule="exact"/>
        <w:rPr>
          <w:sz w:val="20"/>
          <w:szCs w:val="20"/>
          <w:color w:val="auto"/>
        </w:rPr>
      </w:pPr>
    </w:p>
    <w:p>
      <w:pPr>
        <w:jc w:val="both"/>
        <w:ind w:left="4" w:firstLine="9"/>
        <w:spacing w:after="0" w:line="212" w:lineRule="auto"/>
        <w:rPr>
          <w:sz w:val="20"/>
          <w:szCs w:val="20"/>
          <w:color w:val="auto"/>
        </w:rPr>
      </w:pPr>
      <w:r>
        <w:rPr>
          <w:rFonts w:ascii="Arial" w:cs="Arial" w:eastAsia="Arial" w:hAnsi="Arial"/>
          <w:sz w:val="18"/>
          <w:szCs w:val="18"/>
          <w:color w:val="auto"/>
        </w:rPr>
        <w:t>All the exclusions under the Group Personal Excess Liability Coverage are applicable to this Uninsured/underinsured liability coverage, and where used, the definition of you or a family member is extended to include negligent person. This coverage also does not apply to damages from an occurrence arising out of any business activities; any activities involving business property or the sale or transfer of property; or the ownership, maintenance, use, loading, unloading, or towing of any motor vehicle, watercraft, or aircraft. In addition, this coverage does not apply to damages from an occurrence arising from any employment related harassment, termination, demotion, breach of an oral or written employment contract or agreement or violation of any state or federal wrongful employment practices act or similar law.</w:t>
      </w:r>
    </w:p>
    <w:p>
      <w:pPr>
        <w:spacing w:after="0" w:line="161" w:lineRule="exact"/>
        <w:rPr>
          <w:sz w:val="20"/>
          <w:szCs w:val="20"/>
          <w:color w:val="auto"/>
        </w:rPr>
      </w:pPr>
    </w:p>
    <w:p>
      <w:pPr>
        <w:ind w:left="4" w:right="100" w:hanging="3"/>
        <w:spacing w:after="0" w:line="237" w:lineRule="auto"/>
        <w:rPr>
          <w:sz w:val="20"/>
          <w:szCs w:val="20"/>
          <w:color w:val="auto"/>
        </w:rPr>
      </w:pPr>
      <w:r>
        <w:rPr>
          <w:rFonts w:ascii="Arial" w:cs="Arial" w:eastAsia="Arial" w:hAnsi="Arial"/>
          <w:sz w:val="18"/>
          <w:szCs w:val="18"/>
          <w:b w:val="1"/>
          <w:bCs w:val="1"/>
          <w:color w:val="auto"/>
        </w:rPr>
        <w:t xml:space="preserve">We </w:t>
      </w:r>
      <w:r>
        <w:rPr>
          <w:rFonts w:ascii="Arial" w:cs="Arial" w:eastAsia="Arial" w:hAnsi="Arial"/>
          <w:sz w:val="18"/>
          <w:szCs w:val="18"/>
          <w:color w:val="auto"/>
        </w:rPr>
        <w:t>also do not cover any fines, penalties, taxes, punitive, exemplary or multiplied damages, or any claim or suit seeking non monetary</w:t>
      </w:r>
      <w:r>
        <w:rPr>
          <w:rFonts w:ascii="Arial" w:cs="Arial" w:eastAsia="Arial" w:hAnsi="Arial"/>
          <w:sz w:val="18"/>
          <w:szCs w:val="18"/>
          <w:b w:val="1"/>
          <w:bCs w:val="1"/>
          <w:color w:val="auto"/>
        </w:rPr>
        <w:t xml:space="preserve"> </w:t>
      </w:r>
      <w:r>
        <w:rPr>
          <w:rFonts w:ascii="Arial" w:cs="Arial" w:eastAsia="Arial" w:hAnsi="Arial"/>
          <w:sz w:val="18"/>
          <w:szCs w:val="18"/>
          <w:color w:val="auto"/>
        </w:rPr>
        <w:t>relief, including but not limited to, injunctive relief, declaratory relief or other equitable remedies.</w:t>
      </w:r>
    </w:p>
    <w:p>
      <w:pPr>
        <w:spacing w:after="0" w:line="162" w:lineRule="exact"/>
        <w:rPr>
          <w:sz w:val="20"/>
          <w:szCs w:val="20"/>
          <w:color w:val="auto"/>
        </w:rPr>
      </w:pPr>
    </w:p>
    <w:p>
      <w:pPr>
        <w:ind w:left="4" w:right="160" w:hanging="5"/>
        <w:spacing w:after="0" w:line="235" w:lineRule="auto"/>
        <w:rPr>
          <w:sz w:val="20"/>
          <w:szCs w:val="20"/>
          <w:color w:val="auto"/>
        </w:rPr>
      </w:pPr>
      <w:r>
        <w:rPr>
          <w:rFonts w:ascii="Arial" w:cs="Arial" w:eastAsia="Arial" w:hAnsi="Arial"/>
          <w:sz w:val="18"/>
          <w:szCs w:val="18"/>
          <w:color w:val="auto"/>
        </w:rPr>
        <w:t>"Negligent person" means an identifiable natural person by legal name who is not a family member, and who is legally responsible for damages sustained by you or a family member caused by an occurrence.</w:t>
      </w:r>
    </w:p>
    <w:p>
      <w:pPr>
        <w:spacing w:after="0" w:line="158" w:lineRule="exact"/>
        <w:rPr>
          <w:sz w:val="20"/>
          <w:szCs w:val="20"/>
          <w:color w:val="auto"/>
        </w:rPr>
      </w:pPr>
    </w:p>
    <w:p>
      <w:pPr>
        <w:jc w:val="both"/>
        <w:ind w:left="4" w:firstLine="1"/>
        <w:spacing w:after="0" w:line="220" w:lineRule="auto"/>
        <w:rPr>
          <w:sz w:val="20"/>
          <w:szCs w:val="20"/>
          <w:color w:val="auto"/>
        </w:rPr>
      </w:pPr>
      <w:r>
        <w:rPr>
          <w:rFonts w:ascii="Arial" w:cs="Arial" w:eastAsia="Arial" w:hAnsi="Arial"/>
          <w:sz w:val="18"/>
          <w:szCs w:val="18"/>
          <w:b w:val="1"/>
          <w:bCs w:val="1"/>
          <w:color w:val="auto"/>
        </w:rPr>
        <w:t xml:space="preserve">Duplication of coverage. </w:t>
      </w:r>
      <w:r>
        <w:rPr>
          <w:rFonts w:ascii="Arial" w:cs="Arial" w:eastAsia="Arial" w:hAnsi="Arial"/>
          <w:sz w:val="18"/>
          <w:szCs w:val="18"/>
          <w:color w:val="auto"/>
        </w:rPr>
        <w:t>We will not make a duplicate payment for any portion of damages for which payment has been made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persons who may be legally responsible, or otherwise covered by any other collectible insurance. Nor will we pay for any portion of damages if you or a family member is entitled to receive payment for the same portion of damages under any workers' compensation law, disability benefits law or similar law.</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Defense coverages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7"/>
          <w:szCs w:val="17"/>
          <w:color w:val="auto"/>
        </w:rPr>
        <w:t>We will defend a covered person against any suit seeking covered damages for personal injury or property damage that is either:</w:t>
      </w:r>
    </w:p>
    <w:p>
      <w:pPr>
        <w:spacing w:after="0" w:line="196" w:lineRule="exact"/>
        <w:rPr>
          <w:sz w:val="20"/>
          <w:szCs w:val="20"/>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covered by any underlying insurance; or</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covered by an underlying policy. This will apply to each Defense Coverage as it has been exhausted by payment of claims.</w:t>
      </w:r>
    </w:p>
    <w:p>
      <w:pPr>
        <w:spacing w:after="0" w:line="196" w:lineRule="exact"/>
        <w:rPr>
          <w:sz w:val="20"/>
          <w:szCs w:val="20"/>
          <w:color w:val="auto"/>
        </w:rPr>
      </w:pPr>
    </w:p>
    <w:p>
      <w:pPr>
        <w:ind w:left="4" w:right="740" w:hanging="5"/>
        <w:spacing w:after="0" w:line="235" w:lineRule="auto"/>
        <w:rPr>
          <w:sz w:val="20"/>
          <w:szCs w:val="20"/>
          <w:color w:val="auto"/>
        </w:rPr>
      </w:pPr>
      <w:r>
        <w:rPr>
          <w:rFonts w:ascii="Arial" w:cs="Arial" w:eastAsia="Arial" w:hAnsi="Arial"/>
          <w:sz w:val="18"/>
          <w:szCs w:val="18"/>
          <w:color w:val="auto"/>
        </w:rPr>
        <w:t>We provide this defense at our expense, with counsel of our choice, even if the suit is groundless, false, or fraudulent. We may investigate, negotiate, and settle any such claim or suit at our discretion.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part of our investigation, defense, negotiation, or settlement, we will pay:</w:t>
      </w:r>
    </w:p>
    <w:p>
      <w:pPr>
        <w:spacing w:after="0" w:line="185" w:lineRule="exact"/>
        <w:rPr>
          <w:sz w:val="20"/>
          <w:szCs w:val="20"/>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premiums on appeal bonds required in any suit we defend;</w:t>
      </w:r>
    </w:p>
    <w:p>
      <w:pPr>
        <w:spacing w:after="0" w:line="184" w:lineRule="exact"/>
        <w:rPr>
          <w:rFonts w:ascii="Arial" w:cs="Arial" w:eastAsia="Arial" w:hAnsi="Arial"/>
          <w:sz w:val="18"/>
          <w:szCs w:val="18"/>
          <w:color w:val="auto"/>
        </w:rPr>
      </w:pPr>
    </w:p>
    <w:p>
      <w:pPr>
        <w:ind w:left="324" w:right="20" w:hanging="324"/>
        <w:spacing w:after="0" w:line="235"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premiums on bonds to release attachments for any amount up to the amount of coverage (but we are not obligated to apply for or furnish any bond);</w:t>
      </w:r>
    </w:p>
    <w:p>
      <w:pPr>
        <w:spacing w:after="0" w:line="161" w:lineRule="exact"/>
        <w:rPr>
          <w:rFonts w:ascii="Arial" w:cs="Arial" w:eastAsia="Arial" w:hAnsi="Arial"/>
          <w:sz w:val="18"/>
          <w:szCs w:val="18"/>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expenses incurred by us;</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costs taxed against a covered person;</w:t>
      </w:r>
    </w:p>
    <w:p>
      <w:pPr>
        <w:spacing w:after="0" w:line="184" w:lineRule="exact"/>
        <w:rPr>
          <w:rFonts w:ascii="Arial" w:cs="Arial" w:eastAsia="Arial" w:hAnsi="Arial"/>
          <w:sz w:val="18"/>
          <w:szCs w:val="18"/>
          <w:color w:val="auto"/>
        </w:rPr>
      </w:pPr>
    </w:p>
    <w:p>
      <w:pPr>
        <w:ind w:left="324" w:right="80" w:hanging="324"/>
        <w:spacing w:after="0" w:line="258" w:lineRule="auto"/>
        <w:tabs>
          <w:tab w:leader="none" w:pos="319"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interest accruing after a judgment is entered in a suit we defend on only that part of the judgment we are responsible for paying. We will not pay interest accruing after we have paid the judgment up to the amount of coverage;</w:t>
      </w:r>
    </w:p>
    <w:p>
      <w:pPr>
        <w:spacing w:after="0" w:line="146" w:lineRule="exact"/>
        <w:rPr>
          <w:rFonts w:ascii="Arial" w:cs="Arial" w:eastAsia="Arial" w:hAnsi="Arial"/>
          <w:sz w:val="17"/>
          <w:szCs w:val="17"/>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prejudgment interest awarded against a covered person on that part of the judgment we pay or offer to pay.</w:t>
      </w:r>
    </w:p>
    <w:p>
      <w:pPr>
        <w:spacing w:after="0" w:line="184" w:lineRule="exact"/>
        <w:rPr>
          <w:rFonts w:ascii="Arial" w:cs="Arial" w:eastAsia="Arial" w:hAnsi="Arial"/>
          <w:sz w:val="18"/>
          <w:szCs w:val="18"/>
          <w:color w:val="auto"/>
        </w:rPr>
      </w:pPr>
    </w:p>
    <w:p>
      <w:pPr>
        <w:ind w:left="964" w:right="620" w:hanging="316"/>
        <w:spacing w:after="0" w:line="234" w:lineRule="auto"/>
        <w:tabs>
          <w:tab w:leader="none" w:pos="964" w:val="left"/>
        </w:tabs>
        <w:numPr>
          <w:ilvl w:val="1"/>
          <w:numId w:val="25"/>
        </w:numPr>
        <w:rPr>
          <w:rFonts w:ascii="Courier New" w:cs="Courier New" w:eastAsia="Courier New" w:hAnsi="Courier New"/>
          <w:sz w:val="18"/>
          <w:szCs w:val="18"/>
          <w:color w:val="auto"/>
        </w:rPr>
      </w:pPr>
      <w:r>
        <w:rPr>
          <w:rFonts w:ascii="Arial" w:cs="Arial" w:eastAsia="Arial" w:hAnsi="Arial"/>
          <w:sz w:val="18"/>
          <w:szCs w:val="18"/>
          <w:color w:val="auto"/>
        </w:rPr>
        <w:t>We will not pay any prejudgment interest based on that period of time after we make an offer to pay the amount of coverage;</w:t>
      </w:r>
    </w:p>
    <w:p>
      <w:pPr>
        <w:spacing w:after="0" w:line="161" w:lineRule="exact"/>
        <w:rPr>
          <w:rFonts w:ascii="Courier New" w:cs="Courier New" w:eastAsia="Courier New" w:hAnsi="Courier New"/>
          <w:sz w:val="18"/>
          <w:szCs w:val="18"/>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earnings lost by each covered person at our request, up to $25,000;</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reasonable expenses incurred by a covered person at our request; and</w:t>
      </w:r>
    </w:p>
    <w:p>
      <w:pPr>
        <w:sectPr>
          <w:pgSz w:w="11900" w:h="16838" w:orient="portrait"/>
          <w:cols w:equalWidth="0" w:num="1">
            <w:col w:w="9824"/>
          </w:cols>
          <w:pgMar w:left="976" w:top="1124" w:right="1099" w:bottom="1440" w:gutter="0" w:footer="0" w:header="0"/>
        </w:sectPr>
      </w:pPr>
    </w:p>
    <w:bookmarkStart w:id="42" w:name="page43"/>
    <w:bookmarkEnd w:id="42"/>
    <w:p>
      <w:pPr>
        <w:ind w:left="324" w:hanging="324"/>
        <w:spacing w:after="0"/>
        <w:tabs>
          <w:tab w:leader="none" w:pos="3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bail bonds required of a covered person because of a covered loss.</w:t>
      </w:r>
    </w:p>
    <w:p>
      <w:pPr>
        <w:spacing w:after="0" w:line="185" w:lineRule="exact"/>
        <w:rPr>
          <w:sz w:val="20"/>
          <w:szCs w:val="20"/>
          <w:color w:val="auto"/>
        </w:rPr>
      </w:pPr>
    </w:p>
    <w:p>
      <w:pPr>
        <w:ind w:left="4" w:right="260" w:firstLine="4"/>
        <w:spacing w:after="0" w:line="235" w:lineRule="auto"/>
        <w:rPr>
          <w:sz w:val="20"/>
          <w:szCs w:val="20"/>
          <w:color w:val="auto"/>
        </w:rPr>
      </w:pPr>
      <w:r>
        <w:rPr>
          <w:rFonts w:ascii="Arial" w:cs="Arial" w:eastAsia="Arial" w:hAnsi="Arial"/>
          <w:sz w:val="18"/>
          <w:szCs w:val="18"/>
          <w:color w:val="auto"/>
        </w:rPr>
        <w:t>In jurisdictions where we may be prevented by local law from carrying out these Defense Coverages, we will pay only those defense expenses that we agree in writing to pay and that are incurred by you.</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Extra Coverages</w:t>
      </w:r>
    </w:p>
    <w:p>
      <w:pPr>
        <w:spacing w:after="0" w:line="185" w:lineRule="exact"/>
        <w:rPr>
          <w:sz w:val="20"/>
          <w:szCs w:val="20"/>
          <w:color w:val="auto"/>
        </w:rPr>
      </w:pPr>
    </w:p>
    <w:p>
      <w:pPr>
        <w:ind w:left="4" w:right="440"/>
        <w:spacing w:after="0" w:line="235" w:lineRule="auto"/>
        <w:rPr>
          <w:sz w:val="20"/>
          <w:szCs w:val="20"/>
          <w:color w:val="auto"/>
        </w:rPr>
      </w:pPr>
      <w:r>
        <w:rPr>
          <w:rFonts w:ascii="Arial" w:cs="Arial" w:eastAsia="Arial" w:hAnsi="Arial"/>
          <w:sz w:val="18"/>
          <w:szCs w:val="18"/>
          <w:color w:val="auto"/>
        </w:rPr>
        <w:t>In addition to covering damages and defense costs, we also provide other related coverages. These coverages are in addition to the amount of coverage for damages and defense costs unless stated otherwise.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Shadow defense coverage</w:t>
      </w:r>
    </w:p>
    <w:p>
      <w:pPr>
        <w:spacing w:after="0" w:line="189" w:lineRule="exact"/>
        <w:rPr>
          <w:sz w:val="20"/>
          <w:szCs w:val="20"/>
          <w:color w:val="auto"/>
        </w:rPr>
      </w:pPr>
    </w:p>
    <w:p>
      <w:pPr>
        <w:jc w:val="both"/>
        <w:ind w:left="4" w:firstLine="15"/>
        <w:spacing w:after="0" w:line="219" w:lineRule="auto"/>
        <w:rPr>
          <w:sz w:val="20"/>
          <w:szCs w:val="20"/>
          <w:color w:val="auto"/>
        </w:rPr>
      </w:pPr>
      <w:r>
        <w:rPr>
          <w:rFonts w:ascii="Arial" w:cs="Arial" w:eastAsia="Arial" w:hAnsi="Arial"/>
          <w:sz w:val="18"/>
          <w:szCs w:val="18"/>
          <w:color w:val="auto"/>
        </w:rPr>
        <w:t>If we are defending you or a family member in a suit seeking covered damages, we will pay reasonable expenses you or a family member incur up to $10,000 or the amount shown in the Coverage Summary for a law firm of your choice to review and monitor the defense. However any recommendation by your personal attorney is not binding on us. We will pay these costs provided that you obtain prior approval from us before incurring any fees or expenses.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Identity fraud</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7"/>
          <w:szCs w:val="17"/>
          <w:color w:val="auto"/>
        </w:rPr>
        <w:t>We will pay for your or a family member's identity fraud expenses, up to a maximum of $25,000, for each identity fraud occurrence.</w:t>
      </w:r>
    </w:p>
    <w:p>
      <w:pPr>
        <w:spacing w:after="0" w:line="196" w:lineRule="exact"/>
        <w:rPr>
          <w:sz w:val="20"/>
          <w:szCs w:val="20"/>
          <w:color w:val="auto"/>
        </w:rPr>
      </w:pPr>
    </w:p>
    <w:p>
      <w:pPr>
        <w:jc w:val="both"/>
        <w:ind w:left="4" w:firstLine="7"/>
        <w:spacing w:after="0" w:line="235" w:lineRule="auto"/>
        <w:rPr>
          <w:sz w:val="20"/>
          <w:szCs w:val="20"/>
          <w:color w:val="auto"/>
        </w:rPr>
      </w:pPr>
      <w:r>
        <w:rPr>
          <w:rFonts w:ascii="Arial" w:cs="Arial" w:eastAsia="Arial" w:hAnsi="Arial"/>
          <w:sz w:val="18"/>
          <w:szCs w:val="18"/>
          <w:color w:val="auto"/>
        </w:rPr>
        <w:t>"Identity fraud" means the act of knowingly transferring or using, without lawful authority, your or a family member's means of identity which constitutes a violation of federal law or a crime under any applicable state or local law.</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color w:val="auto"/>
        </w:rPr>
        <w:t>"Identity fraud occurrence" means any act or series of acts of identity fraud by a person or group commencing in the policy period.</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8"/>
          <w:szCs w:val="18"/>
          <w:color w:val="auto"/>
        </w:rPr>
        <w:t>"Identity fraud expenses" means:</w:t>
      </w:r>
    </w:p>
    <w:p>
      <w:pPr>
        <w:spacing w:after="0" w:line="185" w:lineRule="exact"/>
        <w:rPr>
          <w:sz w:val="20"/>
          <w:szCs w:val="20"/>
          <w:color w:val="auto"/>
        </w:rPr>
      </w:pPr>
    </w:p>
    <w:p>
      <w:pPr>
        <w:ind w:left="324" w:right="640" w:hanging="324"/>
        <w:spacing w:after="0" w:line="235"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for notarizing affidavits or similar documents for law enforcement agencies, financial institutions or similar credit grantors, and credit agencies;</w:t>
      </w:r>
    </w:p>
    <w:p>
      <w:pPr>
        <w:spacing w:after="0" w:line="161"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costs for sending certified mail to law enforcement agencies, financial institutions or similar credit grantors, and credit agencies;</w:t>
      </w:r>
    </w:p>
    <w:p>
      <w:pPr>
        <w:spacing w:after="0" w:line="207" w:lineRule="exact"/>
        <w:rPr>
          <w:rFonts w:ascii="Arial" w:cs="Arial" w:eastAsia="Arial" w:hAnsi="Arial"/>
          <w:sz w:val="16"/>
          <w:szCs w:val="16"/>
          <w:color w:val="auto"/>
        </w:rPr>
      </w:pPr>
    </w:p>
    <w:p>
      <w:pPr>
        <w:ind w:left="324" w:right="520" w:hanging="324"/>
        <w:spacing w:after="0" w:line="235"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application fees for reapplying for loan(s) due to the rejection of the original application because the lender received incorrect credit information;</w:t>
      </w:r>
    </w:p>
    <w:p>
      <w:pPr>
        <w:spacing w:after="0" w:line="161" w:lineRule="exact"/>
        <w:rPr>
          <w:rFonts w:ascii="Arial" w:cs="Arial" w:eastAsia="Arial" w:hAnsi="Arial"/>
          <w:sz w:val="18"/>
          <w:szCs w:val="18"/>
          <w:color w:val="auto"/>
        </w:rPr>
      </w:pPr>
    </w:p>
    <w:p>
      <w:pPr>
        <w:ind w:left="324" w:right="80" w:hanging="324"/>
        <w:spacing w:after="0" w:line="235"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telephone expenses for calls to businesses, law enforcement agencies, financial institutions or similar credit grantors, and credit agencies;</w:t>
      </w:r>
    </w:p>
    <w:p>
      <w:pPr>
        <w:spacing w:after="0" w:line="161" w:lineRule="exact"/>
        <w:rPr>
          <w:rFonts w:ascii="Arial" w:cs="Arial" w:eastAsia="Arial" w:hAnsi="Arial"/>
          <w:sz w:val="18"/>
          <w:szCs w:val="18"/>
          <w:color w:val="auto"/>
        </w:rPr>
      </w:pPr>
    </w:p>
    <w:p>
      <w:pPr>
        <w:ind w:left="324" w:right="100" w:hanging="324"/>
        <w:spacing w:after="0" w:line="235"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earnings lost by you or a family member as a result of time off from work to complete fraud affidavits, meet with law enforcement agencies, credit agencies, merchants, or legal counsel;</w:t>
      </w:r>
    </w:p>
    <w:p>
      <w:pPr>
        <w:spacing w:after="0" w:line="161"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reasonable attorney fees incurred with prior notice to us for:</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defense of you or a family member against any suit(s) by businesses or their collection agencies;</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removal of any criminal or civil judgements wrongly entered against you or a family member;</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challenge to the information in your or a family member's consumer credit report; and</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reasonable fees incurred with prior notice to us by an identity fraud mitigation entity to:</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services for the activities described above;</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restore accounts or credit standing with financial institutions or similar credit grantors and credit agencies; and</w:t>
      </w:r>
    </w:p>
    <w:p>
      <w:pPr>
        <w:spacing w:after="0" w:line="184" w:lineRule="exact"/>
        <w:rPr>
          <w:rFonts w:ascii="Arial" w:cs="Arial" w:eastAsia="Arial" w:hAnsi="Arial"/>
          <w:sz w:val="18"/>
          <w:szCs w:val="18"/>
          <w:color w:val="auto"/>
        </w:rPr>
      </w:pPr>
    </w:p>
    <w:p>
      <w:pPr>
        <w:ind w:left="324" w:right="380" w:hanging="324"/>
        <w:spacing w:after="0" w:line="235"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 for up to one year the effectiveness of the fraud mitigation and to detect additional identity fraud activity after the first identify fraud occurrence.</w:t>
      </w:r>
    </w:p>
    <w:p>
      <w:pPr>
        <w:spacing w:after="0" w:line="162" w:lineRule="exact"/>
        <w:rPr>
          <w:sz w:val="20"/>
          <w:szCs w:val="20"/>
          <w:color w:val="auto"/>
        </w:rPr>
      </w:pPr>
    </w:p>
    <w:p>
      <w:pPr>
        <w:ind w:left="4" w:firstLine="3"/>
        <w:spacing w:after="0" w:line="235" w:lineRule="auto"/>
        <w:rPr>
          <w:sz w:val="20"/>
          <w:szCs w:val="20"/>
          <w:color w:val="auto"/>
        </w:rPr>
      </w:pPr>
      <w:r>
        <w:rPr>
          <w:rFonts w:ascii="Arial" w:cs="Arial" w:eastAsia="Arial" w:hAnsi="Arial"/>
          <w:sz w:val="18"/>
          <w:szCs w:val="18"/>
          <w:color w:val="auto"/>
        </w:rPr>
        <w:t>However, such monitoring must begin no later than one year after you or a family member first report an identity fraud occurrence to us.</w:t>
      </w:r>
    </w:p>
    <w:p>
      <w:pPr>
        <w:sectPr>
          <w:pgSz w:w="11900" w:h="16838" w:orient="portrait"/>
          <w:cols w:equalWidth="0" w:num="1">
            <w:col w:w="9824"/>
          </w:cols>
          <w:pgMar w:left="976" w:top="1124" w:right="1099" w:bottom="1440" w:gutter="0" w:footer="0" w:header="0"/>
        </w:sectPr>
      </w:pPr>
    </w:p>
    <w:bookmarkStart w:id="43" w:name="page44"/>
    <w:bookmarkEnd w:id="43"/>
    <w:p>
      <w:pPr>
        <w:jc w:val="both"/>
        <w:ind w:left="5" w:firstLine="3"/>
        <w:spacing w:after="0" w:line="224" w:lineRule="auto"/>
        <w:rPr>
          <w:sz w:val="20"/>
          <w:szCs w:val="20"/>
          <w:color w:val="auto"/>
        </w:rPr>
      </w:pPr>
      <w:r>
        <w:rPr>
          <w:rFonts w:ascii="Arial" w:cs="Arial" w:eastAsia="Arial" w:hAnsi="Arial"/>
          <w:sz w:val="18"/>
          <w:szCs w:val="18"/>
          <w:color w:val="auto"/>
        </w:rPr>
        <w:t>However,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spacing w:after="0" w:line="163" w:lineRule="exact"/>
        <w:rPr>
          <w:sz w:val="20"/>
          <w:szCs w:val="20"/>
          <w:color w:val="auto"/>
        </w:rPr>
      </w:pPr>
    </w:p>
    <w:p>
      <w:pPr>
        <w:jc w:val="both"/>
        <w:ind w:left="5" w:firstLine="2"/>
        <w:spacing w:after="0" w:line="235" w:lineRule="auto"/>
        <w:rPr>
          <w:sz w:val="20"/>
          <w:szCs w:val="20"/>
          <w:color w:val="auto"/>
        </w:rPr>
      </w:pPr>
      <w:r>
        <w:rPr>
          <w:rFonts w:ascii="Arial" w:cs="Arial" w:eastAsia="Arial" w:hAnsi="Arial"/>
          <w:sz w:val="18"/>
          <w:szCs w:val="18"/>
          <w:color w:val="auto"/>
        </w:rPr>
        <w:t>"Identity fraud mitigation entity" means a company that principally provides professional, specialized services to counter identity fraud for individuals or groups of individuals, or a financial institution that provides similar services.</w:t>
      </w:r>
    </w:p>
    <w:p>
      <w:pPr>
        <w:spacing w:after="0" w:line="162" w:lineRule="exact"/>
        <w:rPr>
          <w:sz w:val="20"/>
          <w:szCs w:val="20"/>
          <w:color w:val="auto"/>
        </w:rPr>
      </w:pPr>
    </w:p>
    <w:p>
      <w:pPr>
        <w:jc w:val="both"/>
        <w:ind w:left="5" w:hanging="9"/>
        <w:spacing w:after="0" w:line="235" w:lineRule="auto"/>
        <w:rPr>
          <w:sz w:val="20"/>
          <w:szCs w:val="20"/>
          <w:color w:val="auto"/>
        </w:rPr>
      </w:pPr>
      <w:r>
        <w:rPr>
          <w:rFonts w:ascii="Arial" w:cs="Arial" w:eastAsia="Arial" w:hAnsi="Arial"/>
          <w:sz w:val="18"/>
          <w:szCs w:val="18"/>
          <w:color w:val="auto"/>
        </w:rPr>
        <w:t>In addition to the duties described in Policy Terms, Liability Conditions, Your duties after a loss, you shall notify an applicable law enforcement agency.</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Kidnap expenses</w:t>
      </w:r>
    </w:p>
    <w:p>
      <w:pPr>
        <w:spacing w:after="0" w:line="189" w:lineRule="exact"/>
        <w:rPr>
          <w:sz w:val="20"/>
          <w:szCs w:val="20"/>
          <w:color w:val="auto"/>
        </w:rPr>
      </w:pPr>
    </w:p>
    <w:p>
      <w:pPr>
        <w:jc w:val="both"/>
        <w:ind w:left="5"/>
        <w:spacing w:after="0" w:line="219" w:lineRule="auto"/>
        <w:rPr>
          <w:sz w:val="20"/>
          <w:szCs w:val="20"/>
          <w:color w:val="auto"/>
        </w:rPr>
      </w:pPr>
      <w:r>
        <w:rPr>
          <w:rFonts w:ascii="Arial" w:cs="Arial" w:eastAsia="Arial" w:hAnsi="Arial"/>
          <w:sz w:val="18"/>
          <w:szCs w:val="18"/>
          <w:color w:val="auto"/>
        </w:rPr>
        <w:t>We will pay up to a maximum of $100,000 for kidnap expenses you or a family member incurs solely and directly as a result of a kidnap and ransom occurrence. In addition, we also will pay up to $25,000 to any person for information not otherwise available leading to the arrest and conviction of any person(s) who kidnaps you, a family member or a covered relative. The following are not eligible to receive this reward payment:</w:t>
      </w:r>
    </w:p>
    <w:p>
      <w:pPr>
        <w:spacing w:after="0" w:line="163" w:lineRule="exact"/>
        <w:rPr>
          <w:sz w:val="20"/>
          <w:szCs w:val="20"/>
          <w:color w:val="auto"/>
        </w:rPr>
      </w:pPr>
    </w:p>
    <w:p>
      <w:pPr>
        <w:ind w:left="325" w:hanging="325"/>
        <w:spacing w:after="0"/>
        <w:tabs>
          <w:tab w:leader="none" w:pos="3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or a family member; or</w:t>
      </w:r>
    </w:p>
    <w:p>
      <w:pPr>
        <w:spacing w:after="0" w:line="184" w:lineRule="exact"/>
        <w:rPr>
          <w:rFonts w:ascii="Arial" w:cs="Arial" w:eastAsia="Arial" w:hAnsi="Arial"/>
          <w:sz w:val="18"/>
          <w:szCs w:val="18"/>
          <w:color w:val="auto"/>
        </w:rPr>
      </w:pPr>
    </w:p>
    <w:p>
      <w:pPr>
        <w:ind w:left="325" w:hanging="325"/>
        <w:spacing w:after="0"/>
        <w:tabs>
          <w:tab w:leader="none" w:pos="3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relative who witnessed the occurrence.</w:t>
      </w:r>
    </w:p>
    <w:p>
      <w:pPr>
        <w:spacing w:after="0" w:line="185" w:lineRule="exact"/>
        <w:rPr>
          <w:sz w:val="20"/>
          <w:szCs w:val="20"/>
          <w:color w:val="auto"/>
        </w:rPr>
      </w:pPr>
    </w:p>
    <w:p>
      <w:pPr>
        <w:ind w:left="5"/>
        <w:spacing w:after="0"/>
        <w:rPr>
          <w:sz w:val="20"/>
          <w:szCs w:val="20"/>
          <w:color w:val="auto"/>
        </w:rPr>
      </w:pPr>
      <w:r>
        <w:rPr>
          <w:rFonts w:ascii="Arial" w:cs="Arial" w:eastAsia="Arial" w:hAnsi="Arial"/>
          <w:sz w:val="18"/>
          <w:szCs w:val="18"/>
          <w:color w:val="auto"/>
        </w:rPr>
        <w:t>"Kidnap and ransom occurrence" means the actual or alleged wrongful taking of:</w:t>
      </w:r>
    </w:p>
    <w:p>
      <w:pPr>
        <w:spacing w:after="0" w:line="185" w:lineRule="exact"/>
        <w:rPr>
          <w:sz w:val="20"/>
          <w:szCs w:val="20"/>
          <w:color w:val="auto"/>
        </w:rPr>
      </w:pPr>
    </w:p>
    <w:p>
      <w:pPr>
        <w:ind w:left="325" w:hanging="324"/>
        <w:spacing w:after="0"/>
        <w:tabs>
          <w:tab w:leader="none" w:pos="3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one or more family members; or</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one or more covered relatives while visiting or legally traveling with you or a family member;</w:t>
      </w:r>
    </w:p>
    <w:p>
      <w:pPr>
        <w:spacing w:after="0" w:line="184" w:lineRule="exact"/>
        <w:rPr>
          <w:rFonts w:ascii="Arial" w:cs="Arial" w:eastAsia="Arial" w:hAnsi="Arial"/>
          <w:sz w:val="18"/>
          <w:szCs w:val="18"/>
          <w:color w:val="auto"/>
        </w:rPr>
      </w:pPr>
    </w:p>
    <w:p>
      <w:pPr>
        <w:jc w:val="both"/>
        <w:ind w:left="325" w:hanging="324"/>
        <w:spacing w:after="0" w:line="224"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from anywhere in the world except those places listed on the United States State Department Bureau of Consular Affairs Travel Warnings list at the time of the occurrence. The occurrence must include a demand for ransom payment which would be paid by you or a family member in exchange for the release of the kidnapped person(s).</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8"/>
          <w:szCs w:val="18"/>
          <w:color w:val="auto"/>
        </w:rPr>
        <w:t>"Kidnap expenses" means the reasonable costs for:</w:t>
      </w:r>
    </w:p>
    <w:p>
      <w:pPr>
        <w:spacing w:after="0" w:line="185" w:lineRule="exact"/>
        <w:rPr>
          <w:sz w:val="20"/>
          <w:szCs w:val="20"/>
          <w:color w:val="auto"/>
        </w:rPr>
      </w:pPr>
    </w:p>
    <w:p>
      <w:pPr>
        <w:ind w:left="325" w:hanging="324"/>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professional negotiator;</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professional security consultant;</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professional security guard services;</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professional public relations consultant;</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travel, meals, lodging and phone expenses incurred by you or a family member;</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advertising, communications and recording equipment;</w:t>
      </w:r>
    </w:p>
    <w:p>
      <w:pPr>
        <w:spacing w:after="0" w:line="184" w:lineRule="exact"/>
        <w:rPr>
          <w:rFonts w:ascii="Arial" w:cs="Arial" w:eastAsia="Arial" w:hAnsi="Arial"/>
          <w:sz w:val="18"/>
          <w:szCs w:val="18"/>
          <w:color w:val="auto"/>
        </w:rPr>
      </w:pPr>
    </w:p>
    <w:p>
      <w:pPr>
        <w:ind w:left="325" w:right="360" w:hanging="324"/>
        <w:spacing w:after="0" w:line="235"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related medical, cosmetic, psychiatric and dental expenses incurred by a kidnapped person within 12 months from that person's release;</w:t>
      </w:r>
    </w:p>
    <w:p>
      <w:pPr>
        <w:spacing w:after="0" w:line="161" w:lineRule="exact"/>
        <w:rPr>
          <w:rFonts w:ascii="Arial" w:cs="Arial" w:eastAsia="Arial" w:hAnsi="Arial"/>
          <w:sz w:val="18"/>
          <w:szCs w:val="18"/>
          <w:color w:val="auto"/>
        </w:rPr>
      </w:pPr>
    </w:p>
    <w:p>
      <w:pPr>
        <w:ind w:left="325" w:hanging="324"/>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attorneys fees;</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professional forensic analyst;</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lost by you or a family member, up to $25,000.</w:t>
      </w:r>
    </w:p>
    <w:p>
      <w:pPr>
        <w:spacing w:after="0" w:line="185" w:lineRule="exact"/>
        <w:rPr>
          <w:sz w:val="20"/>
          <w:szCs w:val="20"/>
          <w:color w:val="auto"/>
        </w:rPr>
      </w:pPr>
    </w:p>
    <w:p>
      <w:pPr>
        <w:ind w:left="5"/>
        <w:spacing w:after="0"/>
        <w:rPr>
          <w:sz w:val="20"/>
          <w:szCs w:val="20"/>
          <w:color w:val="auto"/>
        </w:rPr>
      </w:pPr>
      <w:r>
        <w:rPr>
          <w:rFonts w:ascii="Arial" w:cs="Arial" w:eastAsia="Arial" w:hAnsi="Arial"/>
          <w:sz w:val="18"/>
          <w:szCs w:val="18"/>
          <w:color w:val="auto"/>
        </w:rPr>
        <w:t>However, "kidnap expenses" does not include expenses incurred due to any kidnap and ransom occurrence caused by:</w:t>
      </w:r>
    </w:p>
    <w:p>
      <w:pPr>
        <w:spacing w:after="0" w:line="185" w:lineRule="exact"/>
        <w:rPr>
          <w:sz w:val="20"/>
          <w:szCs w:val="20"/>
          <w:color w:val="auto"/>
        </w:rPr>
      </w:pPr>
    </w:p>
    <w:p>
      <w:pPr>
        <w:ind w:left="325" w:hanging="324"/>
        <w:spacing w:after="0"/>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or a family member;</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relative;</w:t>
      </w:r>
    </w:p>
    <w:p>
      <w:pPr>
        <w:spacing w:after="0" w:line="184" w:lineRule="exact"/>
        <w:rPr>
          <w:rFonts w:ascii="Arial" w:cs="Arial" w:eastAsia="Arial" w:hAnsi="Arial"/>
          <w:sz w:val="18"/>
          <w:szCs w:val="18"/>
          <w:color w:val="auto"/>
        </w:rPr>
      </w:pPr>
    </w:p>
    <w:p>
      <w:pPr>
        <w:ind w:left="325" w:hanging="324"/>
        <w:spacing w:after="0"/>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guardian, or former guardian of you, a family member or covered relative;</w:t>
      </w:r>
    </w:p>
    <w:p>
      <w:pPr>
        <w:sectPr>
          <w:pgSz w:w="11900" w:h="16838" w:orient="portrait"/>
          <w:cols w:equalWidth="0" w:num="1">
            <w:col w:w="9825"/>
          </w:cols>
          <w:pgMar w:left="975" w:top="1124" w:right="1099" w:bottom="1440" w:gutter="0" w:footer="0" w:header="0"/>
        </w:sectPr>
      </w:pPr>
    </w:p>
    <w:bookmarkStart w:id="44" w:name="page45"/>
    <w:bookmarkEnd w:id="44"/>
    <w:p>
      <w:pPr>
        <w:ind w:left="329" w:hanging="324"/>
        <w:spacing w:after="0"/>
        <w:tabs>
          <w:tab w:leader="none" w:pos="3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estranged spouse or domestic partner, or former spouse or domestic partner of you or a family member;</w:t>
      </w:r>
    </w:p>
    <w:p>
      <w:pPr>
        <w:spacing w:after="0" w:line="184" w:lineRule="exact"/>
        <w:rPr>
          <w:rFonts w:ascii="Arial" w:cs="Arial" w:eastAsia="Arial" w:hAnsi="Arial"/>
          <w:sz w:val="18"/>
          <w:szCs w:val="18"/>
          <w:color w:val="auto"/>
        </w:rPr>
      </w:pPr>
    </w:p>
    <w:p>
      <w:pPr>
        <w:jc w:val="both"/>
        <w:ind w:left="329" w:hanging="324"/>
        <w:spacing w:after="0" w:line="224" w:lineRule="auto"/>
        <w:tabs>
          <w:tab w:leader="none" w:pos="3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unrelated to you or a family member who lives with you or a family member or has ever lived with you or a family member for 6 or more months, other than a domestic employee, residential staff, or a person employed by you or a family member for farm work; or</w:t>
      </w:r>
    </w:p>
    <w:p>
      <w:pPr>
        <w:spacing w:after="0" w:line="162" w:lineRule="exact"/>
        <w:rPr>
          <w:rFonts w:ascii="Arial" w:cs="Arial" w:eastAsia="Arial" w:hAnsi="Arial"/>
          <w:sz w:val="18"/>
          <w:szCs w:val="18"/>
          <w:color w:val="auto"/>
        </w:rPr>
      </w:pPr>
    </w:p>
    <w:p>
      <w:pPr>
        <w:ind w:left="329" w:hanging="324"/>
        <w:spacing w:after="0"/>
        <w:tabs>
          <w:tab w:leader="none" w:pos="3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civil authority,</w:t>
      </w:r>
    </w:p>
    <w:p>
      <w:pPr>
        <w:spacing w:after="0" w:line="184" w:lineRule="exact"/>
        <w:rPr>
          <w:rFonts w:ascii="Arial" w:cs="Arial" w:eastAsia="Arial" w:hAnsi="Arial"/>
          <w:sz w:val="18"/>
          <w:szCs w:val="18"/>
          <w:color w:val="auto"/>
        </w:rPr>
      </w:pPr>
    </w:p>
    <w:p>
      <w:pPr>
        <w:ind w:left="969" w:hanging="316"/>
        <w:spacing w:after="0"/>
        <w:tabs>
          <w:tab w:leader="none" w:pos="969" w:val="left"/>
        </w:tabs>
        <w:numPr>
          <w:ilvl w:val="1"/>
          <w:numId w:val="32"/>
        </w:numPr>
        <w:rPr>
          <w:rFonts w:ascii="Courier New" w:cs="Courier New" w:eastAsia="Courier New" w:hAnsi="Courier New"/>
          <w:sz w:val="18"/>
          <w:szCs w:val="18"/>
          <w:color w:val="auto"/>
        </w:rPr>
      </w:pPr>
      <w:r>
        <w:rPr>
          <w:rFonts w:ascii="Arial" w:cs="Arial" w:eastAsia="Arial" w:hAnsi="Arial"/>
          <w:sz w:val="18"/>
          <w:szCs w:val="18"/>
          <w:color w:val="auto"/>
        </w:rPr>
        <w:t>or any person acting on behalf of any of the above, whether acting alone or in collusion with others.</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17"/>
          <w:szCs w:val="17"/>
          <w:color w:val="auto"/>
        </w:rPr>
        <w:t>"Covered relative" means the following relatives of you, or a spouse or domestic partner who lives with you, or any family member:</w:t>
      </w:r>
    </w:p>
    <w:p>
      <w:pPr>
        <w:spacing w:after="0" w:line="196" w:lineRule="exact"/>
        <w:rPr>
          <w:sz w:val="20"/>
          <w:szCs w:val="20"/>
          <w:color w:val="auto"/>
        </w:rPr>
      </w:pPr>
    </w:p>
    <w:p>
      <w:pPr>
        <w:ind w:left="329" w:hanging="324"/>
        <w:spacing w:after="0"/>
        <w:tabs>
          <w:tab w:leader="none" w:pos="3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children, their children or other descendents of theirs;</w:t>
      </w:r>
    </w:p>
    <w:p>
      <w:pPr>
        <w:spacing w:after="0" w:line="184" w:lineRule="exact"/>
        <w:rPr>
          <w:rFonts w:ascii="Arial" w:cs="Arial" w:eastAsia="Arial" w:hAnsi="Arial"/>
          <w:sz w:val="18"/>
          <w:szCs w:val="18"/>
          <w:color w:val="auto"/>
        </w:rPr>
      </w:pPr>
    </w:p>
    <w:p>
      <w:pPr>
        <w:ind w:left="329" w:hanging="324"/>
        <w:spacing w:after="0"/>
        <w:tabs>
          <w:tab w:leader="none" w:pos="3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parents, grandparents or other ancestors of theirs; or</w:t>
      </w:r>
    </w:p>
    <w:p>
      <w:pPr>
        <w:spacing w:after="0" w:line="184" w:lineRule="exact"/>
        <w:rPr>
          <w:rFonts w:ascii="Arial" w:cs="Arial" w:eastAsia="Arial" w:hAnsi="Arial"/>
          <w:sz w:val="18"/>
          <w:szCs w:val="18"/>
          <w:color w:val="auto"/>
        </w:rPr>
      </w:pPr>
    </w:p>
    <w:p>
      <w:pPr>
        <w:ind w:left="329" w:hanging="324"/>
        <w:spacing w:after="0"/>
        <w:tabs>
          <w:tab w:leader="none" w:pos="3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siblings, their children or other descendents of theirs;</w:t>
      </w:r>
    </w:p>
    <w:p>
      <w:pPr>
        <w:spacing w:after="0" w:line="185" w:lineRule="exact"/>
        <w:rPr>
          <w:sz w:val="20"/>
          <w:szCs w:val="20"/>
          <w:color w:val="auto"/>
        </w:rPr>
      </w:pPr>
    </w:p>
    <w:p>
      <w:pPr>
        <w:ind w:left="9" w:right="120" w:firstLine="4"/>
        <w:spacing w:after="0" w:line="235" w:lineRule="auto"/>
        <w:rPr>
          <w:sz w:val="20"/>
          <w:szCs w:val="20"/>
          <w:color w:val="auto"/>
        </w:rPr>
      </w:pPr>
      <w:r>
        <w:rPr>
          <w:rFonts w:ascii="Arial" w:cs="Arial" w:eastAsia="Arial" w:hAnsi="Arial"/>
          <w:sz w:val="18"/>
          <w:szCs w:val="18"/>
          <w:color w:val="auto"/>
        </w:rPr>
        <w:t>who do not live with you, including spouses or domestic partners of all of the above. Parents, grandparents and other ancestors include adoptive parents, stepparents and stepgrandparents.</w:t>
      </w:r>
    </w:p>
    <w:p>
      <w:pPr>
        <w:spacing w:after="0" w:line="158" w:lineRule="exact"/>
        <w:rPr>
          <w:sz w:val="20"/>
          <w:szCs w:val="20"/>
          <w:color w:val="auto"/>
        </w:rPr>
      </w:pPr>
    </w:p>
    <w:p>
      <w:pPr>
        <w:jc w:val="both"/>
        <w:ind w:left="9" w:firstLine="11"/>
        <w:spacing w:after="0" w:line="220" w:lineRule="auto"/>
        <w:rPr>
          <w:sz w:val="20"/>
          <w:szCs w:val="20"/>
          <w:color w:val="auto"/>
        </w:rPr>
      </w:pPr>
      <w:r>
        <w:rPr>
          <w:rFonts w:ascii="Arial" w:cs="Arial" w:eastAsia="Arial" w:hAnsi="Arial"/>
          <w:sz w:val="18"/>
          <w:szCs w:val="18"/>
          <w:b w:val="1"/>
          <w:bCs w:val="1"/>
          <w:color w:val="auto"/>
        </w:rPr>
        <w:t xml:space="preserve">Reputational injury. </w:t>
      </w:r>
      <w:r>
        <w:rPr>
          <w:rFonts w:ascii="Arial" w:cs="Arial" w:eastAsia="Arial" w:hAnsi="Arial"/>
          <w:sz w:val="18"/>
          <w:szCs w:val="18"/>
          <w:color w:val="auto"/>
        </w:rPr>
        <w:t>If we are defending you or a family member in a suit seeking covered damages, we will pay reasonable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fees or expenses that you or a family member incur for services provided by a reputation management firm to minimize potential injury to the reputation of you or a family member solely as a result of personal injury or property damage, caused by an occurrence if:</w:t>
      </w:r>
    </w:p>
    <w:p>
      <w:pPr>
        <w:spacing w:after="0" w:line="163" w:lineRule="exact"/>
        <w:rPr>
          <w:sz w:val="20"/>
          <w:szCs w:val="20"/>
          <w:color w:val="auto"/>
        </w:rPr>
      </w:pPr>
    </w:p>
    <w:p>
      <w:pPr>
        <w:ind w:left="329" w:hanging="329"/>
        <w:spacing w:after="0" w:line="235" w:lineRule="auto"/>
        <w:tabs>
          <w:tab w:leader="none" w:pos="3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reputational injury is reported to us as soon as reasonably possible but not later than 30 days after the personal injury or property damage occurrence; and</w:t>
      </w:r>
    </w:p>
    <w:p>
      <w:pPr>
        <w:spacing w:after="0" w:line="161" w:lineRule="exact"/>
        <w:rPr>
          <w:rFonts w:ascii="Arial" w:cs="Arial" w:eastAsia="Arial" w:hAnsi="Arial"/>
          <w:sz w:val="18"/>
          <w:szCs w:val="18"/>
          <w:color w:val="auto"/>
        </w:rPr>
      </w:pPr>
    </w:p>
    <w:p>
      <w:pPr>
        <w:ind w:left="329" w:hanging="329"/>
        <w:spacing w:after="0" w:line="235" w:lineRule="auto"/>
        <w:tabs>
          <w:tab w:leader="none" w:pos="3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obtain approval of the reputation management firm from us before incurring any fees or expenses, unless stated otherwise or an exclusion applies. There is no deductible for this coverage.</w:t>
      </w:r>
    </w:p>
    <w:p>
      <w:pPr>
        <w:spacing w:after="0" w:line="162" w:lineRule="exact"/>
        <w:rPr>
          <w:sz w:val="20"/>
          <w:szCs w:val="20"/>
          <w:color w:val="auto"/>
        </w:rPr>
      </w:pPr>
    </w:p>
    <w:p>
      <w:pPr>
        <w:jc w:val="both"/>
        <w:ind w:left="9" w:firstLine="4"/>
        <w:spacing w:after="0" w:line="235" w:lineRule="auto"/>
        <w:rPr>
          <w:sz w:val="20"/>
          <w:szCs w:val="20"/>
          <w:color w:val="auto"/>
        </w:rPr>
      </w:pPr>
      <w:r>
        <w:rPr>
          <w:rFonts w:ascii="Arial" w:cs="Arial" w:eastAsia="Arial" w:hAnsi="Arial"/>
          <w:sz w:val="18"/>
          <w:szCs w:val="18"/>
          <w:color w:val="auto"/>
        </w:rPr>
        <w:t>A Reputation management firm means a professional public relations consulting firm, a professional security consulting firm or a professional media management consulting firm.</w:t>
      </w:r>
    </w:p>
    <w:p>
      <w:pPr>
        <w:spacing w:after="0" w:line="162" w:lineRule="exact"/>
        <w:rPr>
          <w:sz w:val="20"/>
          <w:szCs w:val="20"/>
          <w:color w:val="auto"/>
        </w:rPr>
      </w:pPr>
    </w:p>
    <w:p>
      <w:pPr>
        <w:jc w:val="both"/>
        <w:ind w:left="9" w:firstLine="4"/>
        <w:spacing w:after="0" w:line="224" w:lineRule="auto"/>
        <w:rPr>
          <w:sz w:val="20"/>
          <w:szCs w:val="20"/>
          <w:color w:val="auto"/>
        </w:rPr>
      </w:pPr>
      <w:r>
        <w:rPr>
          <w:rFonts w:ascii="Arial" w:cs="Arial" w:eastAsia="Arial" w:hAnsi="Arial"/>
          <w:sz w:val="18"/>
          <w:szCs w:val="18"/>
          <w:color w:val="auto"/>
        </w:rPr>
        <w:t>The maximum amount of coverage for Reputational injury available for any one occurrence is $25,000 or the amount shown in the Coverage Summary. We will not pay more than this amount in any one occurrence for covered damages regardless of how many claims or people are involved in the occurrence.</w:t>
      </w:r>
    </w:p>
    <w:p>
      <w:pPr>
        <w:spacing w:after="0" w:line="163" w:lineRule="exact"/>
        <w:rPr>
          <w:sz w:val="20"/>
          <w:szCs w:val="20"/>
          <w:color w:val="auto"/>
        </w:rPr>
      </w:pPr>
    </w:p>
    <w:p>
      <w:pPr>
        <w:jc w:val="both"/>
        <w:ind w:left="9" w:hanging="1"/>
        <w:spacing w:after="0" w:line="224" w:lineRule="auto"/>
        <w:rPr>
          <w:sz w:val="20"/>
          <w:szCs w:val="20"/>
          <w:color w:val="auto"/>
        </w:rPr>
      </w:pPr>
      <w:r>
        <w:rPr>
          <w:rFonts w:ascii="Arial" w:cs="Arial" w:eastAsia="Arial" w:hAnsi="Arial"/>
          <w:sz w:val="18"/>
          <w:szCs w:val="18"/>
          <w:color w:val="auto"/>
        </w:rPr>
        <w:t>The maximum annual amount of coverage for Reputational injury shown in the Coverage Summary is the most we will pay for the sum of all covered damages you or a family member inrur during the policy period regardless of the number of claims, people, or occurrences.</w:t>
      </w:r>
    </w:p>
    <w:p>
      <w:pPr>
        <w:spacing w:after="0" w:line="163" w:lineRule="exact"/>
        <w:rPr>
          <w:sz w:val="20"/>
          <w:szCs w:val="20"/>
          <w:color w:val="auto"/>
        </w:rPr>
      </w:pPr>
    </w:p>
    <w:p>
      <w:pPr>
        <w:ind w:left="9"/>
        <w:spacing w:after="0"/>
        <w:rPr>
          <w:sz w:val="20"/>
          <w:szCs w:val="20"/>
          <w:color w:val="auto"/>
        </w:rPr>
      </w:pPr>
      <w:r>
        <w:rPr>
          <w:rFonts w:ascii="Arial" w:cs="Arial" w:eastAsia="Arial" w:hAnsi="Arial"/>
          <w:sz w:val="17"/>
          <w:szCs w:val="17"/>
          <w:color w:val="auto"/>
        </w:rPr>
        <w:t>This coverage does not apply to loss caused by a wrongful employment act covered by Employment Practices Liability Insurance.</w:t>
      </w:r>
    </w:p>
    <w:p>
      <w:pPr>
        <w:sectPr>
          <w:pgSz w:w="11900" w:h="16838" w:orient="portrait"/>
          <w:cols w:equalWidth="0" w:num="1">
            <w:col w:w="9829"/>
          </w:cols>
          <w:pgMar w:left="971" w:top="1124" w:right="1099" w:bottom="1440" w:gutter="0" w:footer="0" w:header="0"/>
        </w:sectPr>
      </w:pPr>
    </w:p>
    <w:bookmarkStart w:id="45" w:name="page46"/>
    <w:bookmarkEnd w:id="45"/>
    <w:p>
      <w:pPr>
        <w:ind w:left="14"/>
        <w:spacing w:after="0"/>
        <w:rPr>
          <w:sz w:val="20"/>
          <w:szCs w:val="20"/>
          <w:color w:val="auto"/>
        </w:rPr>
      </w:pPr>
      <w:r>
        <w:rPr>
          <w:rFonts w:ascii="Arial" w:cs="Arial" w:eastAsia="Arial" w:hAnsi="Arial"/>
          <w:sz w:val="18"/>
          <w:szCs w:val="18"/>
          <w:b w:val="1"/>
          <w:bCs w:val="1"/>
          <w:i w:val="1"/>
          <w:iCs w:val="1"/>
          <w:color w:val="auto"/>
        </w:rPr>
        <w:t>Exclusions</w:t>
      </w:r>
    </w:p>
    <w:p>
      <w:pPr>
        <w:spacing w:after="0" w:line="185" w:lineRule="exact"/>
        <w:rPr>
          <w:sz w:val="20"/>
          <w:szCs w:val="20"/>
          <w:color w:val="auto"/>
        </w:rPr>
      </w:pPr>
    </w:p>
    <w:p>
      <w:pPr>
        <w:ind w:left="14"/>
        <w:spacing w:after="0"/>
        <w:rPr>
          <w:sz w:val="20"/>
          <w:szCs w:val="20"/>
          <w:color w:val="auto"/>
        </w:rPr>
      </w:pPr>
      <w:r>
        <w:rPr>
          <w:rFonts w:ascii="Arial" w:cs="Arial" w:eastAsia="Arial" w:hAnsi="Arial"/>
          <w:sz w:val="18"/>
          <w:szCs w:val="18"/>
          <w:color w:val="auto"/>
        </w:rPr>
        <w:t>These exclusions apply to your Group Personal Excess Liability Coverage, unless stated otherwise.</w:t>
      </w:r>
    </w:p>
    <w:p>
      <w:pPr>
        <w:spacing w:after="0" w:line="181" w:lineRule="exact"/>
        <w:rPr>
          <w:sz w:val="20"/>
          <w:szCs w:val="20"/>
          <w:color w:val="auto"/>
        </w:rPr>
      </w:pPr>
    </w:p>
    <w:p>
      <w:pPr>
        <w:jc w:val="both"/>
        <w:ind w:left="14" w:hanging="30"/>
        <w:spacing w:after="0" w:line="226"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We do not cover any damages arising out of the ownership, maintenance, use, loading, unloading, or towing of any aircraft,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aircraft chartered with crew by you. We do not cover any property damages to aircraft rented to, owned by, or in the care, custody or control of a covered person.</w:t>
      </w:r>
    </w:p>
    <w:p>
      <w:pPr>
        <w:spacing w:after="0" w:line="158" w:lineRule="exact"/>
        <w:rPr>
          <w:sz w:val="20"/>
          <w:szCs w:val="20"/>
          <w:color w:val="auto"/>
        </w:rPr>
      </w:pPr>
    </w:p>
    <w:p>
      <w:pPr>
        <w:jc w:val="both"/>
        <w:ind w:left="14" w:firstLine="2"/>
        <w:spacing w:after="0" w:line="226" w:lineRule="auto"/>
        <w:rPr>
          <w:sz w:val="20"/>
          <w:szCs w:val="20"/>
          <w:color w:val="auto"/>
        </w:rPr>
      </w:pPr>
      <w:r>
        <w:rPr>
          <w:rFonts w:ascii="Arial" w:cs="Arial" w:eastAsia="Arial" w:hAnsi="Arial"/>
          <w:sz w:val="18"/>
          <w:szCs w:val="18"/>
          <w:b w:val="1"/>
          <w:bCs w:val="1"/>
          <w:color w:val="auto"/>
        </w:rPr>
        <w:t xml:space="preserve">Hovercraft. </w:t>
      </w:r>
      <w:r>
        <w:rPr>
          <w:rFonts w:ascii="Arial" w:cs="Arial" w:eastAsia="Arial" w:hAnsi="Arial"/>
          <w:sz w:val="18"/>
          <w:szCs w:val="18"/>
          <w:color w:val="auto"/>
        </w:rPr>
        <w:t>We do not cover any damages arising out of the ownership, maintenance, use, loading, unloading or towing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hovercraft. We do not cover any property damages to hovercraft rented to, owned by, or in the care, custody or control of a covered person.</w:t>
      </w:r>
    </w:p>
    <w:p>
      <w:pPr>
        <w:spacing w:after="0" w:line="158" w:lineRule="exact"/>
        <w:rPr>
          <w:sz w:val="20"/>
          <w:szCs w:val="20"/>
          <w:color w:val="auto"/>
        </w:rPr>
      </w:pPr>
    </w:p>
    <w:p>
      <w:pPr>
        <w:jc w:val="both"/>
        <w:ind w:left="14" w:firstLine="2"/>
        <w:spacing w:after="0" w:line="237" w:lineRule="auto"/>
        <w:rPr>
          <w:sz w:val="20"/>
          <w:szCs w:val="20"/>
          <w:color w:val="auto"/>
        </w:rPr>
      </w:pPr>
      <w:r>
        <w:rPr>
          <w:rFonts w:ascii="Arial" w:cs="Arial" w:eastAsia="Arial" w:hAnsi="Arial"/>
          <w:sz w:val="18"/>
          <w:szCs w:val="18"/>
          <w:b w:val="1"/>
          <w:bCs w:val="1"/>
          <w:color w:val="auto"/>
        </w:rPr>
        <w:t xml:space="preserve">Motorized land vehicle racing or track usage. </w:t>
      </w:r>
      <w:r>
        <w:rPr>
          <w:rFonts w:ascii="Arial" w:cs="Arial" w:eastAsia="Arial" w:hAnsi="Arial"/>
          <w:sz w:val="18"/>
          <w:szCs w:val="18"/>
          <w:color w:val="auto"/>
        </w:rPr>
        <w:t>We do not cover any damages arising out of the ownership, maintenance or use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motorized land vehicle:</w:t>
      </w:r>
    </w:p>
    <w:p>
      <w:pPr>
        <w:spacing w:after="0" w:line="162" w:lineRule="exact"/>
        <w:rPr>
          <w:sz w:val="20"/>
          <w:szCs w:val="20"/>
          <w:color w:val="auto"/>
        </w:rPr>
      </w:pPr>
    </w:p>
    <w:p>
      <w:pPr>
        <w:ind w:left="334" w:right="580" w:hanging="324"/>
        <w:spacing w:after="0" w:line="235" w:lineRule="auto"/>
        <w:tabs>
          <w:tab w:leader="none" w:pos="3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any instruction, practice, preparation for, or participation in, any competitive, prearranged or organized racing, speed contest, rally, gymkhana, sports event, stunting activity, or timed event of any kind; or</w:t>
      </w:r>
    </w:p>
    <w:p>
      <w:pPr>
        <w:spacing w:after="0" w:line="161" w:lineRule="exact"/>
        <w:rPr>
          <w:rFonts w:ascii="Arial" w:cs="Arial" w:eastAsia="Arial" w:hAnsi="Arial"/>
          <w:sz w:val="18"/>
          <w:szCs w:val="18"/>
          <w:color w:val="auto"/>
        </w:rPr>
      </w:pPr>
    </w:p>
    <w:p>
      <w:pPr>
        <w:ind w:left="334" w:hanging="324"/>
        <w:spacing w:after="0"/>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 racetrack, test track or other course of any kind.</w:t>
      </w:r>
    </w:p>
    <w:p>
      <w:pPr>
        <w:spacing w:after="0" w:line="181" w:lineRule="exact"/>
        <w:rPr>
          <w:sz w:val="20"/>
          <w:szCs w:val="20"/>
          <w:color w:val="auto"/>
        </w:rPr>
      </w:pPr>
    </w:p>
    <w:p>
      <w:pPr>
        <w:jc w:val="both"/>
        <w:ind w:left="14"/>
        <w:spacing w:after="0" w:line="233" w:lineRule="auto"/>
        <w:rPr>
          <w:sz w:val="20"/>
          <w:szCs w:val="20"/>
          <w:color w:val="auto"/>
        </w:rPr>
      </w:pPr>
      <w:r>
        <w:rPr>
          <w:rFonts w:ascii="Arial" w:cs="Arial" w:eastAsia="Arial" w:hAnsi="Arial"/>
          <w:sz w:val="17"/>
          <w:szCs w:val="17"/>
          <w:b w:val="1"/>
          <w:bCs w:val="1"/>
          <w:color w:val="auto"/>
        </w:rPr>
        <w:t xml:space="preserve">Watercraft and aircraft racing or track usage. </w:t>
      </w:r>
      <w:r>
        <w:rPr>
          <w:rFonts w:ascii="Arial" w:cs="Arial" w:eastAsia="Arial" w:hAnsi="Arial"/>
          <w:sz w:val="17"/>
          <w:szCs w:val="17"/>
          <w:color w:val="auto"/>
        </w:rPr>
        <w:t>We do not cover any damages arising out of the ownership, maintenance or use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watercraft or aircraft during any instruction, practice, preparation for, or participation in, any competitive, prearranged or organized racing, speed contest, rally, sports event, stunting activity or timed event of any kind. This exclusion does not apply to you or a family member for sailboatracing even if the sailboat is equippw with an auxiliary motor.</w:t>
      </w:r>
    </w:p>
    <w:p>
      <w:pPr>
        <w:spacing w:after="0" w:line="159" w:lineRule="exact"/>
        <w:rPr>
          <w:sz w:val="20"/>
          <w:szCs w:val="20"/>
          <w:color w:val="auto"/>
        </w:rPr>
      </w:pPr>
    </w:p>
    <w:p>
      <w:pPr>
        <w:jc w:val="both"/>
        <w:ind w:left="14" w:firstLine="3"/>
        <w:spacing w:after="0" w:line="217" w:lineRule="auto"/>
        <w:rPr>
          <w:sz w:val="20"/>
          <w:szCs w:val="20"/>
          <w:color w:val="auto"/>
        </w:rPr>
      </w:pPr>
      <w:r>
        <w:rPr>
          <w:rFonts w:ascii="Arial" w:cs="Arial" w:eastAsia="Arial" w:hAnsi="Arial"/>
          <w:sz w:val="18"/>
          <w:szCs w:val="18"/>
          <w:b w:val="1"/>
          <w:bCs w:val="1"/>
          <w:color w:val="auto"/>
        </w:rPr>
        <w:t xml:space="preserve">Motorized land vehicle-related jobs. </w:t>
      </w:r>
      <w:r>
        <w:rPr>
          <w:rFonts w:ascii="Arial" w:cs="Arial" w:eastAsia="Arial" w:hAnsi="Arial"/>
          <w:sz w:val="18"/>
          <w:szCs w:val="18"/>
          <w:color w:val="auto"/>
        </w:rPr>
        <w:t>We do not cover any damages arising out of the ownership, maintenance, or use of a motorized</w:t>
      </w:r>
      <w:r>
        <w:rPr>
          <w:rFonts w:ascii="Arial" w:cs="Arial" w:eastAsia="Arial" w:hAnsi="Arial"/>
          <w:sz w:val="18"/>
          <w:szCs w:val="18"/>
          <w:b w:val="1"/>
          <w:bCs w:val="1"/>
          <w:color w:val="auto"/>
        </w:rPr>
        <w:t xml:space="preserve"> </w:t>
      </w:r>
      <w:r>
        <w:rPr>
          <w:rFonts w:ascii="Arial" w:cs="Arial" w:eastAsia="Arial" w:hAnsi="Arial"/>
          <w:sz w:val="18"/>
          <w:szCs w:val="18"/>
          <w:color w:val="auto"/>
        </w:rPr>
        <w:t>land vehicle by any person who is employed or otherwise engaged in the business of selling, repairing, servicing, storing, parking, testing, or delivering motorized land vehicles. This exclusion does not apply to you, a family member, or your employee or an employee of a family member for damages arising out of the ownership, maintenance or use of a motorized land vehicle owned by, rented to, or furnished to you or a family member.</w:t>
      </w:r>
    </w:p>
    <w:p>
      <w:pPr>
        <w:spacing w:after="0" w:line="158" w:lineRule="exact"/>
        <w:rPr>
          <w:sz w:val="20"/>
          <w:szCs w:val="20"/>
          <w:color w:val="auto"/>
        </w:rPr>
      </w:pPr>
    </w:p>
    <w:p>
      <w:pPr>
        <w:jc w:val="both"/>
        <w:ind w:left="14" w:firstLine="4"/>
        <w:spacing w:after="0" w:line="217" w:lineRule="auto"/>
        <w:rPr>
          <w:sz w:val="20"/>
          <w:szCs w:val="20"/>
          <w:color w:val="auto"/>
        </w:rPr>
      </w:pPr>
      <w:r>
        <w:rPr>
          <w:rFonts w:ascii="Arial" w:cs="Arial" w:eastAsia="Arial" w:hAnsi="Arial"/>
          <w:sz w:val="18"/>
          <w:szCs w:val="18"/>
          <w:b w:val="1"/>
          <w:bCs w:val="1"/>
          <w:color w:val="auto"/>
        </w:rPr>
        <w:t xml:space="preserve">Watercraft related jobs. </w:t>
      </w:r>
      <w:r>
        <w:rPr>
          <w:rFonts w:ascii="Arial" w:cs="Arial" w:eastAsia="Arial" w:hAnsi="Arial"/>
          <w:sz w:val="18"/>
          <w:szCs w:val="18"/>
          <w:color w:val="auto"/>
        </w:rPr>
        <w:t>We do not cover any damages arising out of the ownership, maintenance, or use of a watercraft by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who is engaged by or employed by, or is operating a marina, boat repair yard, shipyard, yacht club, boat sales agency, boat service station, or other similar organization. This exclusion does not apply to damages arising out of the ownership, maintenance, or use of a watercraft by you, a family member, or your or a family member's captain or full time paid crew member maintaining or using this watercraft with permission from you or a family member.</w:t>
      </w:r>
    </w:p>
    <w:p>
      <w:pPr>
        <w:spacing w:after="0" w:line="158" w:lineRule="exact"/>
        <w:rPr>
          <w:sz w:val="20"/>
          <w:szCs w:val="20"/>
          <w:color w:val="auto"/>
        </w:rPr>
      </w:pPr>
    </w:p>
    <w:p>
      <w:pPr>
        <w:jc w:val="both"/>
        <w:ind w:left="14" w:firstLine="4"/>
        <w:spacing w:after="0" w:line="263" w:lineRule="auto"/>
        <w:rPr>
          <w:sz w:val="20"/>
          <w:szCs w:val="20"/>
          <w:color w:val="auto"/>
        </w:rPr>
      </w:pPr>
      <w:r>
        <w:rPr>
          <w:rFonts w:ascii="Arial" w:cs="Arial" w:eastAsia="Arial" w:hAnsi="Arial"/>
          <w:sz w:val="17"/>
          <w:szCs w:val="17"/>
          <w:b w:val="1"/>
          <w:bCs w:val="1"/>
          <w:color w:val="auto"/>
        </w:rPr>
        <w:t xml:space="preserve">Motorized land vehicle and watercraft loading. </w:t>
      </w:r>
      <w:r>
        <w:rPr>
          <w:rFonts w:ascii="Arial" w:cs="Arial" w:eastAsia="Arial" w:hAnsi="Arial"/>
          <w:sz w:val="17"/>
          <w:szCs w:val="17"/>
          <w:color w:val="auto"/>
        </w:rPr>
        <w:t>We do not cover any person or organization, other than you or a family member or</w:t>
      </w:r>
      <w:r>
        <w:rPr>
          <w:rFonts w:ascii="Arial" w:cs="Arial" w:eastAsia="Arial" w:hAnsi="Arial"/>
          <w:sz w:val="17"/>
          <w:szCs w:val="17"/>
          <w:b w:val="1"/>
          <w:bCs w:val="1"/>
          <w:color w:val="auto"/>
        </w:rPr>
        <w:t xml:space="preserve"> </w:t>
      </w:r>
      <w:r>
        <w:rPr>
          <w:rFonts w:ascii="Arial" w:cs="Arial" w:eastAsia="Arial" w:hAnsi="Arial"/>
          <w:sz w:val="17"/>
          <w:szCs w:val="17"/>
          <w:color w:val="auto"/>
        </w:rPr>
        <w:t>your or a family member's employees, with respect to the loading or unloading of motorized land vehicles or watercraft.</w:t>
      </w:r>
    </w:p>
    <w:p>
      <w:pPr>
        <w:spacing w:after="0" w:line="139" w:lineRule="exact"/>
        <w:rPr>
          <w:sz w:val="20"/>
          <w:szCs w:val="20"/>
          <w:color w:val="auto"/>
        </w:rPr>
      </w:pPr>
    </w:p>
    <w:p>
      <w:pPr>
        <w:ind w:left="14"/>
        <w:spacing w:after="0"/>
        <w:rPr>
          <w:sz w:val="20"/>
          <w:szCs w:val="20"/>
          <w:color w:val="auto"/>
        </w:rPr>
      </w:pPr>
      <w:r>
        <w:rPr>
          <w:rFonts w:ascii="Arial" w:cs="Arial" w:eastAsia="Arial" w:hAnsi="Arial"/>
          <w:sz w:val="18"/>
          <w:szCs w:val="18"/>
          <w:b w:val="1"/>
          <w:bCs w:val="1"/>
          <w:color w:val="auto"/>
        </w:rPr>
        <w:t xml:space="preserve">Workers' compensation or disability. </w:t>
      </w:r>
      <w:r>
        <w:rPr>
          <w:rFonts w:ascii="Arial" w:cs="Arial" w:eastAsia="Arial" w:hAnsi="Arial"/>
          <w:sz w:val="18"/>
          <w:szCs w:val="18"/>
          <w:color w:val="auto"/>
        </w:rPr>
        <w:t>We do not cover any damages a covered person is legally:</w:t>
      </w:r>
    </w:p>
    <w:p>
      <w:pPr>
        <w:spacing w:after="0" w:line="189" w:lineRule="exact"/>
        <w:rPr>
          <w:sz w:val="20"/>
          <w:szCs w:val="20"/>
          <w:color w:val="auto"/>
        </w:rPr>
      </w:pPr>
    </w:p>
    <w:p>
      <w:pPr>
        <w:ind w:left="334" w:hanging="324"/>
        <w:spacing w:after="0"/>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required to provide; or</w:t>
      </w:r>
    </w:p>
    <w:p>
      <w:pPr>
        <w:spacing w:after="0" w:line="184" w:lineRule="exact"/>
        <w:rPr>
          <w:rFonts w:ascii="Arial" w:cs="Arial" w:eastAsia="Arial" w:hAnsi="Arial"/>
          <w:sz w:val="18"/>
          <w:szCs w:val="18"/>
          <w:color w:val="auto"/>
        </w:rPr>
      </w:pPr>
    </w:p>
    <w:p>
      <w:pPr>
        <w:ind w:left="974" w:hanging="316"/>
        <w:spacing w:after="0"/>
        <w:tabs>
          <w:tab w:leader="none" w:pos="974" w:val="left"/>
        </w:tabs>
        <w:numPr>
          <w:ilvl w:val="1"/>
          <w:numId w:val="36"/>
        </w:numPr>
        <w:rPr>
          <w:rFonts w:ascii="Courier New" w:cs="Courier New" w:eastAsia="Courier New" w:hAnsi="Courier New"/>
          <w:sz w:val="18"/>
          <w:szCs w:val="18"/>
          <w:color w:val="auto"/>
        </w:rPr>
      </w:pPr>
      <w:r>
        <w:rPr>
          <w:rFonts w:ascii="Arial" w:cs="Arial" w:eastAsia="Arial" w:hAnsi="Arial"/>
          <w:sz w:val="18"/>
          <w:szCs w:val="18"/>
          <w:color w:val="auto"/>
        </w:rPr>
        <w:t>voluntarily provides under any:</w:t>
      </w:r>
    </w:p>
    <w:p>
      <w:pPr>
        <w:spacing w:after="0" w:line="182" w:lineRule="exact"/>
        <w:rPr>
          <w:rFonts w:ascii="Courier New" w:cs="Courier New" w:eastAsia="Courier New" w:hAnsi="Courier New"/>
          <w:sz w:val="18"/>
          <w:szCs w:val="18"/>
          <w:color w:val="auto"/>
        </w:rPr>
      </w:pPr>
    </w:p>
    <w:p>
      <w:pPr>
        <w:ind w:left="334" w:hanging="324"/>
        <w:spacing w:after="0"/>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workers' compensation;</w:t>
      </w:r>
    </w:p>
    <w:p>
      <w:pPr>
        <w:spacing w:after="0" w:line="184" w:lineRule="exact"/>
        <w:rPr>
          <w:rFonts w:ascii="Arial" w:cs="Arial" w:eastAsia="Arial" w:hAnsi="Arial"/>
          <w:sz w:val="18"/>
          <w:szCs w:val="18"/>
          <w:color w:val="auto"/>
        </w:rPr>
      </w:pPr>
    </w:p>
    <w:p>
      <w:pPr>
        <w:ind w:left="334" w:hanging="324"/>
        <w:spacing w:after="0"/>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disability benefits;</w:t>
      </w:r>
    </w:p>
    <w:p>
      <w:pPr>
        <w:spacing w:after="0" w:line="184" w:lineRule="exact"/>
        <w:rPr>
          <w:rFonts w:ascii="Arial" w:cs="Arial" w:eastAsia="Arial" w:hAnsi="Arial"/>
          <w:sz w:val="18"/>
          <w:szCs w:val="18"/>
          <w:color w:val="auto"/>
        </w:rPr>
      </w:pPr>
    </w:p>
    <w:p>
      <w:pPr>
        <w:ind w:left="334" w:hanging="324"/>
        <w:spacing w:after="0"/>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unemployment compensation; or</w:t>
      </w:r>
    </w:p>
    <w:p>
      <w:pPr>
        <w:spacing w:after="0" w:line="184" w:lineRule="exact"/>
        <w:rPr>
          <w:rFonts w:ascii="Arial" w:cs="Arial" w:eastAsia="Arial" w:hAnsi="Arial"/>
          <w:sz w:val="18"/>
          <w:szCs w:val="18"/>
          <w:color w:val="auto"/>
        </w:rPr>
      </w:pPr>
    </w:p>
    <w:p>
      <w:pPr>
        <w:ind w:left="334" w:hanging="324"/>
        <w:spacing w:after="0"/>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similar laws.</w:t>
      </w:r>
    </w:p>
    <w:p>
      <w:pPr>
        <w:spacing w:after="0" w:line="185" w:lineRule="exact"/>
        <w:rPr>
          <w:sz w:val="20"/>
          <w:szCs w:val="20"/>
          <w:color w:val="auto"/>
        </w:rPr>
      </w:pPr>
    </w:p>
    <w:p>
      <w:pPr>
        <w:jc w:val="both"/>
        <w:ind w:left="14" w:firstLine="12"/>
        <w:spacing w:after="0" w:line="224" w:lineRule="auto"/>
        <w:rPr>
          <w:sz w:val="20"/>
          <w:szCs w:val="20"/>
          <w:color w:val="auto"/>
        </w:rPr>
      </w:pPr>
      <w:r>
        <w:rPr>
          <w:rFonts w:ascii="Arial" w:cs="Arial" w:eastAsia="Arial" w:hAnsi="Arial"/>
          <w:sz w:val="18"/>
          <w:szCs w:val="18"/>
          <w:color w:val="auto"/>
        </w:rPr>
        <w:t>But we do provide coverage in excess over any other insurance for damages you or a family member is legally required to pay for bodily injury to a domestic employee of a residence covered under the Required Primary Underlying Insurance which are not compensable under workers' compensation, unless another exclusion applies.</w:t>
      </w:r>
    </w:p>
    <w:p>
      <w:pPr>
        <w:spacing w:after="0" w:line="159" w:lineRule="exact"/>
        <w:rPr>
          <w:sz w:val="20"/>
          <w:szCs w:val="20"/>
          <w:color w:val="auto"/>
        </w:rPr>
      </w:pPr>
    </w:p>
    <w:p>
      <w:pPr>
        <w:jc w:val="both"/>
        <w:ind w:left="14"/>
        <w:spacing w:after="0" w:line="226" w:lineRule="auto"/>
        <w:rPr>
          <w:sz w:val="20"/>
          <w:szCs w:val="20"/>
          <w:color w:val="auto"/>
        </w:rPr>
      </w:pPr>
      <w:r>
        <w:rPr>
          <w:rFonts w:ascii="Arial" w:cs="Arial" w:eastAsia="Arial" w:hAnsi="Arial"/>
          <w:sz w:val="18"/>
          <w:szCs w:val="18"/>
          <w:b w:val="1"/>
          <w:bCs w:val="1"/>
          <w:color w:val="auto"/>
        </w:rPr>
        <w:t xml:space="preserve">Director's liability, </w:t>
      </w:r>
      <w:r>
        <w:rPr>
          <w:rFonts w:ascii="Arial" w:cs="Arial" w:eastAsia="Arial" w:hAnsi="Arial"/>
          <w:sz w:val="18"/>
          <w:szCs w:val="18"/>
          <w:color w:val="auto"/>
        </w:rPr>
        <w:t>We do not cover any damages for any covered person's actions or failure to act as an officer or member of a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of any corporation or organization. However, we do cover such damages if you are or a family member is an officer or member of a board of directors of a:</w:t>
      </w:r>
    </w:p>
    <w:p>
      <w:pPr>
        <w:spacing w:after="0" w:line="162" w:lineRule="exact"/>
        <w:rPr>
          <w:sz w:val="20"/>
          <w:szCs w:val="20"/>
          <w:color w:val="auto"/>
        </w:rPr>
      </w:pPr>
    </w:p>
    <w:p>
      <w:pPr>
        <w:ind w:left="314" w:hanging="314"/>
        <w:spacing w:after="0"/>
        <w:tabs>
          <w:tab w:leader="none" w:pos="3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homeowner, condominium or cooperative association; or</w:t>
      </w:r>
    </w:p>
    <w:p>
      <w:pPr>
        <w:sectPr>
          <w:pgSz w:w="11900" w:h="16838" w:orient="portrait"/>
          <w:cols w:equalWidth="0" w:num="1">
            <w:col w:w="9834"/>
          </w:cols>
          <w:pgMar w:left="966" w:top="1124" w:right="1099" w:bottom="1440" w:gutter="0" w:footer="0" w:header="0"/>
        </w:sectPr>
      </w:pPr>
    </w:p>
    <w:bookmarkStart w:id="46" w:name="page47"/>
    <w:bookmarkEnd w:id="46"/>
    <w:p>
      <w:pPr>
        <w:ind w:left="314" w:hanging="314"/>
        <w:spacing w:after="0"/>
        <w:tabs>
          <w:tab w:leader="none" w:pos="314"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for profit corporation or organization for which he or she is not compensated; unless another exclusion applies.</w:t>
      </w:r>
    </w:p>
    <w:p>
      <w:pPr>
        <w:spacing w:after="0" w:line="181" w:lineRule="exact"/>
        <w:rPr>
          <w:sz w:val="20"/>
          <w:szCs w:val="20"/>
          <w:color w:val="auto"/>
        </w:rPr>
      </w:pPr>
    </w:p>
    <w:p>
      <w:pPr>
        <w:ind w:left="14"/>
        <w:spacing w:after="0"/>
        <w:rPr>
          <w:sz w:val="20"/>
          <w:szCs w:val="20"/>
          <w:color w:val="auto"/>
        </w:rPr>
      </w:pPr>
      <w:r>
        <w:rPr>
          <w:rFonts w:ascii="Arial" w:cs="Arial" w:eastAsia="Arial" w:hAnsi="Arial"/>
          <w:sz w:val="16"/>
          <w:szCs w:val="16"/>
          <w:b w:val="1"/>
          <w:bCs w:val="1"/>
          <w:color w:val="auto"/>
        </w:rPr>
        <w:t xml:space="preserve">Damage to covered person's property. </w:t>
      </w:r>
      <w:r>
        <w:rPr>
          <w:rFonts w:ascii="Arial" w:cs="Arial" w:eastAsia="Arial" w:hAnsi="Arial"/>
          <w:sz w:val="16"/>
          <w:szCs w:val="16"/>
          <w:color w:val="auto"/>
        </w:rPr>
        <w:t>We do not cover any person for property damage to property owned by any covered person.</w:t>
      </w:r>
    </w:p>
    <w:p>
      <w:pPr>
        <w:spacing w:after="0" w:line="208" w:lineRule="exact"/>
        <w:rPr>
          <w:sz w:val="20"/>
          <w:szCs w:val="20"/>
          <w:color w:val="auto"/>
        </w:rPr>
      </w:pPr>
    </w:p>
    <w:p>
      <w:pPr>
        <w:jc w:val="both"/>
        <w:ind w:left="14" w:firstLine="1"/>
        <w:spacing w:after="0" w:line="226" w:lineRule="auto"/>
        <w:rPr>
          <w:sz w:val="20"/>
          <w:szCs w:val="20"/>
          <w:color w:val="auto"/>
        </w:rPr>
      </w:pPr>
      <w:r>
        <w:rPr>
          <w:rFonts w:ascii="Arial" w:cs="Arial" w:eastAsia="Arial" w:hAnsi="Arial"/>
          <w:sz w:val="18"/>
          <w:szCs w:val="18"/>
          <w:b w:val="1"/>
          <w:bCs w:val="1"/>
          <w:color w:val="auto"/>
        </w:rPr>
        <w:t xml:space="preserve">Damage to property </w:t>
      </w:r>
      <w:r>
        <w:rPr>
          <w:rFonts w:ascii="Arial" w:cs="Arial" w:eastAsia="Arial" w:hAnsi="Arial"/>
          <w:sz w:val="18"/>
          <w:szCs w:val="18"/>
          <w:color w:val="auto"/>
        </w:rPr>
        <w:t>in</w:t>
      </w:r>
      <w:r>
        <w:rPr>
          <w:rFonts w:ascii="Arial" w:cs="Arial" w:eastAsia="Arial" w:hAnsi="Arial"/>
          <w:sz w:val="18"/>
          <w:szCs w:val="18"/>
          <w:b w:val="1"/>
          <w:bCs w:val="1"/>
          <w:color w:val="auto"/>
        </w:rPr>
        <w:t xml:space="preserve"> your care. </w:t>
      </w:r>
      <w:r>
        <w:rPr>
          <w:rFonts w:ascii="Arial" w:cs="Arial" w:eastAsia="Arial" w:hAnsi="Arial"/>
          <w:sz w:val="18"/>
          <w:szCs w:val="18"/>
          <w:color w:val="auto"/>
        </w:rPr>
        <w:t>We do not cover any person for property damage to property rented to, occupied by, used by,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care of any covered person, to the extent that the covered person is required by contract to provide insurance. But we do cover such damages for loss caused by fire, smoke, or explosion unless another exclusion applies.</w:t>
      </w:r>
    </w:p>
    <w:p>
      <w:pPr>
        <w:spacing w:after="0" w:line="158" w:lineRule="exact"/>
        <w:rPr>
          <w:sz w:val="20"/>
          <w:szCs w:val="20"/>
          <w:color w:val="auto"/>
        </w:rPr>
      </w:pPr>
    </w:p>
    <w:p>
      <w:pPr>
        <w:jc w:val="both"/>
        <w:ind w:left="14" w:firstLine="4"/>
        <w:spacing w:after="0" w:line="217" w:lineRule="auto"/>
        <w:rPr>
          <w:sz w:val="20"/>
          <w:szCs w:val="20"/>
          <w:color w:val="auto"/>
        </w:rPr>
      </w:pPr>
      <w:r>
        <w:rPr>
          <w:rFonts w:ascii="Arial" w:cs="Arial" w:eastAsia="Arial" w:hAnsi="Arial"/>
          <w:sz w:val="18"/>
          <w:szCs w:val="18"/>
          <w:b w:val="1"/>
          <w:bCs w:val="1"/>
          <w:color w:val="auto"/>
        </w:rPr>
        <w:t xml:space="preserve">Wrongful employment act. </w:t>
      </w:r>
      <w:r>
        <w:rPr>
          <w:rFonts w:ascii="Arial" w:cs="Arial" w:eastAsia="Arial" w:hAnsi="Arial"/>
          <w:sz w:val="18"/>
          <w:szCs w:val="18"/>
          <w:color w:val="auto"/>
        </w:rPr>
        <w:t>We do not cover any damages arising out of a wrongful employment act. A wrongful employment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employment discrimination, sexual harassment, or wrongful termination of any residential staff actually or allegedly committed or attempted by a covered person while acting in the capacity as an employer, that violates applicable employment law of any federal, state, or local statute, regulation, ordinance, or common law of the United States of America, its territories or possessions, or Puerto Rico.</w:t>
      </w:r>
    </w:p>
    <w:p>
      <w:pPr>
        <w:spacing w:after="0" w:line="158" w:lineRule="exact"/>
        <w:rPr>
          <w:sz w:val="20"/>
          <w:szCs w:val="20"/>
          <w:color w:val="auto"/>
        </w:rPr>
      </w:pPr>
    </w:p>
    <w:p>
      <w:pPr>
        <w:jc w:val="both"/>
        <w:ind w:left="14" w:firstLine="2"/>
        <w:spacing w:after="0" w:line="220" w:lineRule="auto"/>
        <w:rPr>
          <w:sz w:val="20"/>
          <w:szCs w:val="20"/>
          <w:color w:val="auto"/>
        </w:rPr>
      </w:pPr>
      <w:r>
        <w:rPr>
          <w:rFonts w:ascii="Arial" w:cs="Arial" w:eastAsia="Arial" w:hAnsi="Arial"/>
          <w:sz w:val="18"/>
          <w:szCs w:val="18"/>
          <w:b w:val="1"/>
          <w:bCs w:val="1"/>
          <w:color w:val="auto"/>
        </w:rPr>
        <w:t xml:space="preserve">Employment discrimination </w:t>
      </w:r>
      <w:r>
        <w:rPr>
          <w:rFonts w:ascii="Arial" w:cs="Arial" w:eastAsia="Arial" w:hAnsi="Arial"/>
          <w:sz w:val="18"/>
          <w:szCs w:val="18"/>
          <w:color w:val="auto"/>
        </w:rPr>
        <w:t>as it relates solely to a wrongful employment act means a violation of applicable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discrimination law protecting any residen 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159" w:lineRule="exact"/>
        <w:rPr>
          <w:sz w:val="20"/>
          <w:szCs w:val="20"/>
          <w:color w:val="auto"/>
        </w:rPr>
      </w:pPr>
    </w:p>
    <w:p>
      <w:pPr>
        <w:ind w:left="14" w:right="80" w:hanging="2"/>
        <w:spacing w:after="0" w:line="237" w:lineRule="auto"/>
        <w:rPr>
          <w:sz w:val="20"/>
          <w:szCs w:val="20"/>
          <w:color w:val="auto"/>
        </w:rPr>
      </w:pPr>
      <w:r>
        <w:rPr>
          <w:rFonts w:ascii="Arial" w:cs="Arial" w:eastAsia="Arial" w:hAnsi="Arial"/>
          <w:sz w:val="18"/>
          <w:szCs w:val="18"/>
          <w:b w:val="1"/>
          <w:bCs w:val="1"/>
          <w:color w:val="auto"/>
        </w:rPr>
        <w:t xml:space="preserve">Sexual harassment </w:t>
      </w:r>
      <w:r>
        <w:rPr>
          <w:rFonts w:ascii="Arial" w:cs="Arial" w:eastAsia="Arial" w:hAnsi="Arial"/>
          <w:sz w:val="18"/>
          <w:szCs w:val="18"/>
          <w:color w:val="auto"/>
        </w:rPr>
        <w:t>as it relates solely to a wrongful employment act means unwelcome sexual advances, requests for sexual favors,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conduct of a sexual nature that:</w:t>
      </w:r>
    </w:p>
    <w:p>
      <w:pPr>
        <w:spacing w:after="0" w:line="162" w:lineRule="exact"/>
        <w:rPr>
          <w:sz w:val="20"/>
          <w:szCs w:val="20"/>
          <w:color w:val="auto"/>
        </w:rPr>
      </w:pPr>
    </w:p>
    <w:p>
      <w:pPr>
        <w:ind w:left="334" w:hanging="327"/>
        <w:spacing w:after="0"/>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made a condition of employment of any residential staff;</w:t>
      </w:r>
    </w:p>
    <w:p>
      <w:pPr>
        <w:spacing w:after="0" w:line="184" w:lineRule="exact"/>
        <w:rPr>
          <w:rFonts w:ascii="Arial" w:cs="Arial" w:eastAsia="Arial" w:hAnsi="Arial"/>
          <w:sz w:val="18"/>
          <w:szCs w:val="18"/>
          <w:color w:val="auto"/>
        </w:rPr>
      </w:pPr>
    </w:p>
    <w:p>
      <w:pPr>
        <w:ind w:left="334" w:hanging="327"/>
        <w:spacing w:after="0"/>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used as a basis for employment decisions;</w:t>
      </w:r>
    </w:p>
    <w:p>
      <w:pPr>
        <w:spacing w:after="0" w:line="184" w:lineRule="exact"/>
        <w:rPr>
          <w:rFonts w:ascii="Arial" w:cs="Arial" w:eastAsia="Arial" w:hAnsi="Arial"/>
          <w:sz w:val="18"/>
          <w:szCs w:val="18"/>
          <w:color w:val="auto"/>
        </w:rPr>
      </w:pPr>
    </w:p>
    <w:p>
      <w:pPr>
        <w:ind w:left="334" w:hanging="327"/>
        <w:spacing w:after="0"/>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interferes with performance of any residential staffs duties; or</w:t>
      </w:r>
    </w:p>
    <w:p>
      <w:pPr>
        <w:spacing w:after="0" w:line="184" w:lineRule="exact"/>
        <w:rPr>
          <w:rFonts w:ascii="Arial" w:cs="Arial" w:eastAsia="Arial" w:hAnsi="Arial"/>
          <w:sz w:val="18"/>
          <w:szCs w:val="18"/>
          <w:color w:val="auto"/>
        </w:rPr>
      </w:pPr>
    </w:p>
    <w:p>
      <w:pPr>
        <w:ind w:left="334" w:hanging="327"/>
        <w:spacing w:after="0"/>
        <w:tabs>
          <w:tab w:leader="none" w:pos="33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creates an intimidating, hostile, or offensive working environment.</w:t>
      </w:r>
    </w:p>
    <w:p>
      <w:pPr>
        <w:spacing w:after="0" w:line="181" w:lineRule="exact"/>
        <w:rPr>
          <w:sz w:val="20"/>
          <w:szCs w:val="20"/>
          <w:color w:val="auto"/>
        </w:rPr>
      </w:pPr>
    </w:p>
    <w:p>
      <w:pPr>
        <w:ind w:left="14"/>
        <w:spacing w:after="0"/>
        <w:rPr>
          <w:sz w:val="20"/>
          <w:szCs w:val="20"/>
          <w:color w:val="auto"/>
        </w:rPr>
      </w:pPr>
      <w:r>
        <w:rPr>
          <w:rFonts w:ascii="Arial" w:cs="Arial" w:eastAsia="Arial" w:hAnsi="Arial"/>
          <w:sz w:val="18"/>
          <w:szCs w:val="18"/>
          <w:b w:val="1"/>
          <w:bCs w:val="1"/>
          <w:color w:val="auto"/>
        </w:rPr>
        <w:t xml:space="preserve">Wrongful termination </w:t>
      </w:r>
      <w:r>
        <w:rPr>
          <w:rFonts w:ascii="Arial" w:cs="Arial" w:eastAsia="Arial" w:hAnsi="Arial"/>
          <w:sz w:val="18"/>
          <w:szCs w:val="18"/>
          <w:color w:val="auto"/>
        </w:rPr>
        <w:t>as it relates solely to a wrongful employment act means:</w:t>
      </w:r>
    </w:p>
    <w:p>
      <w:pPr>
        <w:spacing w:after="0" w:line="189" w:lineRule="exact"/>
        <w:rPr>
          <w:sz w:val="20"/>
          <w:szCs w:val="20"/>
          <w:color w:val="auto"/>
        </w:rPr>
      </w:pPr>
    </w:p>
    <w:p>
      <w:pPr>
        <w:ind w:left="334" w:right="160" w:hanging="324"/>
        <w:spacing w:after="0" w:line="235" w:lineRule="auto"/>
        <w:tabs>
          <w:tab w:leader="none" w:pos="32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actual or constructive termination of employment of any residential staff by you or a family member in violation of applicable employment law; or</w:t>
      </w:r>
    </w:p>
    <w:p>
      <w:pPr>
        <w:spacing w:after="0" w:line="161" w:lineRule="exact"/>
        <w:rPr>
          <w:rFonts w:ascii="Arial" w:cs="Arial" w:eastAsia="Arial" w:hAnsi="Arial"/>
          <w:sz w:val="18"/>
          <w:szCs w:val="18"/>
          <w:color w:val="auto"/>
        </w:rPr>
      </w:pPr>
    </w:p>
    <w:p>
      <w:pPr>
        <w:ind w:left="334" w:hanging="324"/>
        <w:spacing w:after="0"/>
        <w:tabs>
          <w:tab w:leader="none" w:pos="3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breach of duty and care when you or a family member terminates an employment relationship with any residential staff.</w:t>
      </w:r>
    </w:p>
    <w:p>
      <w:pPr>
        <w:spacing w:after="0" w:line="181" w:lineRule="exact"/>
        <w:rPr>
          <w:sz w:val="20"/>
          <w:szCs w:val="20"/>
          <w:color w:val="auto"/>
        </w:rPr>
      </w:pPr>
    </w:p>
    <w:p>
      <w:pPr>
        <w:ind w:left="14"/>
        <w:spacing w:after="0"/>
        <w:rPr>
          <w:sz w:val="20"/>
          <w:szCs w:val="20"/>
          <w:color w:val="auto"/>
        </w:rPr>
      </w:pPr>
      <w:r>
        <w:rPr>
          <w:rFonts w:ascii="Arial" w:cs="Arial" w:eastAsia="Arial" w:hAnsi="Arial"/>
          <w:sz w:val="18"/>
          <w:szCs w:val="18"/>
          <w:b w:val="1"/>
          <w:bCs w:val="1"/>
          <w:color w:val="auto"/>
        </w:rPr>
        <w:t xml:space="preserve">Residential staff </w:t>
      </w:r>
      <w:r>
        <w:rPr>
          <w:rFonts w:ascii="Arial" w:cs="Arial" w:eastAsia="Arial" w:hAnsi="Arial"/>
          <w:sz w:val="18"/>
          <w:szCs w:val="18"/>
          <w:color w:val="auto"/>
        </w:rPr>
        <w:t>as it relates solely to a wrongful employment act means your or a family member's employee who is:</w:t>
      </w:r>
    </w:p>
    <w:p>
      <w:pPr>
        <w:spacing w:after="0" w:line="189" w:lineRule="exact"/>
        <w:rPr>
          <w:sz w:val="20"/>
          <w:szCs w:val="20"/>
          <w:color w:val="auto"/>
        </w:rPr>
      </w:pPr>
    </w:p>
    <w:p>
      <w:pPr>
        <w:ind w:left="334" w:hanging="324"/>
        <w:spacing w:after="0" w:line="258" w:lineRule="auto"/>
        <w:tabs>
          <w:tab w:leader="none" w:pos="329" w:val="left"/>
        </w:tabs>
        <w:numPr>
          <w:ilvl w:val="0"/>
          <w:numId w:val="41"/>
        </w:numPr>
        <w:rPr>
          <w:rFonts w:ascii="Arial" w:cs="Arial" w:eastAsia="Arial" w:hAnsi="Arial"/>
          <w:sz w:val="17"/>
          <w:szCs w:val="17"/>
          <w:color w:val="auto"/>
        </w:rPr>
      </w:pPr>
      <w:r>
        <w:rPr>
          <w:rFonts w:ascii="Arial" w:cs="Arial" w:eastAsia="Arial" w:hAnsi="Arial"/>
          <w:sz w:val="17"/>
          <w:szCs w:val="17"/>
          <w:color w:val="auto"/>
        </w:rPr>
        <w:t>employed by you or a family member, or through a firm under an agreement with you or a family member, to perform duties related only to a covered person's domestic, personal, or business pursuits covered under this part of your policy;</w:t>
      </w:r>
    </w:p>
    <w:p>
      <w:pPr>
        <w:spacing w:after="0" w:line="146" w:lineRule="exact"/>
        <w:rPr>
          <w:rFonts w:ascii="Arial" w:cs="Arial" w:eastAsia="Arial" w:hAnsi="Arial"/>
          <w:sz w:val="17"/>
          <w:szCs w:val="17"/>
          <w:color w:val="auto"/>
        </w:rPr>
      </w:pPr>
    </w:p>
    <w:p>
      <w:pPr>
        <w:ind w:left="334" w:hanging="324"/>
        <w:spacing w:after="0"/>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compensated for labor or services directed by you or a family member; and</w:t>
      </w:r>
    </w:p>
    <w:p>
      <w:pPr>
        <w:spacing w:after="0" w:line="184" w:lineRule="exact"/>
        <w:rPr>
          <w:rFonts w:ascii="Arial" w:cs="Arial" w:eastAsia="Arial" w:hAnsi="Arial"/>
          <w:sz w:val="18"/>
          <w:szCs w:val="18"/>
          <w:color w:val="auto"/>
        </w:rPr>
      </w:pPr>
    </w:p>
    <w:p>
      <w:pPr>
        <w:ind w:left="334" w:hanging="324"/>
        <w:spacing w:after="0"/>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employed regularly to work 15 or more hours per week.</w:t>
      </w:r>
    </w:p>
    <w:p>
      <w:pPr>
        <w:spacing w:after="0" w:line="185" w:lineRule="exact"/>
        <w:rPr>
          <w:sz w:val="20"/>
          <w:szCs w:val="20"/>
          <w:color w:val="auto"/>
        </w:rPr>
      </w:pPr>
    </w:p>
    <w:p>
      <w:pPr>
        <w:ind w:left="14"/>
        <w:spacing w:after="0"/>
        <w:rPr>
          <w:sz w:val="20"/>
          <w:szCs w:val="20"/>
          <w:color w:val="auto"/>
        </w:rPr>
      </w:pPr>
      <w:r>
        <w:rPr>
          <w:rFonts w:ascii="Arial" w:cs="Arial" w:eastAsia="Arial" w:hAnsi="Arial"/>
          <w:sz w:val="17"/>
          <w:szCs w:val="17"/>
          <w:color w:val="auto"/>
        </w:rPr>
        <w:t>Residential staff includes a temporary worker. Residential staff does not include an independent contractor or any covered person.</w:t>
      </w:r>
    </w:p>
    <w:p>
      <w:pPr>
        <w:spacing w:after="0" w:line="192" w:lineRule="exact"/>
        <w:rPr>
          <w:sz w:val="20"/>
          <w:szCs w:val="20"/>
          <w:color w:val="auto"/>
        </w:rPr>
      </w:pPr>
    </w:p>
    <w:p>
      <w:pPr>
        <w:ind w:left="14"/>
        <w:spacing w:after="0"/>
        <w:rPr>
          <w:sz w:val="20"/>
          <w:szCs w:val="20"/>
          <w:color w:val="auto"/>
        </w:rPr>
      </w:pPr>
      <w:r>
        <w:rPr>
          <w:rFonts w:ascii="Arial" w:cs="Arial" w:eastAsia="Arial" w:hAnsi="Arial"/>
          <w:sz w:val="18"/>
          <w:szCs w:val="18"/>
          <w:b w:val="1"/>
          <w:bCs w:val="1"/>
          <w:color w:val="auto"/>
        </w:rPr>
        <w:t xml:space="preserve">Temporary worker </w:t>
      </w:r>
      <w:r>
        <w:rPr>
          <w:rFonts w:ascii="Arial" w:cs="Arial" w:eastAsia="Arial" w:hAnsi="Arial"/>
          <w:sz w:val="18"/>
          <w:szCs w:val="18"/>
          <w:color w:val="auto"/>
        </w:rPr>
        <w:t>as it relates solely to a wrongful employment act means your or a family member's employee who is:</w:t>
      </w:r>
    </w:p>
    <w:p>
      <w:pPr>
        <w:spacing w:after="0" w:line="189" w:lineRule="exact"/>
        <w:rPr>
          <w:sz w:val="20"/>
          <w:szCs w:val="20"/>
          <w:color w:val="auto"/>
        </w:rPr>
      </w:pPr>
    </w:p>
    <w:p>
      <w:pPr>
        <w:ind w:left="334" w:hanging="324"/>
        <w:spacing w:after="0" w:line="258" w:lineRule="auto"/>
        <w:tabs>
          <w:tab w:leader="none" w:pos="329" w:val="left"/>
        </w:tabs>
        <w:numPr>
          <w:ilvl w:val="0"/>
          <w:numId w:val="42"/>
        </w:numPr>
        <w:rPr>
          <w:rFonts w:ascii="Arial" w:cs="Arial" w:eastAsia="Arial" w:hAnsi="Arial"/>
          <w:sz w:val="17"/>
          <w:szCs w:val="17"/>
          <w:color w:val="auto"/>
        </w:rPr>
      </w:pPr>
      <w:r>
        <w:rPr>
          <w:rFonts w:ascii="Arial" w:cs="Arial" w:eastAsia="Arial" w:hAnsi="Arial"/>
          <w:sz w:val="17"/>
          <w:szCs w:val="17"/>
          <w:color w:val="auto"/>
        </w:rPr>
        <w:t>employed by you or a family member, or through a firm under an agreement with you or a family member, to perform duties related only to a covered person's domestic, personal, or business pursuits covered under this part of your policy;</w:t>
      </w:r>
    </w:p>
    <w:p>
      <w:pPr>
        <w:spacing w:after="0" w:line="146" w:lineRule="exact"/>
        <w:rPr>
          <w:rFonts w:ascii="Arial" w:cs="Arial" w:eastAsia="Arial" w:hAnsi="Arial"/>
          <w:sz w:val="17"/>
          <w:szCs w:val="17"/>
          <w:color w:val="auto"/>
        </w:rPr>
      </w:pPr>
    </w:p>
    <w:p>
      <w:pPr>
        <w:ind w:left="334" w:hanging="324"/>
        <w:spacing w:after="0"/>
        <w:tabs>
          <w:tab w:leader="none" w:pos="3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compensated for labor or services directed by you or a family member; and</w:t>
      </w:r>
    </w:p>
    <w:p>
      <w:pPr>
        <w:spacing w:after="0" w:line="184" w:lineRule="exact"/>
        <w:rPr>
          <w:rFonts w:ascii="Arial" w:cs="Arial" w:eastAsia="Arial" w:hAnsi="Arial"/>
          <w:sz w:val="18"/>
          <w:szCs w:val="18"/>
          <w:color w:val="auto"/>
        </w:rPr>
      </w:pPr>
    </w:p>
    <w:p>
      <w:pPr>
        <w:ind w:left="334" w:right="460" w:hanging="324"/>
        <w:spacing w:after="0" w:line="235" w:lineRule="auto"/>
        <w:tabs>
          <w:tab w:leader="none" w:pos="329"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employed to work 15 or more hours per week to substitute for any residential staff on leave or to meet seasonal or short- term workload demands for 30 consecutive days or longer during a 6 month period.</w:t>
      </w:r>
    </w:p>
    <w:p>
      <w:pPr>
        <w:spacing w:after="0" w:line="162" w:lineRule="exact"/>
        <w:rPr>
          <w:sz w:val="20"/>
          <w:szCs w:val="20"/>
          <w:color w:val="auto"/>
        </w:rPr>
      </w:pPr>
    </w:p>
    <w:p>
      <w:pPr>
        <w:ind w:left="14"/>
        <w:spacing w:after="0"/>
        <w:rPr>
          <w:sz w:val="20"/>
          <w:szCs w:val="20"/>
          <w:color w:val="auto"/>
        </w:rPr>
      </w:pPr>
      <w:r>
        <w:rPr>
          <w:rFonts w:ascii="Arial" w:cs="Arial" w:eastAsia="Arial" w:hAnsi="Arial"/>
          <w:sz w:val="18"/>
          <w:szCs w:val="18"/>
          <w:color w:val="auto"/>
        </w:rPr>
        <w:t>Temporary worker does not include an independent contractor or any covered person.</w:t>
      </w:r>
    </w:p>
    <w:p>
      <w:pPr>
        <w:spacing w:after="0" w:line="181" w:lineRule="exact"/>
        <w:rPr>
          <w:sz w:val="20"/>
          <w:szCs w:val="20"/>
          <w:color w:val="auto"/>
        </w:rPr>
      </w:pPr>
    </w:p>
    <w:p>
      <w:pPr>
        <w:ind w:left="14" w:right="160"/>
        <w:spacing w:after="0" w:line="237" w:lineRule="auto"/>
        <w:rPr>
          <w:sz w:val="20"/>
          <w:szCs w:val="20"/>
          <w:color w:val="auto"/>
        </w:rPr>
      </w:pPr>
      <w:r>
        <w:rPr>
          <w:rFonts w:ascii="Arial" w:cs="Arial" w:eastAsia="Arial" w:hAnsi="Arial"/>
          <w:sz w:val="18"/>
          <w:szCs w:val="18"/>
          <w:b w:val="1"/>
          <w:bCs w:val="1"/>
          <w:color w:val="auto"/>
        </w:rPr>
        <w:t xml:space="preserve">Discrimination. </w:t>
      </w:r>
      <w:r>
        <w:rPr>
          <w:rFonts w:ascii="Arial" w:cs="Arial" w:eastAsia="Arial" w:hAnsi="Arial"/>
          <w:sz w:val="18"/>
          <w:szCs w:val="18"/>
          <w:color w:val="auto"/>
        </w:rPr>
        <w:t>We do not cover any damages arising out of discriminatio n due to age, race, color, sex, creed, national origin,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discrimination.</w:t>
      </w:r>
    </w:p>
    <w:p>
      <w:pPr>
        <w:sectPr>
          <w:pgSz w:w="11900" w:h="16838" w:orient="portrait"/>
          <w:cols w:equalWidth="0" w:num="1">
            <w:col w:w="9834"/>
          </w:cols>
          <w:pgMar w:left="966" w:top="1124" w:right="1099" w:bottom="1440" w:gutter="0" w:footer="0" w:header="0"/>
        </w:sectPr>
      </w:pPr>
    </w:p>
    <w:bookmarkStart w:id="47" w:name="page48"/>
    <w:bookmarkEnd w:id="47"/>
    <w:p>
      <w:pPr>
        <w:jc w:val="both"/>
        <w:ind w:left="4"/>
        <w:spacing w:after="0" w:line="233" w:lineRule="auto"/>
        <w:rPr>
          <w:sz w:val="20"/>
          <w:szCs w:val="20"/>
          <w:color w:val="auto"/>
        </w:rPr>
      </w:pPr>
      <w:r>
        <w:rPr>
          <w:rFonts w:ascii="Arial" w:cs="Arial" w:eastAsia="Arial" w:hAnsi="Arial"/>
          <w:sz w:val="17"/>
          <w:szCs w:val="17"/>
          <w:b w:val="1"/>
          <w:bCs w:val="1"/>
          <w:color w:val="auto"/>
        </w:rPr>
        <w:t xml:space="preserve">Intentional acts. </w:t>
      </w:r>
      <w:r>
        <w:rPr>
          <w:rFonts w:ascii="Arial" w:cs="Arial" w:eastAsia="Arial" w:hAnsi="Arial"/>
          <w:sz w:val="17"/>
          <w:szCs w:val="17"/>
          <w:color w:val="auto"/>
        </w:rPr>
        <w:t>We do not cover any damages arising out of a willful, malicious, fraudulent or dishonest act or any act intended by</w:t>
      </w:r>
      <w:r>
        <w:rPr>
          <w:rFonts w:ascii="Arial" w:cs="Arial" w:eastAsia="Arial" w:hAnsi="Arial"/>
          <w:sz w:val="17"/>
          <w:szCs w:val="17"/>
          <w:b w:val="1"/>
          <w:bCs w:val="1"/>
          <w:color w:val="auto"/>
        </w:rPr>
        <w:t xml:space="preserve"> </w:t>
      </w:r>
      <w:r>
        <w:rPr>
          <w:rFonts w:ascii="Arial" w:cs="Arial" w:eastAsia="Arial" w:hAnsi="Arial"/>
          <w:sz w:val="17"/>
          <w:szCs w:val="17"/>
          <w:color w:val="auto"/>
        </w:rPr>
        <w:t>any covered person to cause personal injury or property damage, even if the injury or damage is of a different degree or type than actually intended or expected. But we do cover such damages if the act was intended to protect people or property unless another exclusion applies. An intentional act is one whose consequences could have been foreseen by a reasonable person.</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Molestation, misconduct or abuse. </w:t>
      </w:r>
      <w:r>
        <w:rPr>
          <w:rFonts w:ascii="Arial" w:cs="Arial" w:eastAsia="Arial" w:hAnsi="Arial"/>
          <w:sz w:val="18"/>
          <w:szCs w:val="18"/>
          <w:color w:val="auto"/>
        </w:rPr>
        <w:t>We do not cover any damages arising out of any actual, alleged or threatened:</w:t>
      </w:r>
    </w:p>
    <w:p>
      <w:pPr>
        <w:spacing w:after="0" w:line="189" w:lineRule="exact"/>
        <w:rPr>
          <w:sz w:val="20"/>
          <w:szCs w:val="20"/>
          <w:color w:val="auto"/>
        </w:rPr>
      </w:pPr>
    </w:p>
    <w:p>
      <w:pPr>
        <w:ind w:left="324" w:hanging="324"/>
        <w:spacing w:after="0"/>
        <w:tabs>
          <w:tab w:leader="none" w:pos="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sexual molestation;</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sexual misconduct or harassment; or</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abuse.</w:t>
      </w:r>
    </w:p>
    <w:p>
      <w:pPr>
        <w:spacing w:after="0" w:line="181" w:lineRule="exact"/>
        <w:rPr>
          <w:sz w:val="20"/>
          <w:szCs w:val="20"/>
          <w:color w:val="auto"/>
        </w:rPr>
      </w:pPr>
    </w:p>
    <w:p>
      <w:pPr>
        <w:jc w:val="both"/>
        <w:ind w:left="4"/>
        <w:spacing w:after="0" w:line="237" w:lineRule="auto"/>
        <w:rPr>
          <w:sz w:val="20"/>
          <w:szCs w:val="20"/>
          <w:color w:val="auto"/>
        </w:rPr>
      </w:pPr>
      <w:r>
        <w:rPr>
          <w:rFonts w:ascii="Arial" w:cs="Arial" w:eastAsia="Arial" w:hAnsi="Arial"/>
          <w:sz w:val="18"/>
          <w:szCs w:val="18"/>
          <w:b w:val="1"/>
          <w:bCs w:val="1"/>
          <w:color w:val="auto"/>
        </w:rPr>
        <w:t xml:space="preserve">Nonpermissive use. </w:t>
      </w:r>
      <w:r>
        <w:rPr>
          <w:rFonts w:ascii="Arial" w:cs="Arial" w:eastAsia="Arial" w:hAnsi="Arial"/>
          <w:sz w:val="18"/>
          <w:szCs w:val="18"/>
          <w:color w:val="auto"/>
        </w:rPr>
        <w:t>We do not cover any person who uses a motorized land vehicle or watercraft without permission from you or a</w:t>
      </w:r>
      <w:r>
        <w:rPr>
          <w:rFonts w:ascii="Arial" w:cs="Arial" w:eastAsia="Arial" w:hAnsi="Arial"/>
          <w:sz w:val="18"/>
          <w:szCs w:val="18"/>
          <w:b w:val="1"/>
          <w:bCs w:val="1"/>
          <w:color w:val="auto"/>
        </w:rPr>
        <w:t xml:space="preserve"> </w:t>
      </w:r>
      <w:r>
        <w:rPr>
          <w:rFonts w:ascii="Arial" w:cs="Arial" w:eastAsia="Arial" w:hAnsi="Arial"/>
          <w:sz w:val="18"/>
          <w:szCs w:val="18"/>
          <w:color w:val="auto"/>
        </w:rPr>
        <w:t>family member.</w:t>
      </w:r>
    </w:p>
    <w:p>
      <w:pPr>
        <w:spacing w:after="0" w:line="158" w:lineRule="exact"/>
        <w:rPr>
          <w:sz w:val="20"/>
          <w:szCs w:val="20"/>
          <w:color w:val="auto"/>
        </w:rPr>
      </w:pPr>
    </w:p>
    <w:p>
      <w:pPr>
        <w:jc w:val="both"/>
        <w:ind w:left="4" w:firstLine="3"/>
        <w:spacing w:after="0" w:line="237" w:lineRule="auto"/>
        <w:rPr>
          <w:sz w:val="20"/>
          <w:szCs w:val="20"/>
          <w:color w:val="auto"/>
        </w:rPr>
      </w:pPr>
      <w:r>
        <w:rPr>
          <w:rFonts w:ascii="Arial" w:cs="Arial" w:eastAsia="Arial" w:hAnsi="Arial"/>
          <w:sz w:val="18"/>
          <w:szCs w:val="18"/>
          <w:b w:val="1"/>
          <w:bCs w:val="1"/>
          <w:color w:val="auto"/>
        </w:rPr>
        <w:t xml:space="preserve">Business pursuits. </w:t>
      </w:r>
      <w:r>
        <w:rPr>
          <w:rFonts w:ascii="Arial" w:cs="Arial" w:eastAsia="Arial" w:hAnsi="Arial"/>
          <w:sz w:val="18"/>
          <w:szCs w:val="18"/>
          <w:color w:val="auto"/>
        </w:rPr>
        <w:t>We do not cover any damages arising out of a covered person's business pursuits, investment or other for-profit</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for the account of a covered person or others, or busi ness property except on a follow form basis.</w:t>
      </w:r>
    </w:p>
    <w:p>
      <w:pPr>
        <w:spacing w:after="0" w:line="162" w:lineRule="exact"/>
        <w:rPr>
          <w:sz w:val="20"/>
          <w:szCs w:val="20"/>
          <w:color w:val="auto"/>
        </w:rPr>
      </w:pPr>
    </w:p>
    <w:p>
      <w:pPr>
        <w:jc w:val="both"/>
        <w:ind w:left="4" w:firstLine="3"/>
        <w:spacing w:after="0" w:line="216" w:lineRule="auto"/>
        <w:rPr>
          <w:sz w:val="20"/>
          <w:szCs w:val="20"/>
          <w:color w:val="auto"/>
        </w:rPr>
      </w:pPr>
      <w:r>
        <w:rPr>
          <w:rFonts w:ascii="Arial" w:cs="Arial" w:eastAsia="Arial" w:hAnsi="Arial"/>
          <w:sz w:val="18"/>
          <w:szCs w:val="18"/>
          <w:color w:val="auto"/>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member's ownership, maintenance, or use of a private passenger motor vehicle in business activ ities other than selling, repairing, servicing, storing, parking, testing, or delivering motorized land vehicles.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Unless stated otherwise in your Coverage Summary:</w:t>
      </w:r>
    </w:p>
    <w:p>
      <w:pPr>
        <w:spacing w:after="0" w:line="185" w:lineRule="exact"/>
        <w:rPr>
          <w:sz w:val="20"/>
          <w:szCs w:val="20"/>
          <w:color w:val="auto"/>
        </w:rPr>
      </w:pPr>
    </w:p>
    <w:p>
      <w:pPr>
        <w:ind w:left="4" w:right="260" w:firstLine="1"/>
        <w:spacing w:after="0" w:line="289" w:lineRule="auto"/>
        <w:rPr>
          <w:sz w:val="20"/>
          <w:szCs w:val="20"/>
          <w:color w:val="auto"/>
        </w:rPr>
      </w:pPr>
      <w:r>
        <w:rPr>
          <w:rFonts w:ascii="Arial" w:cs="Arial" w:eastAsia="Arial" w:hAnsi="Arial"/>
          <w:sz w:val="16"/>
          <w:szCs w:val="16"/>
          <w:color w:val="auto"/>
        </w:rPr>
        <w:t>"Incidental business away from home" is a self-employed sales activity, or a self-employed business activity normally undertaken by person under the age of 18 such as newspaper delivery, babysitting, caddying, and lawn care. Either of these activities must:</w:t>
      </w:r>
    </w:p>
    <w:p>
      <w:pPr>
        <w:spacing w:after="0" w:line="124" w:lineRule="exact"/>
        <w:rPr>
          <w:sz w:val="20"/>
          <w:szCs w:val="20"/>
          <w:color w:val="auto"/>
        </w:rPr>
      </w:pPr>
    </w:p>
    <w:p>
      <w:pPr>
        <w:ind w:left="324" w:hanging="324"/>
        <w:spacing w:after="0"/>
        <w:tabs>
          <w:tab w:leader="none" w:pos="3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yield gross revenues in excess of $15,000 in any year;</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no employees subject to worker's compensation or other similar disability laws;</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conform to local, state, and federal laws.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"Incidental business at home" is a business activity,other than farming, conducted on your residence premises which must:</w:t>
      </w:r>
    </w:p>
    <w:p>
      <w:pPr>
        <w:spacing w:after="0" w:line="185" w:lineRule="exact"/>
        <w:rPr>
          <w:sz w:val="20"/>
          <w:szCs w:val="20"/>
          <w:color w:val="auto"/>
        </w:rPr>
      </w:pPr>
    </w:p>
    <w:p>
      <w:pPr>
        <w:ind w:left="324" w:right="660" w:hanging="324"/>
        <w:spacing w:after="0" w:line="235" w:lineRule="auto"/>
        <w:tabs>
          <w:tab w:leader="none" w:pos="3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yield gross revenues in excess of $15,000, in any year, except for the business activity of managing one's own personal investments;</w:t>
      </w:r>
    </w:p>
    <w:p>
      <w:pPr>
        <w:spacing w:after="0" w:line="161" w:lineRule="exact"/>
        <w:rPr>
          <w:rFonts w:ascii="Arial" w:cs="Arial" w:eastAsia="Arial" w:hAnsi="Arial"/>
          <w:sz w:val="18"/>
          <w:szCs w:val="18"/>
          <w:color w:val="auto"/>
        </w:rPr>
      </w:pPr>
    </w:p>
    <w:p>
      <w:pPr>
        <w:ind w:left="324" w:hanging="324"/>
        <w:spacing w:after="0"/>
        <w:tabs>
          <w:tab w:leader="none" w:pos="3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no employees subject to worker's compensation or other similar disability laws;</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conform to local, state, and federal laws.</w:t>
      </w:r>
    </w:p>
    <w:p>
      <w:pPr>
        <w:spacing w:after="0" w:line="185" w:lineRule="exact"/>
        <w:rPr>
          <w:sz w:val="20"/>
          <w:szCs w:val="20"/>
          <w:color w:val="auto"/>
        </w:rPr>
      </w:pPr>
    </w:p>
    <w:p>
      <w:pPr>
        <w:jc w:val="both"/>
        <w:ind w:left="4" w:firstLine="12"/>
        <w:spacing w:after="0" w:line="249" w:lineRule="auto"/>
        <w:rPr>
          <w:sz w:val="20"/>
          <w:szCs w:val="20"/>
          <w:color w:val="auto"/>
        </w:rPr>
      </w:pPr>
      <w:r>
        <w:rPr>
          <w:rFonts w:ascii="Arial" w:cs="Arial" w:eastAsia="Arial" w:hAnsi="Arial"/>
          <w:sz w:val="16"/>
          <w:szCs w:val="16"/>
          <w:color w:val="auto"/>
        </w:rPr>
        <w:t>"Incidental business property" is limited to the rental or holding for rental, to be used as a residence, of a condominium or cooperative unit owned by you or a family member, an apartment unit rented to you or a family member, a one or two family dwelling owned by you or a family member, or a three or four family dwelling owned and occupied by you or a family member. We provide this coverage only for premises covered under the Required Primary Underlying Insurance unless the rental or holding for rental is for:</w:t>
      </w:r>
    </w:p>
    <w:p>
      <w:pPr>
        <w:spacing w:after="0" w:line="154" w:lineRule="exact"/>
        <w:rPr>
          <w:sz w:val="20"/>
          <w:szCs w:val="20"/>
          <w:color w:val="auto"/>
        </w:rPr>
      </w:pPr>
    </w:p>
    <w:p>
      <w:pPr>
        <w:ind w:left="324" w:hanging="324"/>
        <w:spacing w:after="0"/>
        <w:tabs>
          <w:tab w:leader="none" w:pos="3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residence of yours or a family member's that is occasionally rented and that is used exclusively as a residence; or</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part of a residence of yours or a family member's by one or two roomers or boarders; or</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part of a residence of yours or a family member's as an office, school, studio, or private garage.</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"Incidental farming" is a farming activity which meets all of the following requirements:</w:t>
      </w:r>
    </w:p>
    <w:p>
      <w:pPr>
        <w:spacing w:after="0" w:line="185" w:lineRule="exact"/>
        <w:rPr>
          <w:sz w:val="20"/>
          <w:szCs w:val="20"/>
          <w:color w:val="auto"/>
        </w:rPr>
      </w:pPr>
    </w:p>
    <w:p>
      <w:pPr>
        <w:ind w:left="324" w:hanging="324"/>
        <w:spacing w:after="0"/>
        <w:tabs>
          <w:tab w:leader="none" w:pos="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incidental to your or a family member's use of the premises as a residence;</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involve employment of others for more than 1,500 hours of farm work during the policy period;</w:t>
      </w:r>
    </w:p>
    <w:p>
      <w:pPr>
        <w:sectPr>
          <w:pgSz w:w="11900" w:h="16838" w:orient="portrait"/>
          <w:cols w:equalWidth="0" w:num="1">
            <w:col w:w="9824"/>
          </w:cols>
          <w:pgMar w:left="976" w:top="1120" w:right="1099" w:bottom="1440" w:gutter="0" w:footer="0" w:header="0"/>
        </w:sectPr>
      </w:pPr>
    </w:p>
    <w:bookmarkStart w:id="48" w:name="page49"/>
    <w:bookmarkEnd w:id="48"/>
    <w:p>
      <w:pPr>
        <w:ind w:left="324" w:hanging="324"/>
        <w:spacing w:after="0"/>
        <w:tabs>
          <w:tab w:leader="none" w:pos="3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does not produce more than $25,000 in gross annual revenue from agricultural operations;</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and with respect to the raising or care of animals:</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does not produce more than $50,000 in gross annual revenues;</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does not involve more than 25 sales transactions during the policy period;</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does not involve the sale of more than 50 animals during the policy period.</w:t>
      </w:r>
    </w:p>
    <w:p>
      <w:pPr>
        <w:spacing w:after="0" w:line="185" w:lineRule="exact"/>
        <w:rPr>
          <w:sz w:val="20"/>
          <w:szCs w:val="20"/>
          <w:color w:val="auto"/>
        </w:rPr>
      </w:pPr>
    </w:p>
    <w:p>
      <w:pPr>
        <w:jc w:val="both"/>
        <w:ind w:left="4" w:firstLine="3"/>
        <w:spacing w:after="0" w:line="224" w:lineRule="auto"/>
        <w:rPr>
          <w:sz w:val="20"/>
          <w:szCs w:val="20"/>
          <w:color w:val="auto"/>
        </w:rPr>
      </w:pPr>
      <w:r>
        <w:rPr>
          <w:rFonts w:ascii="Arial" w:cs="Arial" w:eastAsia="Arial" w:hAnsi="Arial"/>
          <w:sz w:val="18"/>
          <w:szCs w:val="18"/>
          <w:color w:val="auto"/>
        </w:rPr>
        <w:t>"Residence premises conditional business liability" is limited to business or professional activities when legally conducted by you or a family member at your residence. We provide coverage only for personal injury or property damage arising out of the physical condition of that residence if:</w:t>
      </w:r>
    </w:p>
    <w:p>
      <w:pPr>
        <w:spacing w:after="0" w:line="163" w:lineRule="exact"/>
        <w:rPr>
          <w:sz w:val="20"/>
          <w:szCs w:val="20"/>
          <w:color w:val="auto"/>
        </w:rPr>
      </w:pPr>
    </w:p>
    <w:p>
      <w:pPr>
        <w:jc w:val="both"/>
        <w:ind w:left="324" w:hanging="324"/>
        <w:spacing w:after="0" w:line="224" w:lineRule="auto"/>
        <w:tabs>
          <w:tab w:leader="none" w:pos="3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or a family member do not have any employees involved in your business or professional activities who are subject to workers' compensation or other similar disability laws; or, if you or a family member are a doctor or dentist, you do not have more than two employees subject to such laws;</w:t>
      </w:r>
    </w:p>
    <w:p>
      <w:pPr>
        <w:spacing w:after="0" w:line="162" w:lineRule="exact"/>
        <w:rPr>
          <w:rFonts w:ascii="Arial" w:cs="Arial" w:eastAsia="Arial" w:hAnsi="Arial"/>
          <w:sz w:val="18"/>
          <w:szCs w:val="18"/>
          <w:color w:val="auto"/>
        </w:rPr>
      </w:pPr>
    </w:p>
    <w:p>
      <w:pPr>
        <w:ind w:left="324" w:hanging="324"/>
        <w:spacing w:after="0" w:line="235" w:lineRule="auto"/>
        <w:tabs>
          <w:tab w:leader="none" w:pos="3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or a family member do not earn annual gross revenues in excess of $5,000, if you or a family member are a home day care provider.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color w:val="auto"/>
        </w:rPr>
        <w:t>We do not cover damages or consequences resulting from business or professional care or services performed or not performed.</w:t>
      </w:r>
    </w:p>
    <w:p>
      <w:pPr>
        <w:sectPr>
          <w:pgSz w:w="11900" w:h="16838" w:orient="portrait"/>
          <w:cols w:equalWidth="0" w:num="1">
            <w:col w:w="9824"/>
          </w:cols>
          <w:pgMar w:left="976" w:top="1124" w:right="1099" w:bottom="1440" w:gutter="0" w:footer="0" w:header="0"/>
        </w:sectPr>
      </w:pPr>
    </w:p>
    <w:bookmarkStart w:id="49" w:name="page50"/>
    <w:bookmarkEnd w:id="49"/>
    <w:p>
      <w:pPr>
        <w:ind w:left="4"/>
        <w:spacing w:after="0"/>
        <w:rPr>
          <w:sz w:val="20"/>
          <w:szCs w:val="20"/>
          <w:color w:val="auto"/>
        </w:rPr>
      </w:pPr>
      <w:r>
        <w:rPr>
          <w:rFonts w:ascii="Arial" w:cs="Arial" w:eastAsia="Arial" w:hAnsi="Arial"/>
          <w:sz w:val="16"/>
          <w:szCs w:val="16"/>
          <w:b w:val="1"/>
          <w:bCs w:val="1"/>
          <w:color w:val="auto"/>
        </w:rPr>
        <w:t>The following additional exclusion applies only to "incidental farming" as described under the exclusion, Business pursuits.</w:t>
      </w:r>
    </w:p>
    <w:p>
      <w:pPr>
        <w:spacing w:after="0" w:line="200" w:lineRule="exact"/>
        <w:rPr>
          <w:sz w:val="20"/>
          <w:szCs w:val="20"/>
          <w:color w:val="auto"/>
        </w:rPr>
      </w:pPr>
    </w:p>
    <w:p>
      <w:pPr>
        <w:spacing w:after="0" w:line="251" w:lineRule="exact"/>
        <w:rPr>
          <w:sz w:val="20"/>
          <w:szCs w:val="20"/>
          <w:color w:val="auto"/>
        </w:rPr>
      </w:pPr>
    </w:p>
    <w:p>
      <w:pPr>
        <w:ind w:left="4" w:right="60"/>
        <w:spacing w:after="0" w:line="227" w:lineRule="auto"/>
        <w:rPr>
          <w:sz w:val="20"/>
          <w:szCs w:val="20"/>
          <w:color w:val="auto"/>
        </w:rPr>
      </w:pPr>
      <w:r>
        <w:rPr>
          <w:rFonts w:ascii="Arial" w:cs="Arial" w:eastAsia="Arial" w:hAnsi="Arial"/>
          <w:sz w:val="17"/>
          <w:szCs w:val="17"/>
          <w:b w:val="1"/>
          <w:bCs w:val="1"/>
          <w:color w:val="auto"/>
        </w:rPr>
        <w:t xml:space="preserve">Contamination. </w:t>
      </w:r>
      <w:r>
        <w:rPr>
          <w:rFonts w:ascii="Arial" w:cs="Arial" w:eastAsia="Arial" w:hAnsi="Arial"/>
          <w:sz w:val="17"/>
          <w:szCs w:val="17"/>
          <w:color w:val="auto"/>
        </w:rPr>
        <w:t>We do not cover any actual or alleged damages arising out of the discharge, dispersal, seepage, migration or release or</w:t>
      </w:r>
      <w:r>
        <w:rPr>
          <w:rFonts w:ascii="Arial" w:cs="Arial" w:eastAsia="Arial" w:hAnsi="Arial"/>
          <w:sz w:val="17"/>
          <w:szCs w:val="17"/>
          <w:b w:val="1"/>
          <w:bCs w:val="1"/>
          <w:color w:val="auto"/>
        </w:rPr>
        <w:t xml:space="preserve"> </w:t>
      </w:r>
      <w:r>
        <w:rPr>
          <w:rFonts w:ascii="Arial" w:cs="Arial" w:eastAsia="Arial" w:hAnsi="Arial"/>
          <w:sz w:val="17"/>
          <w:szCs w:val="17"/>
          <w:color w:val="auto"/>
        </w:rPr>
        <w:t>escape of pollutants. Nor do we cover any cost or expense arising out of any request, demand or order to:</w:t>
      </w:r>
    </w:p>
    <w:p>
      <w:pPr>
        <w:spacing w:after="0" w:line="1" w:lineRule="exact"/>
        <w:rPr>
          <w:sz w:val="20"/>
          <w:szCs w:val="20"/>
          <w:color w:val="auto"/>
        </w:rPr>
      </w:pPr>
    </w:p>
    <w:p>
      <w:pPr>
        <w:ind w:left="324" w:hanging="324"/>
        <w:spacing w:after="0"/>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extract pollutants from land or water;</w:t>
      </w:r>
    </w:p>
    <w:p>
      <w:pPr>
        <w:spacing w:after="0" w:line="168" w:lineRule="exact"/>
        <w:rPr>
          <w:rFonts w:ascii="Arial" w:cs="Arial" w:eastAsia="Arial" w:hAnsi="Arial"/>
          <w:sz w:val="18"/>
          <w:szCs w:val="18"/>
          <w:color w:val="auto"/>
        </w:rPr>
      </w:pPr>
    </w:p>
    <w:p>
      <w:pPr>
        <w:ind w:left="324" w:hanging="324"/>
        <w:spacing w:after="0"/>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remove, restore or replace polluted or contaminated land or water; or</w:t>
      </w:r>
    </w:p>
    <w:p>
      <w:pPr>
        <w:spacing w:after="0" w:line="184" w:lineRule="exact"/>
        <w:rPr>
          <w:rFonts w:ascii="Arial" w:cs="Arial" w:eastAsia="Arial" w:hAnsi="Arial"/>
          <w:sz w:val="18"/>
          <w:szCs w:val="18"/>
          <w:color w:val="auto"/>
        </w:rPr>
      </w:pPr>
    </w:p>
    <w:p>
      <w:pPr>
        <w:ind w:left="324" w:right="80" w:hanging="324"/>
        <w:spacing w:after="0" w:line="235" w:lineRule="auto"/>
        <w:tabs>
          <w:tab w:leader="none" w:pos="3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test for, monitor, clean up, remove, contain, treat, detoxify or neutralize pollutants, or in any way respond to or assess the effects of pollutants.</w:t>
      </w:r>
    </w:p>
    <w:p>
      <w:pPr>
        <w:spacing w:after="0" w:line="162" w:lineRule="exact"/>
        <w:rPr>
          <w:sz w:val="20"/>
          <w:szCs w:val="20"/>
          <w:color w:val="auto"/>
        </w:rPr>
      </w:pPr>
    </w:p>
    <w:p>
      <w:pPr>
        <w:jc w:val="both"/>
        <w:ind w:left="4" w:hanging="1"/>
        <w:spacing w:after="0" w:line="249" w:lineRule="auto"/>
        <w:rPr>
          <w:sz w:val="20"/>
          <w:szCs w:val="20"/>
          <w:color w:val="auto"/>
        </w:rPr>
      </w:pPr>
      <w:r>
        <w:rPr>
          <w:rFonts w:ascii="Arial" w:cs="Arial" w:eastAsia="Arial" w:hAnsi="Arial"/>
          <w:sz w:val="16"/>
          <w:szCs w:val="16"/>
          <w:color w:val="auto"/>
        </w:rPr>
        <w:t>However, this exclusion does not apply if the discharge, dispersal, seepage, migration, release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"Waste" includes materials to be disposed of, recycled, reconditioned or reclaimed.</w:t>
      </w:r>
    </w:p>
    <w:p>
      <w:pPr>
        <w:spacing w:after="0" w:line="150" w:lineRule="exact"/>
        <w:rPr>
          <w:sz w:val="20"/>
          <w:szCs w:val="20"/>
          <w:color w:val="auto"/>
        </w:rPr>
      </w:pPr>
    </w:p>
    <w:p>
      <w:pPr>
        <w:jc w:val="both"/>
        <w:ind w:left="4" w:hanging="2"/>
        <w:spacing w:after="0" w:line="237" w:lineRule="auto"/>
        <w:rPr>
          <w:sz w:val="20"/>
          <w:szCs w:val="20"/>
          <w:color w:val="auto"/>
        </w:rPr>
      </w:pPr>
      <w:r>
        <w:rPr>
          <w:rFonts w:ascii="Arial" w:cs="Arial" w:eastAsia="Arial" w:hAnsi="Arial"/>
          <w:sz w:val="18"/>
          <w:szCs w:val="18"/>
          <w:b w:val="1"/>
          <w:bCs w:val="1"/>
          <w:color w:val="auto"/>
        </w:rPr>
        <w:t xml:space="preserve">Financial guarantees. </w:t>
      </w:r>
      <w:r>
        <w:rPr>
          <w:rFonts w:ascii="Arial" w:cs="Arial" w:eastAsia="Arial" w:hAnsi="Arial"/>
          <w:sz w:val="18"/>
          <w:szCs w:val="18"/>
          <w:color w:val="auto"/>
        </w:rPr>
        <w:t>We do not cover any damages for any covered person's financial guarantee of the financial performance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person, other individual or organization.</w:t>
      </w:r>
    </w:p>
    <w:p>
      <w:pPr>
        <w:spacing w:after="0" w:line="158" w:lineRule="exact"/>
        <w:rPr>
          <w:sz w:val="20"/>
          <w:szCs w:val="20"/>
          <w:color w:val="auto"/>
        </w:rPr>
      </w:pPr>
    </w:p>
    <w:p>
      <w:pPr>
        <w:jc w:val="both"/>
        <w:ind w:left="4"/>
        <w:spacing w:after="0" w:line="237" w:lineRule="auto"/>
        <w:rPr>
          <w:sz w:val="20"/>
          <w:szCs w:val="20"/>
          <w:color w:val="auto"/>
        </w:rPr>
      </w:pPr>
      <w:r>
        <w:rPr>
          <w:rFonts w:ascii="Arial" w:cs="Arial" w:eastAsia="Arial" w:hAnsi="Arial"/>
          <w:sz w:val="18"/>
          <w:szCs w:val="18"/>
          <w:b w:val="1"/>
          <w:bCs w:val="1"/>
          <w:color w:val="auto"/>
        </w:rPr>
        <w:t xml:space="preserve">Professional services. </w:t>
      </w:r>
      <w:r>
        <w:rPr>
          <w:rFonts w:ascii="Arial" w:cs="Arial" w:eastAsia="Arial" w:hAnsi="Arial"/>
          <w:sz w:val="18"/>
          <w:szCs w:val="18"/>
          <w:color w:val="auto"/>
        </w:rPr>
        <w:t>We do not cover any damages for any covered person's performing or failure to perform professional services, or</w:t>
      </w:r>
      <w:r>
        <w:rPr>
          <w:rFonts w:ascii="Arial" w:cs="Arial" w:eastAsia="Arial" w:hAnsi="Arial"/>
          <w:sz w:val="18"/>
          <w:szCs w:val="18"/>
          <w:b w:val="1"/>
          <w:bCs w:val="1"/>
          <w:color w:val="auto"/>
        </w:rPr>
        <w:t xml:space="preserve"> </w:t>
      </w:r>
      <w:r>
        <w:rPr>
          <w:rFonts w:ascii="Arial" w:cs="Arial" w:eastAsia="Arial" w:hAnsi="Arial"/>
          <w:sz w:val="18"/>
          <w:szCs w:val="18"/>
          <w:color w:val="auto"/>
        </w:rPr>
        <w:t>for professional services for which any covered person is legally responsible or licensed.</w:t>
      </w:r>
    </w:p>
    <w:p>
      <w:pPr>
        <w:spacing w:after="0" w:line="158"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b w:val="1"/>
          <w:bCs w:val="1"/>
          <w:color w:val="auto"/>
        </w:rPr>
        <w:t xml:space="preserve">Acts of war. </w:t>
      </w:r>
      <w:r>
        <w:rPr>
          <w:rFonts w:ascii="Arial" w:cs="Arial" w:eastAsia="Arial" w:hAnsi="Arial"/>
          <w:sz w:val="18"/>
          <w:szCs w:val="18"/>
          <w:color w:val="auto"/>
        </w:rPr>
        <w:t>We do not cover any damages caused directly or indirectly by war, undeclared war, civil war, insurrection, rebellion,</w:t>
      </w:r>
      <w:r>
        <w:rPr>
          <w:rFonts w:ascii="Arial" w:cs="Arial" w:eastAsia="Arial" w:hAnsi="Arial"/>
          <w:sz w:val="18"/>
          <w:szCs w:val="18"/>
          <w:b w:val="1"/>
          <w:bCs w:val="1"/>
          <w:color w:val="auto"/>
        </w:rPr>
        <w:t xml:space="preserve"> </w:t>
      </w:r>
      <w:r>
        <w:rPr>
          <w:rFonts w:ascii="Arial" w:cs="Arial" w:eastAsia="Arial" w:hAnsi="Arial"/>
          <w:sz w:val="18"/>
          <w:szCs w:val="18"/>
          <w:color w:val="auto"/>
        </w:rPr>
        <w:t>revolution, warlike acts by military forces or personnel, the destruction or seizure of property for a military purpose, or the consequences of any of these actions.</w:t>
      </w:r>
    </w:p>
    <w:p>
      <w:pPr>
        <w:spacing w:after="0" w:line="158" w:lineRule="exact"/>
        <w:rPr>
          <w:sz w:val="20"/>
          <w:szCs w:val="20"/>
          <w:color w:val="auto"/>
        </w:rPr>
      </w:pPr>
    </w:p>
    <w:p>
      <w:pPr>
        <w:jc w:val="both"/>
        <w:ind w:left="4" w:firstLine="3"/>
        <w:spacing w:after="0" w:line="220" w:lineRule="auto"/>
        <w:rPr>
          <w:sz w:val="20"/>
          <w:szCs w:val="20"/>
          <w:color w:val="auto"/>
        </w:rPr>
      </w:pPr>
      <w:r>
        <w:rPr>
          <w:rFonts w:ascii="Arial" w:cs="Arial" w:eastAsia="Arial" w:hAnsi="Arial"/>
          <w:sz w:val="18"/>
          <w:szCs w:val="18"/>
          <w:b w:val="1"/>
          <w:bCs w:val="1"/>
          <w:color w:val="auto"/>
        </w:rPr>
        <w:t xml:space="preserve">Contractual liability. </w:t>
      </w:r>
      <w:r>
        <w:rPr>
          <w:rFonts w:ascii="Arial" w:cs="Arial" w:eastAsia="Arial" w:hAnsi="Arial"/>
          <w:sz w:val="18"/>
          <w:szCs w:val="18"/>
          <w:color w:val="auto"/>
        </w:rPr>
        <w:t>We do not cover any assessments charged against a covered person as a member of a homeowners, condominium</w:t>
      </w:r>
      <w:r>
        <w:rPr>
          <w:rFonts w:ascii="Arial" w:cs="Arial" w:eastAsia="Arial" w:hAnsi="Arial"/>
          <w:sz w:val="18"/>
          <w:szCs w:val="18"/>
          <w:b w:val="1"/>
          <w:bCs w:val="1"/>
          <w:color w:val="auto"/>
        </w:rPr>
        <w:t xml:space="preserve"> </w:t>
      </w:r>
      <w:r>
        <w:rPr>
          <w:rFonts w:ascii="Arial" w:cs="Arial" w:eastAsia="Arial" w:hAnsi="Arial"/>
          <w:sz w:val="18"/>
          <w:szCs w:val="18"/>
          <w:color w:val="auto"/>
        </w:rPr>
        <w:t>or cooperative association. We also do not cover any damages arising from contracts or agreements made in connection with any covered person's business. Nor do we cover any liability for unwritten contracts, or contracts in which the liability of others is assumed after a covered loss.</w:t>
      </w:r>
    </w:p>
    <w:p>
      <w:pPr>
        <w:spacing w:after="0" w:line="159" w:lineRule="exact"/>
        <w:rPr>
          <w:sz w:val="20"/>
          <w:szCs w:val="20"/>
          <w:color w:val="auto"/>
        </w:rPr>
      </w:pPr>
    </w:p>
    <w:p>
      <w:pPr>
        <w:jc w:val="both"/>
        <w:ind w:left="4" w:firstLine="1"/>
        <w:spacing w:after="0" w:line="233" w:lineRule="auto"/>
        <w:rPr>
          <w:sz w:val="20"/>
          <w:szCs w:val="20"/>
          <w:color w:val="auto"/>
        </w:rPr>
      </w:pPr>
      <w:r>
        <w:rPr>
          <w:rFonts w:ascii="Arial" w:cs="Arial" w:eastAsia="Arial" w:hAnsi="Arial"/>
          <w:sz w:val="17"/>
          <w:szCs w:val="17"/>
          <w:b w:val="1"/>
          <w:bCs w:val="1"/>
          <w:color w:val="auto"/>
        </w:rPr>
        <w:t xml:space="preserve">Covered person's or dependent's personal injury. </w:t>
      </w:r>
      <w:r>
        <w:rPr>
          <w:rFonts w:ascii="Arial" w:cs="Arial" w:eastAsia="Arial" w:hAnsi="Arial"/>
          <w:sz w:val="17"/>
          <w:szCs w:val="17"/>
          <w:color w:val="auto"/>
        </w:rPr>
        <w:t>We do not cover any damages for personal injury for any covered person or their</w:t>
      </w:r>
      <w:r>
        <w:rPr>
          <w:rFonts w:ascii="Arial" w:cs="Arial" w:eastAsia="Arial" w:hAnsi="Arial"/>
          <w:sz w:val="17"/>
          <w:szCs w:val="17"/>
          <w:b w:val="1"/>
          <w:bCs w:val="1"/>
          <w:color w:val="auto"/>
        </w:rPr>
        <w:t xml:space="preserve"> </w:t>
      </w:r>
      <w:r>
        <w:rPr>
          <w:rFonts w:ascii="Arial" w:cs="Arial" w:eastAsia="Arial" w:hAnsi="Arial"/>
          <w:sz w:val="17"/>
          <w:szCs w:val="17"/>
          <w:color w:val="auto"/>
        </w:rPr>
        <w:t>dependents where the ultimate beneficiary is the offending party or defendant. We also do not cover any damages for personal injury for which you can be held legally liable, in any way, to a family member, your spouse or domestic partner or for which a family member, your spouse or domestic partner can be held legally liable, in any way, to you.</w:t>
      </w:r>
    </w:p>
    <w:p>
      <w:pPr>
        <w:spacing w:after="0" w:line="163" w:lineRule="exact"/>
        <w:rPr>
          <w:sz w:val="20"/>
          <w:szCs w:val="20"/>
          <w:color w:val="auto"/>
        </w:rPr>
      </w:pPr>
    </w:p>
    <w:p>
      <w:pPr>
        <w:jc w:val="both"/>
        <w:ind w:left="4" w:firstLine="3"/>
        <w:spacing w:after="0" w:line="216" w:lineRule="auto"/>
        <w:rPr>
          <w:sz w:val="20"/>
          <w:szCs w:val="20"/>
          <w:color w:val="auto"/>
        </w:rPr>
      </w:pPr>
      <w:r>
        <w:rPr>
          <w:rFonts w:ascii="Arial" w:cs="Arial" w:eastAsia="Arial" w:hAnsi="Arial"/>
          <w:sz w:val="18"/>
          <w:szCs w:val="18"/>
          <w:color w:val="auto"/>
        </w:rPr>
        <w:t>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This coverage applies only to the extent such damages are covered by primary underlying insurance and exceed the limits of insurance required for that motorized land vehicle under the Required Primary Underlying Insurance provisions of this policy.</w:t>
      </w:r>
    </w:p>
    <w:p>
      <w:pPr>
        <w:spacing w:after="0" w:line="158" w:lineRule="exact"/>
        <w:rPr>
          <w:sz w:val="20"/>
          <w:szCs w:val="20"/>
          <w:color w:val="auto"/>
        </w:rPr>
      </w:pPr>
    </w:p>
    <w:p>
      <w:pPr>
        <w:jc w:val="both"/>
        <w:ind w:left="4" w:firstLine="1"/>
        <w:spacing w:after="0" w:line="237" w:lineRule="auto"/>
        <w:rPr>
          <w:sz w:val="20"/>
          <w:szCs w:val="20"/>
          <w:color w:val="auto"/>
        </w:rPr>
      </w:pPr>
      <w:r>
        <w:rPr>
          <w:rFonts w:ascii="Arial" w:cs="Arial" w:eastAsia="Arial" w:hAnsi="Arial"/>
          <w:sz w:val="18"/>
          <w:szCs w:val="18"/>
          <w:b w:val="1"/>
          <w:bCs w:val="1"/>
          <w:color w:val="auto"/>
        </w:rPr>
        <w:t xml:space="preserve">Liability for dependent care. </w:t>
      </w:r>
      <w:r>
        <w:rPr>
          <w:rFonts w:ascii="Arial" w:cs="Arial" w:eastAsia="Arial" w:hAnsi="Arial"/>
          <w:sz w:val="18"/>
          <w:szCs w:val="18"/>
          <w:color w:val="auto"/>
        </w:rPr>
        <w:t>We do not cover any damages for personal injury for which a covered person's only legal liability is by</w:t>
      </w:r>
      <w:r>
        <w:rPr>
          <w:rFonts w:ascii="Arial" w:cs="Arial" w:eastAsia="Arial" w:hAnsi="Arial"/>
          <w:sz w:val="18"/>
          <w:szCs w:val="18"/>
          <w:b w:val="1"/>
          <w:bCs w:val="1"/>
          <w:color w:val="auto"/>
        </w:rPr>
        <w:t xml:space="preserve"> </w:t>
      </w:r>
      <w:r>
        <w:rPr>
          <w:rFonts w:ascii="Arial" w:cs="Arial" w:eastAsia="Arial" w:hAnsi="Arial"/>
          <w:sz w:val="18"/>
          <w:szCs w:val="18"/>
          <w:color w:val="auto"/>
        </w:rPr>
        <w:t>virtue of a contract or other responsibility for a dependent's care.</w:t>
      </w:r>
    </w:p>
    <w:p>
      <w:pPr>
        <w:spacing w:after="0" w:line="158" w:lineRule="exact"/>
        <w:rPr>
          <w:sz w:val="20"/>
          <w:szCs w:val="20"/>
          <w:color w:val="auto"/>
        </w:rPr>
      </w:pPr>
    </w:p>
    <w:p>
      <w:pPr>
        <w:jc w:val="both"/>
        <w:ind w:left="4" w:firstLine="3"/>
        <w:spacing w:after="0" w:line="220" w:lineRule="auto"/>
        <w:rPr>
          <w:sz w:val="20"/>
          <w:szCs w:val="20"/>
          <w:color w:val="auto"/>
        </w:rPr>
      </w:pPr>
      <w:r>
        <w:rPr>
          <w:rFonts w:ascii="Arial" w:cs="Arial" w:eastAsia="Arial" w:hAnsi="Arial"/>
          <w:sz w:val="18"/>
          <w:szCs w:val="18"/>
          <w:b w:val="1"/>
          <w:bCs w:val="1"/>
          <w:color w:val="auto"/>
        </w:rPr>
        <w:t xml:space="preserve">IDness. </w:t>
      </w:r>
      <w:r>
        <w:rPr>
          <w:rFonts w:ascii="Arial" w:cs="Arial" w:eastAsia="Arial" w:hAnsi="Arial"/>
          <w:sz w:val="18"/>
          <w:szCs w:val="18"/>
          <w:color w:val="auto"/>
        </w:rPr>
        <w:t>We do not cover personal injury or property damage resulting from any illness, sickness or disease transmitted intentionally or</w:t>
      </w:r>
      <w:r>
        <w:rPr>
          <w:rFonts w:ascii="Arial" w:cs="Arial" w:eastAsia="Arial" w:hAnsi="Arial"/>
          <w:sz w:val="18"/>
          <w:szCs w:val="18"/>
          <w:b w:val="1"/>
          <w:bCs w:val="1"/>
          <w:color w:val="auto"/>
        </w:rPr>
        <w:t xml:space="preserve"> </w:t>
      </w:r>
      <w:r>
        <w:rPr>
          <w:rFonts w:ascii="Arial" w:cs="Arial" w:eastAsia="Arial" w:hAnsi="Arial"/>
          <w:sz w:val="18"/>
          <w:szCs w:val="18"/>
          <w:color w:val="auto"/>
        </w:rPr>
        <w:t>unintentionally by a covered person to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159" w:lineRule="exact"/>
        <w:rPr>
          <w:sz w:val="20"/>
          <w:szCs w:val="20"/>
          <w:color w:val="auto"/>
        </w:rPr>
      </w:pPr>
    </w:p>
    <w:p>
      <w:pPr>
        <w:jc w:val="both"/>
        <w:ind w:left="4" w:hanging="2"/>
        <w:spacing w:after="0" w:line="226" w:lineRule="auto"/>
        <w:rPr>
          <w:sz w:val="20"/>
          <w:szCs w:val="20"/>
          <w:color w:val="auto"/>
        </w:rPr>
      </w:pPr>
      <w:r>
        <w:rPr>
          <w:rFonts w:ascii="Arial" w:cs="Arial" w:eastAsia="Arial" w:hAnsi="Arial"/>
          <w:sz w:val="18"/>
          <w:szCs w:val="18"/>
          <w:b w:val="1"/>
          <w:bCs w:val="1"/>
          <w:color w:val="auto"/>
        </w:rPr>
        <w:t xml:space="preserve">Fungi and mold. </w:t>
      </w:r>
      <w:r>
        <w:rPr>
          <w:rFonts w:ascii="Arial" w:cs="Arial" w:eastAsia="Arial" w:hAnsi="Arial"/>
          <w:sz w:val="18"/>
          <w:szCs w:val="18"/>
          <w:color w:val="auto"/>
        </w:rPr>
        <w:t>We do not cover any actual or alleged damages or medical expenses arising out of mold, the fear of mold,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resulting from mold or the fear of mold. "Mold" means fungi, mold, mold spores, mycotoxins, and the scents and other byproducts of any of these.</w:t>
      </w:r>
    </w:p>
    <w:p>
      <w:pPr>
        <w:sectPr>
          <w:pgSz w:w="11900" w:h="16838" w:orient="portrait"/>
          <w:cols w:equalWidth="0" w:num="1">
            <w:col w:w="9824"/>
          </w:cols>
          <w:pgMar w:left="976" w:top="1120" w:right="1099" w:bottom="1440" w:gutter="0" w:footer="0" w:header="0"/>
        </w:sectPr>
      </w:pPr>
    </w:p>
    <w:bookmarkStart w:id="50" w:name="page51"/>
    <w:bookmarkEnd w:id="50"/>
    <w:p>
      <w:pPr>
        <w:ind w:right="120"/>
        <w:spacing w:after="0" w:line="237" w:lineRule="auto"/>
        <w:rPr>
          <w:sz w:val="20"/>
          <w:szCs w:val="20"/>
          <w:color w:val="auto"/>
        </w:rPr>
      </w:pPr>
      <w:r>
        <w:rPr>
          <w:rFonts w:ascii="Arial" w:cs="Arial" w:eastAsia="Arial" w:hAnsi="Arial"/>
          <w:sz w:val="18"/>
          <w:szCs w:val="18"/>
          <w:b w:val="1"/>
          <w:bCs w:val="1"/>
          <w:color w:val="auto"/>
        </w:rPr>
        <w:t xml:space="preserve">Nuclear or radiation hazard. </w:t>
      </w:r>
      <w:r>
        <w:rPr>
          <w:rFonts w:ascii="Arial" w:cs="Arial" w:eastAsia="Arial" w:hAnsi="Arial"/>
          <w:sz w:val="18"/>
          <w:szCs w:val="18"/>
          <w:color w:val="auto"/>
        </w:rPr>
        <w:t>We do not cover any damages caused directly or indirectly by nuclear reaction, radiation, or radioactive</w:t>
      </w:r>
      <w:r>
        <w:rPr>
          <w:rFonts w:ascii="Arial" w:cs="Arial" w:eastAsia="Arial" w:hAnsi="Arial"/>
          <w:sz w:val="18"/>
          <w:szCs w:val="18"/>
          <w:b w:val="1"/>
          <w:bCs w:val="1"/>
          <w:color w:val="auto"/>
        </w:rPr>
        <w:t xml:space="preserve"> </w:t>
      </w:r>
      <w:r>
        <w:rPr>
          <w:rFonts w:ascii="Arial" w:cs="Arial" w:eastAsia="Arial" w:hAnsi="Arial"/>
          <w:sz w:val="18"/>
          <w:szCs w:val="18"/>
          <w:color w:val="auto"/>
        </w:rPr>
        <w:t>contamination, regardless of how it was caused.</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POLICY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This part of your Group Personal Excess Liability Policy explains the conditions that apply to your policy.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conditions apply to your policy in general, and to each coverage provided in the policy.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period</w:t>
      </w:r>
    </w:p>
    <w:p>
      <w:pPr>
        <w:spacing w:after="0" w:line="18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effective dates of your policy are shown in the Coverage Summary. Those dates begin at 12:01 a.m. standard time at the mailing address shown.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All coverages on this policy apply only to occurrences that take place while this policy is in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rights</w:t>
      </w:r>
    </w:p>
    <w:p>
      <w:pPr>
        <w:spacing w:after="0" w:line="189" w:lineRule="exact"/>
        <w:rPr>
          <w:sz w:val="20"/>
          <w:szCs w:val="20"/>
          <w:color w:val="auto"/>
        </w:rPr>
      </w:pPr>
    </w:p>
    <w:p>
      <w:pPr>
        <w:ind w:right="300" w:hanging="13"/>
        <w:spacing w:after="0" w:line="235" w:lineRule="auto"/>
        <w:rPr>
          <w:sz w:val="20"/>
          <w:szCs w:val="20"/>
          <w:color w:val="auto"/>
        </w:rPr>
      </w:pPr>
      <w:r>
        <w:rPr>
          <w:rFonts w:ascii="Arial" w:cs="Arial" w:eastAsia="Arial" w:hAnsi="Arial"/>
          <w:sz w:val="18"/>
          <w:szCs w:val="18"/>
          <w:color w:val="auto"/>
        </w:rPr>
        <w:t>If we make a payment under this policy, we will assume any recovery rights a covered person has in connection with that loss, to the extent we have paid for the loss.</w:t>
      </w:r>
    </w:p>
    <w:p>
      <w:pPr>
        <w:spacing w:after="0" w:line="162" w:lineRule="exact"/>
        <w:rPr>
          <w:sz w:val="20"/>
          <w:szCs w:val="20"/>
          <w:color w:val="auto"/>
        </w:rPr>
      </w:pPr>
    </w:p>
    <w:p>
      <w:pPr>
        <w:jc w:val="both"/>
        <w:ind w:hanging="3"/>
        <w:spacing w:after="0" w:line="237" w:lineRule="auto"/>
        <w:rPr>
          <w:sz w:val="20"/>
          <w:szCs w:val="20"/>
          <w:color w:val="auto"/>
        </w:rPr>
      </w:pPr>
      <w:r>
        <w:rPr>
          <w:rFonts w:ascii="Arial" w:cs="Arial" w:eastAsia="Arial" w:hAnsi="Arial"/>
          <w:sz w:val="17"/>
          <w:szCs w:val="17"/>
          <w:color w:val="auto"/>
        </w:rPr>
        <w:t>All of your rights of recovery will become our rights to the extent of any payment we make under this policy. A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Concealment or fraud</w:t>
      </w:r>
    </w:p>
    <w:p>
      <w:pPr>
        <w:spacing w:after="0" w:line="189" w:lineRule="exact"/>
        <w:rPr>
          <w:sz w:val="20"/>
          <w:szCs w:val="20"/>
          <w:color w:val="auto"/>
        </w:rPr>
      </w:pPr>
    </w:p>
    <w:p>
      <w:pPr>
        <w:jc w:val="both"/>
        <w:ind w:hanging="9"/>
        <w:spacing w:after="0" w:line="235" w:lineRule="auto"/>
        <w:rPr>
          <w:sz w:val="20"/>
          <w:szCs w:val="20"/>
          <w:color w:val="auto"/>
        </w:rPr>
      </w:pPr>
      <w:r>
        <w:rPr>
          <w:rFonts w:ascii="Arial" w:cs="Arial" w:eastAsia="Arial" w:hAnsi="Arial"/>
          <w:sz w:val="18"/>
          <w:szCs w:val="18"/>
          <w:color w:val="auto"/>
        </w:rPr>
        <w:t>We do not provide coverage if you or any covered person has intentionally concealed or misrepresented any material fact relating to this policy before or after a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coverage</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Coverage applies separately to each covered person. However, this provision does not increase the amount of coverage for any one occurrence.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You cannot transfer your interest in this policy to anyone else unless we agree in writing to the transfer.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changes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This policy can be changed only by a written amendment we issue.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or insolvency</w:t>
      </w:r>
    </w:p>
    <w:p>
      <w:pPr>
        <w:spacing w:after="0" w:line="189" w:lineRule="exact"/>
        <w:rPr>
          <w:sz w:val="20"/>
          <w:szCs w:val="20"/>
          <w:color w:val="auto"/>
        </w:rPr>
      </w:pPr>
    </w:p>
    <w:p>
      <w:pPr>
        <w:jc w:val="both"/>
        <w:ind w:hanging="15"/>
        <w:spacing w:after="0" w:line="235" w:lineRule="auto"/>
        <w:rPr>
          <w:sz w:val="20"/>
          <w:szCs w:val="20"/>
          <w:color w:val="auto"/>
        </w:rPr>
      </w:pPr>
      <w:r>
        <w:rPr>
          <w:rFonts w:ascii="Arial" w:cs="Arial" w:eastAsia="Arial" w:hAnsi="Arial"/>
          <w:sz w:val="18"/>
          <w:szCs w:val="18"/>
          <w:color w:val="auto"/>
        </w:rPr>
        <w:t>We will meet all our obligations under this policy regardless of whether you, your estate, or anyone else or their estate becomes bankrupt or insolvent.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case of death</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event of your death, coverage will be provided until the end of the policy period or policy anniversary date, whichever occurs first, for any surviving member of your household who is a covered person at the time of death. We will also cover your legal representative or any person having proper temporary custody of your property.</w:t>
      </w:r>
    </w:p>
    <w:p>
      <w:pPr>
        <w:sectPr>
          <w:pgSz w:w="11900" w:h="16838" w:orient="portrait"/>
          <w:cols w:equalWidth="0" w:num="1">
            <w:col w:w="9820"/>
          </w:cols>
          <w:pgMar w:left="980" w:top="1120" w:right="1099" w:bottom="1440" w:gutter="0" w:footer="0" w:header="0"/>
        </w:sectPr>
      </w:pPr>
    </w:p>
    <w:bookmarkStart w:id="51" w:name="page52"/>
    <w:bookmarkEnd w:id="51"/>
    <w:p>
      <w:pPr>
        <w:ind w:left="4"/>
        <w:spacing w:after="0"/>
        <w:rPr>
          <w:sz w:val="20"/>
          <w:szCs w:val="20"/>
          <w:color w:val="auto"/>
        </w:rPr>
      </w:pPr>
      <w:r>
        <w:rPr>
          <w:rFonts w:ascii="Arial" w:cs="Arial" w:eastAsia="Arial" w:hAnsi="Arial"/>
          <w:sz w:val="18"/>
          <w:szCs w:val="18"/>
          <w:b w:val="1"/>
          <w:bCs w:val="1"/>
          <w:color w:val="auto"/>
        </w:rPr>
        <w:t>Liberalization</w:t>
      </w:r>
    </w:p>
    <w:p>
      <w:pPr>
        <w:jc w:val="both"/>
        <w:ind w:left="4" w:hanging="1"/>
        <w:spacing w:after="0" w:line="218" w:lineRule="auto"/>
        <w:rPr>
          <w:sz w:val="20"/>
          <w:szCs w:val="20"/>
          <w:color w:val="auto"/>
        </w:rPr>
      </w:pPr>
      <w:r>
        <w:rPr>
          <w:rFonts w:ascii="Arial" w:cs="Arial" w:eastAsia="Arial" w:hAnsi="Arial"/>
          <w:sz w:val="18"/>
          <w:szCs w:val="18"/>
          <w:color w:val="auto"/>
        </w:rPr>
        <w:t>We may extend or broaden the coverage provided by this policy. If we do this during the policy period or within 60 days before it begins, without increasing the premium, then the extended or broadened coverage will apply to occurrences after the effective date of the extended or broadened coverage.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Conforming to state law</w:t>
      </w:r>
    </w:p>
    <w:p>
      <w:pPr>
        <w:spacing w:after="0" w:line="189" w:lineRule="exact"/>
        <w:rPr>
          <w:sz w:val="20"/>
          <w:szCs w:val="20"/>
          <w:color w:val="auto"/>
        </w:rPr>
      </w:pPr>
    </w:p>
    <w:p>
      <w:pPr>
        <w:jc w:val="both"/>
        <w:ind w:left="4" w:hanging="13"/>
        <w:spacing w:after="0" w:line="235" w:lineRule="auto"/>
        <w:rPr>
          <w:sz w:val="20"/>
          <w:szCs w:val="20"/>
          <w:color w:val="auto"/>
        </w:rPr>
      </w:pPr>
      <w:r>
        <w:rPr>
          <w:rFonts w:ascii="Arial" w:cs="Arial" w:eastAsia="Arial" w:hAnsi="Arial"/>
          <w:sz w:val="18"/>
          <w:szCs w:val="18"/>
          <w:color w:val="auto"/>
        </w:rPr>
        <w:t>If any provision of this policy conflict&lt;; with any applicable laws of the state you live in, this policy is amended to conform to those laws.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Conforming to trade sanction laws</w:t>
      </w:r>
    </w:p>
    <w:p>
      <w:pPr>
        <w:spacing w:after="0" w:line="189" w:lineRule="exact"/>
        <w:rPr>
          <w:sz w:val="20"/>
          <w:szCs w:val="20"/>
          <w:color w:val="auto"/>
        </w:rPr>
      </w:pPr>
    </w:p>
    <w:p>
      <w:pPr>
        <w:jc w:val="both"/>
        <w:ind w:left="4"/>
        <w:spacing w:after="0" w:line="235" w:lineRule="auto"/>
        <w:rPr>
          <w:sz w:val="20"/>
          <w:szCs w:val="20"/>
          <w:color w:val="auto"/>
        </w:rPr>
      </w:pPr>
      <w:r>
        <w:rPr>
          <w:rFonts w:ascii="Arial" w:cs="Arial" w:eastAsia="Arial" w:hAnsi="Arial"/>
          <w:sz w:val="18"/>
          <w:szCs w:val="18"/>
          <w:color w:val="auto"/>
        </w:rPr>
        <w:t>This policy does not apply to the extent that trade or economic sanctions or other laws or regulations prohibit us from providing insurance.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Liability Conditions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These conditions apply to all liability coverages in this policy.</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Other Insurance</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insurance is excess over any other insurance except for those policies that</w:t>
      </w:r>
    </w:p>
    <w:p>
      <w:pPr>
        <w:spacing w:after="0" w:line="185" w:lineRule="exact"/>
        <w:rPr>
          <w:sz w:val="20"/>
          <w:szCs w:val="20"/>
          <w:color w:val="auto"/>
        </w:rPr>
      </w:pPr>
    </w:p>
    <w:p>
      <w:pPr>
        <w:ind w:left="324" w:hanging="324"/>
        <w:spacing w:after="0"/>
        <w:tabs>
          <w:tab w:leader="none" w:pos="3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are written specifically to cover excess over the amount of coverage that applies in this policy; and</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schedule this policy as underlying insurance.</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Your duties after a loss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case of an accident or occurrence, the covered person shall perform the following duties that apply:</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Notification. </w:t>
      </w:r>
      <w:r>
        <w:rPr>
          <w:rFonts w:ascii="Arial" w:cs="Arial" w:eastAsia="Arial" w:hAnsi="Arial"/>
          <w:sz w:val="18"/>
          <w:szCs w:val="18"/>
          <w:color w:val="auto"/>
        </w:rPr>
        <w:t>You must notify us or your agent or broker as soon as possible.</w:t>
      </w:r>
    </w:p>
    <w:p>
      <w:pPr>
        <w:spacing w:after="0" w:line="185" w:lineRule="exact"/>
        <w:rPr>
          <w:sz w:val="20"/>
          <w:szCs w:val="20"/>
          <w:color w:val="auto"/>
        </w:rPr>
      </w:pPr>
    </w:p>
    <w:p>
      <w:pPr>
        <w:ind w:left="4"/>
        <w:spacing w:after="0" w:line="237" w:lineRule="auto"/>
        <w:rPr>
          <w:sz w:val="20"/>
          <w:szCs w:val="20"/>
          <w:color w:val="auto"/>
        </w:rPr>
      </w:pPr>
      <w:r>
        <w:rPr>
          <w:rFonts w:ascii="Arial" w:cs="Arial" w:eastAsia="Arial" w:hAnsi="Arial"/>
          <w:sz w:val="18"/>
          <w:szCs w:val="18"/>
          <w:b w:val="1"/>
          <w:bCs w:val="1"/>
          <w:color w:val="auto"/>
        </w:rPr>
        <w:t xml:space="preserve">Assistance. </w:t>
      </w:r>
      <w:r>
        <w:rPr>
          <w:rFonts w:ascii="Arial" w:cs="Arial" w:eastAsia="Arial" w:hAnsi="Arial"/>
          <w:sz w:val="18"/>
          <w:szCs w:val="18"/>
          <w:color w:val="auto"/>
        </w:rPr>
        <w:t>You must provide us with all available information. This includes any suit papers or other documents which help us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that we defend you.</w:t>
      </w:r>
    </w:p>
    <w:p>
      <w:pPr>
        <w:spacing w:after="0" w:line="158" w:lineRule="exact"/>
        <w:rPr>
          <w:sz w:val="20"/>
          <w:szCs w:val="20"/>
          <w:color w:val="auto"/>
        </w:rPr>
      </w:pPr>
    </w:p>
    <w:p>
      <w:pPr>
        <w:ind w:left="4" w:firstLine="1"/>
        <w:spacing w:after="0" w:line="237" w:lineRule="auto"/>
        <w:rPr>
          <w:sz w:val="20"/>
          <w:szCs w:val="20"/>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You must cooperate with us fully in any legal defense. This may include any association by us with the covered person in</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of a claim reasonably likely to involve us.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Examination. </w:t>
      </w:r>
      <w:r>
        <w:rPr>
          <w:rFonts w:ascii="Arial" w:cs="Arial" w:eastAsia="Arial" w:hAnsi="Arial"/>
          <w:sz w:val="18"/>
          <w:szCs w:val="18"/>
          <w:color w:val="auto"/>
        </w:rPr>
        <w:t>A person making a claim under this policy must submit as often as we reasonably require:</w:t>
      </w:r>
    </w:p>
    <w:p>
      <w:pPr>
        <w:spacing w:after="0" w:line="189" w:lineRule="exact"/>
        <w:rPr>
          <w:sz w:val="20"/>
          <w:szCs w:val="20"/>
          <w:color w:val="auto"/>
        </w:rPr>
      </w:pPr>
    </w:p>
    <w:p>
      <w:pPr>
        <w:ind w:left="384" w:hanging="283"/>
        <w:spacing w:after="0"/>
        <w:tabs>
          <w:tab w:leader="none" w:pos="384" w:val="left"/>
        </w:tabs>
        <w:numPr>
          <w:ilvl w:val="0"/>
          <w:numId w:val="52"/>
        </w:numPr>
        <w:rPr>
          <w:rFonts w:ascii="Arial" w:cs="Arial" w:eastAsia="Arial" w:hAnsi="Arial"/>
          <w:sz w:val="17"/>
          <w:szCs w:val="17"/>
          <w:color w:val="auto"/>
        </w:rPr>
      </w:pPr>
      <w:r>
        <w:rPr>
          <w:rFonts w:ascii="Arial" w:cs="Arial" w:eastAsia="Arial" w:hAnsi="Arial"/>
          <w:sz w:val="18"/>
          <w:szCs w:val="18"/>
          <w:color w:val="auto"/>
        </w:rPr>
        <w:t>to physical exams by physicians we select, which we will pay for; and</w:t>
      </w:r>
    </w:p>
    <w:p>
      <w:pPr>
        <w:spacing w:after="0" w:line="184" w:lineRule="exact"/>
        <w:rPr>
          <w:rFonts w:ascii="Arial" w:cs="Arial" w:eastAsia="Arial" w:hAnsi="Arial"/>
          <w:sz w:val="17"/>
          <w:szCs w:val="17"/>
          <w:color w:val="auto"/>
        </w:rPr>
      </w:pPr>
    </w:p>
    <w:p>
      <w:pPr>
        <w:ind w:left="384" w:hanging="283"/>
        <w:spacing w:after="0"/>
        <w:tabs>
          <w:tab w:leader="none" w:pos="384" w:val="left"/>
        </w:tabs>
        <w:numPr>
          <w:ilvl w:val="0"/>
          <w:numId w:val="52"/>
        </w:numPr>
        <w:rPr>
          <w:rFonts w:ascii="Arial" w:cs="Arial" w:eastAsia="Arial" w:hAnsi="Arial"/>
          <w:sz w:val="17"/>
          <w:szCs w:val="17"/>
          <w:color w:val="auto"/>
        </w:rPr>
      </w:pPr>
      <w:r>
        <w:rPr>
          <w:rFonts w:ascii="Arial" w:cs="Arial" w:eastAsia="Arial" w:hAnsi="Arial"/>
          <w:sz w:val="18"/>
          <w:szCs w:val="18"/>
          <w:color w:val="auto"/>
        </w:rPr>
        <w:t>to examination under oath and subscribe the same; and authorize us to obtain:</w:t>
      </w:r>
    </w:p>
    <w:p>
      <w:pPr>
        <w:spacing w:after="0" w:line="184" w:lineRule="exact"/>
        <w:rPr>
          <w:rFonts w:ascii="Arial" w:cs="Arial" w:eastAsia="Arial" w:hAnsi="Arial"/>
          <w:sz w:val="17"/>
          <w:szCs w:val="17"/>
          <w:color w:val="auto"/>
        </w:rPr>
      </w:pPr>
    </w:p>
    <w:p>
      <w:pPr>
        <w:ind w:left="1444" w:hanging="299"/>
        <w:spacing w:after="0"/>
        <w:tabs>
          <w:tab w:leader="none" w:pos="14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medical reports; and</w:t>
      </w:r>
    </w:p>
    <w:p>
      <w:pPr>
        <w:spacing w:after="0" w:line="184" w:lineRule="exact"/>
        <w:rPr>
          <w:rFonts w:ascii="Arial" w:cs="Arial" w:eastAsia="Arial" w:hAnsi="Arial"/>
          <w:sz w:val="18"/>
          <w:szCs w:val="18"/>
          <w:color w:val="auto"/>
        </w:rPr>
      </w:pPr>
    </w:p>
    <w:p>
      <w:pPr>
        <w:ind w:left="1444" w:hanging="299"/>
        <w:spacing w:after="0"/>
        <w:tabs>
          <w:tab w:leader="none" w:pos="14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other pertinent records.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Appeals</w:t>
      </w:r>
    </w:p>
    <w:p>
      <w:pPr>
        <w:spacing w:after="0" w:line="189" w:lineRule="exact"/>
        <w:rPr>
          <w:sz w:val="20"/>
          <w:szCs w:val="20"/>
          <w:color w:val="auto"/>
        </w:rPr>
      </w:pPr>
    </w:p>
    <w:p>
      <w:pPr>
        <w:jc w:val="both"/>
        <w:ind w:left="4" w:firstLine="6"/>
        <w:spacing w:after="0" w:line="224" w:lineRule="auto"/>
        <w:rPr>
          <w:sz w:val="20"/>
          <w:szCs w:val="20"/>
          <w:color w:val="auto"/>
        </w:rPr>
      </w:pPr>
      <w:r>
        <w:rPr>
          <w:rFonts w:ascii="Arial" w:cs="Arial" w:eastAsia="Arial" w:hAnsi="Arial"/>
          <w:sz w:val="18"/>
          <w:szCs w:val="18"/>
          <w:color w:val="auto"/>
        </w:rPr>
        <w:t>If a covered person, or any primary insurer, does not appeal a judgment for covered damages, we may choose to do so. We will then become responsible for all expenses, taxable costs, and interest arising out of the appeal. However, the amount of coverage for damages will not be increased.</w:t>
      </w:r>
    </w:p>
    <w:p>
      <w:pPr>
        <w:sectPr>
          <w:pgSz w:w="11900" w:h="16838" w:orient="portrait"/>
          <w:cols w:equalWidth="0" w:num="1">
            <w:col w:w="9824"/>
          </w:cols>
          <w:pgMar w:left="976" w:top="1109" w:right="10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Special Conditions</w:t>
      </w:r>
    </w:p>
    <w:p>
      <w:pPr>
        <w:spacing w:after="0"/>
        <w:rPr>
          <w:sz w:val="20"/>
          <w:szCs w:val="20"/>
          <w:color w:val="auto"/>
        </w:rPr>
      </w:pPr>
      <w:r>
        <w:rPr>
          <w:rFonts w:ascii="Arial" w:cs="Arial" w:eastAsia="Arial" w:hAnsi="Arial"/>
          <w:sz w:val="18"/>
          <w:szCs w:val="18"/>
          <w:color w:val="auto"/>
        </w:rPr>
        <w:t>In the event of conflict with any other conditions of your policy, these conditions supersede.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action against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You agree not to bring action against us unless you have first complied with all conditions of this policy.</w:t>
      </w:r>
    </w:p>
    <w:p>
      <w:pPr>
        <w:spacing w:after="0" w:line="185" w:lineRule="exact"/>
        <w:rPr>
          <w:sz w:val="20"/>
          <w:szCs w:val="20"/>
          <w:color w:val="auto"/>
        </w:rPr>
      </w:pPr>
    </w:p>
    <w:p>
      <w:pPr>
        <w:jc w:val="both"/>
        <w:ind w:hanging="8"/>
        <w:spacing w:after="0" w:line="237" w:lineRule="auto"/>
        <w:rPr>
          <w:sz w:val="20"/>
          <w:szCs w:val="20"/>
          <w:color w:val="auto"/>
        </w:rPr>
      </w:pPr>
      <w:r>
        <w:rPr>
          <w:rFonts w:ascii="Arial" w:cs="Arial" w:eastAsia="Arial" w:hAnsi="Arial"/>
          <w:sz w:val="17"/>
          <w:szCs w:val="17"/>
          <w:color w:val="auto"/>
        </w:rPr>
        <w:t>You also agree not to bring any action against us until the amount of damages you are legally obligated to pay has been finally determined after an actual trial or appeal, if any, or by a written agreement between you, us and the claimant. No person or organization has any right under this policy to bring us into any action to determine the liability of a covered person.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cancellation and coverage termination conditions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Sponsoring Organization may cancel this policy by returning it to us or notifying us in writing at any time subject to the following:</w:t>
      </w:r>
    </w:p>
    <w:p>
      <w:pPr>
        <w:spacing w:after="0" w:line="208" w:lineRule="exact"/>
        <w:rPr>
          <w:sz w:val="20"/>
          <w:szCs w:val="20"/>
          <w:color w:val="auto"/>
        </w:rPr>
      </w:pPr>
    </w:p>
    <w:p>
      <w:pPr>
        <w:ind w:left="380" w:hanging="283"/>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8"/>
          <w:szCs w:val="18"/>
          <w:color w:val="auto"/>
        </w:rPr>
        <w:t>the Sponsoring Organization must notify us in advance of the requested cancellation date; and</w:t>
      </w:r>
    </w:p>
    <w:p>
      <w:pPr>
        <w:spacing w:after="0" w:line="184" w:lineRule="exact"/>
        <w:rPr>
          <w:rFonts w:ascii="Arial" w:cs="Arial" w:eastAsia="Arial" w:hAnsi="Arial"/>
          <w:sz w:val="17"/>
          <w:szCs w:val="17"/>
          <w:color w:val="auto"/>
        </w:rPr>
      </w:pPr>
    </w:p>
    <w:p>
      <w:pPr>
        <w:ind w:left="380" w:hanging="283"/>
        <w:spacing w:after="0"/>
        <w:tabs>
          <w:tab w:leader="none" w:pos="380" w:val="left"/>
        </w:tabs>
        <w:numPr>
          <w:ilvl w:val="0"/>
          <w:numId w:val="53"/>
        </w:numPr>
        <w:rPr>
          <w:rFonts w:ascii="Arial" w:cs="Arial" w:eastAsia="Arial" w:hAnsi="Arial"/>
          <w:sz w:val="15"/>
          <w:szCs w:val="15"/>
          <w:color w:val="auto"/>
        </w:rPr>
      </w:pPr>
      <w:r>
        <w:rPr>
          <w:rFonts w:ascii="Arial" w:cs="Arial" w:eastAsia="Arial" w:hAnsi="Arial"/>
          <w:sz w:val="16"/>
          <w:szCs w:val="16"/>
          <w:color w:val="auto"/>
        </w:rPr>
        <w:t>the Sponsoring Organization must provide proof of notification to each member of the Defined Group covered under this policy.</w:t>
      </w:r>
    </w:p>
    <w:p>
      <w:pPr>
        <w:spacing w:after="0" w:line="204" w:lineRule="exact"/>
        <w:rPr>
          <w:sz w:val="20"/>
          <w:szCs w:val="20"/>
          <w:color w:val="auto"/>
        </w:rPr>
      </w:pPr>
    </w:p>
    <w:p>
      <w:pPr>
        <w:jc w:val="both"/>
        <w:ind w:hanging="11"/>
        <w:spacing w:after="0" w:line="226" w:lineRule="auto"/>
        <w:rPr>
          <w:sz w:val="20"/>
          <w:szCs w:val="20"/>
          <w:color w:val="auto"/>
        </w:rPr>
      </w:pPr>
      <w:r>
        <w:rPr>
          <w:rFonts w:ascii="Arial" w:cs="Arial" w:eastAsia="Arial" w:hAnsi="Arial"/>
          <w:sz w:val="18"/>
          <w:szCs w:val="18"/>
          <w:b w:val="1"/>
          <w:bCs w:val="1"/>
          <w:color w:val="auto"/>
        </w:rPr>
        <w:t xml:space="preserve">We </w:t>
      </w:r>
      <w:r>
        <w:rPr>
          <w:rFonts w:ascii="Arial" w:cs="Arial" w:eastAsia="Arial" w:hAnsi="Arial"/>
          <w:sz w:val="18"/>
          <w:szCs w:val="18"/>
          <w:color w:val="auto"/>
        </w:rPr>
        <w:t>may cancel this policy or any part of it subject to the following conditions. Our right to cancel applies to each coverage or limit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policy. In the event we cancel this policy, we are under no obligation to provide you with an opportunity to purchase equivalent coverage.</w:t>
      </w:r>
    </w:p>
    <w:p>
      <w:pPr>
        <w:spacing w:after="0" w:line="158" w:lineRule="exact"/>
        <w:rPr>
          <w:sz w:val="20"/>
          <w:szCs w:val="20"/>
          <w:color w:val="auto"/>
        </w:rPr>
      </w:pPr>
    </w:p>
    <w:p>
      <w:pPr>
        <w:jc w:val="both"/>
        <w:ind w:firstLine="9"/>
        <w:spacing w:after="0" w:line="237" w:lineRule="auto"/>
        <w:rPr>
          <w:sz w:val="20"/>
          <w:szCs w:val="20"/>
          <w:color w:val="auto"/>
        </w:rPr>
      </w:pPr>
      <w:r>
        <w:rPr>
          <w:rFonts w:ascii="Arial" w:cs="Arial" w:eastAsia="Arial" w:hAnsi="Arial"/>
          <w:sz w:val="18"/>
          <w:szCs w:val="18"/>
          <w:b w:val="1"/>
          <w:bCs w:val="1"/>
          <w:color w:val="auto"/>
        </w:rPr>
        <w:t xml:space="preserve">Within 60 days. </w:t>
      </w:r>
      <w:r>
        <w:rPr>
          <w:rFonts w:ascii="Arial" w:cs="Arial" w:eastAsia="Arial" w:hAnsi="Arial"/>
          <w:sz w:val="18"/>
          <w:szCs w:val="18"/>
          <w:color w:val="auto"/>
        </w:rPr>
        <w:t>When this policy or any part of it has been in effect for less than 60 days, we may cancel with 30 days notice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w:t>
      </w:r>
    </w:p>
    <w:p>
      <w:pPr>
        <w:spacing w:after="0" w:line="158" w:lineRule="exact"/>
        <w:rPr>
          <w:sz w:val="20"/>
          <w:szCs w:val="20"/>
          <w:color w:val="auto"/>
        </w:rPr>
      </w:pPr>
    </w:p>
    <w:p>
      <w:pPr>
        <w:jc w:val="both"/>
        <w:ind w:firstLine="4"/>
        <w:spacing w:after="0" w:line="294" w:lineRule="auto"/>
        <w:rPr>
          <w:sz w:val="20"/>
          <w:szCs w:val="20"/>
          <w:color w:val="auto"/>
        </w:rPr>
      </w:pPr>
      <w:r>
        <w:rPr>
          <w:rFonts w:ascii="Arial" w:cs="Arial" w:eastAsia="Arial" w:hAnsi="Arial"/>
          <w:sz w:val="16"/>
          <w:szCs w:val="16"/>
          <w:b w:val="1"/>
          <w:bCs w:val="1"/>
          <w:color w:val="auto"/>
        </w:rPr>
        <w:t xml:space="preserve">Non payment of premium. </w:t>
      </w:r>
      <w:r>
        <w:rPr>
          <w:rFonts w:ascii="Arial" w:cs="Arial" w:eastAsia="Arial" w:hAnsi="Arial"/>
          <w:sz w:val="16"/>
          <w:szCs w:val="16"/>
          <w:color w:val="auto"/>
        </w:rPr>
        <w:t>We may cancel this policy or any part of it with 10 days notice if the Sponsoring Organization or you fail to</w:t>
      </w:r>
      <w:r>
        <w:rPr>
          <w:rFonts w:ascii="Arial" w:cs="Arial" w:eastAsia="Arial" w:hAnsi="Arial"/>
          <w:sz w:val="16"/>
          <w:szCs w:val="16"/>
          <w:b w:val="1"/>
          <w:bCs w:val="1"/>
          <w:color w:val="auto"/>
        </w:rPr>
        <w:t xml:space="preserve"> </w:t>
      </w:r>
      <w:r>
        <w:rPr>
          <w:rFonts w:ascii="Arial" w:cs="Arial" w:eastAsia="Arial" w:hAnsi="Arial"/>
          <w:sz w:val="16"/>
          <w:szCs w:val="16"/>
          <w:color w:val="auto"/>
        </w:rPr>
        <w:t>pay the premium by the due date, regardless of whether the premium is payable to us, to our agent, or under any financial credit.</w:t>
      </w:r>
    </w:p>
    <w:p>
      <w:pPr>
        <w:spacing w:after="0" w:line="116" w:lineRule="exact"/>
        <w:rPr>
          <w:sz w:val="20"/>
          <w:szCs w:val="20"/>
          <w:color w:val="auto"/>
        </w:rPr>
      </w:pPr>
    </w:p>
    <w:p>
      <w:pPr>
        <w:jc w:val="both"/>
        <w:ind w:hanging="1"/>
        <w:spacing w:after="0" w:line="226" w:lineRule="auto"/>
        <w:rPr>
          <w:sz w:val="20"/>
          <w:szCs w:val="20"/>
          <w:color w:val="auto"/>
        </w:rPr>
      </w:pPr>
      <w:r>
        <w:rPr>
          <w:rFonts w:ascii="Arial" w:cs="Arial" w:eastAsia="Arial" w:hAnsi="Arial"/>
          <w:sz w:val="18"/>
          <w:szCs w:val="18"/>
          <w:b w:val="1"/>
          <w:bCs w:val="1"/>
          <w:color w:val="auto"/>
        </w:rPr>
        <w:t xml:space="preserve">Misrepresentation. </w:t>
      </w:r>
      <w:r>
        <w:rPr>
          <w:rFonts w:ascii="Arial" w:cs="Arial" w:eastAsia="Arial" w:hAnsi="Arial"/>
          <w:sz w:val="18"/>
          <w:szCs w:val="18"/>
          <w:color w:val="auto"/>
        </w:rPr>
        <w:t>We may cancel this policy or any part of it with 30 days notice if the coverage was obtained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misrepresentation, fraudulent statements, or omissions or concealment of a fact that is relevant to the acceptance of the risk or to the hazard we assumed.</w:t>
      </w:r>
    </w:p>
    <w:p>
      <w:pPr>
        <w:spacing w:after="0" w:line="158" w:lineRule="exact"/>
        <w:rPr>
          <w:sz w:val="20"/>
          <w:szCs w:val="20"/>
          <w:color w:val="auto"/>
        </w:rPr>
      </w:pPr>
    </w:p>
    <w:p>
      <w:pPr>
        <w:jc w:val="both"/>
        <w:ind w:firstLine="2"/>
        <w:spacing w:after="0" w:line="226" w:lineRule="auto"/>
        <w:rPr>
          <w:sz w:val="20"/>
          <w:szCs w:val="20"/>
          <w:color w:val="auto"/>
        </w:rPr>
      </w:pPr>
      <w:r>
        <w:rPr>
          <w:rFonts w:ascii="Arial" w:cs="Arial" w:eastAsia="Arial" w:hAnsi="Arial"/>
          <w:sz w:val="18"/>
          <w:szCs w:val="18"/>
          <w:b w:val="1"/>
          <w:bCs w:val="1"/>
          <w:color w:val="auto"/>
        </w:rPr>
        <w:t xml:space="preserve">Increase in hazard. </w:t>
      </w:r>
      <w:r>
        <w:rPr>
          <w:rFonts w:ascii="Arial" w:cs="Arial" w:eastAsia="Arial" w:hAnsi="Arial"/>
          <w:sz w:val="18"/>
          <w:szCs w:val="18"/>
          <w:color w:val="auto"/>
        </w:rPr>
        <w:t>We may cancel this policy or any part of it with 30 days notice if there has been a substantial change in the risk</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increases the chance of loss after insurance coverage has been issued or renewed, including but not limited to an increase in exposure due to rules, legislation, or court decision.</w:t>
      </w:r>
    </w:p>
    <w:p>
      <w:pPr>
        <w:spacing w:after="0" w:line="158" w:lineRule="exact"/>
        <w:rPr>
          <w:sz w:val="20"/>
          <w:szCs w:val="20"/>
          <w:color w:val="auto"/>
        </w:rPr>
      </w:pPr>
    </w:p>
    <w:p>
      <w:pPr>
        <w:jc w:val="both"/>
        <w:ind w:firstLine="1"/>
        <w:spacing w:after="0" w:line="226" w:lineRule="auto"/>
        <w:rPr>
          <w:sz w:val="20"/>
          <w:szCs w:val="20"/>
          <w:color w:val="auto"/>
        </w:rPr>
      </w:pPr>
      <w:r>
        <w:rPr>
          <w:rFonts w:ascii="Arial" w:cs="Arial" w:eastAsia="Arial" w:hAnsi="Arial"/>
          <w:sz w:val="18"/>
          <w:szCs w:val="18"/>
          <w:b w:val="1"/>
          <w:bCs w:val="1"/>
          <w:color w:val="auto"/>
        </w:rPr>
        <w:t xml:space="preserve">Procedure. </w:t>
      </w:r>
      <w:r>
        <w:rPr>
          <w:rFonts w:ascii="Arial" w:cs="Arial" w:eastAsia="Arial" w:hAnsi="Arial"/>
          <w:sz w:val="18"/>
          <w:szCs w:val="18"/>
          <w:color w:val="auto"/>
        </w:rPr>
        <w:t>To cancel this policy or any part of it, we must notify you in writing. This notice will be mailed to the Sponsoring</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at the mailing address shown in the Coverage Summary and we will obtain a certificate of mailing. This notice will include the date the cancellation is to take effect.</w:t>
      </w:r>
    </w:p>
    <w:p>
      <w:pPr>
        <w:spacing w:after="0" w:line="15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Should an individual for any reason no longer qualify as a member of the Defined Group, coverage will cease sixty (60)</w:t>
      </w:r>
      <w:r>
        <w:rPr>
          <w:rFonts w:ascii="Arial" w:cs="Arial" w:eastAsia="Arial" w:hAnsi="Arial"/>
          <w:sz w:val="18"/>
          <w:szCs w:val="18"/>
          <w:b w:val="1"/>
          <w:bCs w:val="1"/>
          <w:color w:val="auto"/>
        </w:rPr>
        <w:t xml:space="preserve"> </w:t>
      </w:r>
      <w:r>
        <w:rPr>
          <w:rFonts w:ascii="Arial" w:cs="Arial" w:eastAsia="Arial" w:hAnsi="Arial"/>
          <w:sz w:val="18"/>
          <w:szCs w:val="18"/>
          <w:color w:val="auto"/>
        </w:rPr>
        <w:t>days from the date that individual no longer qualifies as a member of the Defined Group, or the policy expiration or cancellation date, whichever comes first.</w:t>
      </w:r>
    </w:p>
    <w:p>
      <w:pPr>
        <w:spacing w:after="0" w:line="158" w:lineRule="exact"/>
        <w:rPr>
          <w:sz w:val="20"/>
          <w:szCs w:val="20"/>
          <w:color w:val="auto"/>
        </w:rPr>
      </w:pPr>
    </w:p>
    <w:p>
      <w:pPr>
        <w:jc w:val="both"/>
        <w:ind w:firstLine="6"/>
        <w:spacing w:after="0" w:line="226" w:lineRule="auto"/>
        <w:rPr>
          <w:sz w:val="20"/>
          <w:szCs w:val="20"/>
          <w:color w:val="auto"/>
        </w:rPr>
      </w:pPr>
      <w:r>
        <w:rPr>
          <w:rFonts w:ascii="Arial" w:cs="Arial" w:eastAsia="Arial" w:hAnsi="Arial"/>
          <w:sz w:val="18"/>
          <w:szCs w:val="18"/>
          <w:b w:val="1"/>
          <w:bCs w:val="1"/>
          <w:color w:val="auto"/>
        </w:rPr>
        <w:t xml:space="preserve">Refund. </w:t>
      </w:r>
      <w:r>
        <w:rPr>
          <w:rFonts w:ascii="Arial" w:cs="Arial" w:eastAsia="Arial" w:hAnsi="Arial"/>
          <w:sz w:val="18"/>
          <w:szCs w:val="18"/>
          <w:color w:val="auto"/>
        </w:rPr>
        <w:t>In the event of cancellation by the Sponsoring Organization or us, we will refund any unearned premium on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cancellation, or as soon as possible afterwards to the Sponsoring Organization. The unearned premium will be computed short rate for the unexpired term of the policy.</w:t>
      </w:r>
    </w:p>
    <w:p>
      <w:pPr>
        <w:sectPr>
          <w:pgSz w:w="11900" w:h="16838" w:orient="portrait"/>
          <w:cols w:equalWidth="0" w:num="1">
            <w:col w:w="9820"/>
          </w:cols>
          <w:pgMar w:left="980" w:top="1109" w:right="10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10.2</w:t>
      </w:r>
    </w:p>
    <w:p>
      <w:pPr>
        <w:spacing w:after="0" w:line="182"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auto"/>
        </w:rPr>
        <w:t>NORTHROP GRUMMAN CORPORATION</w:t>
      </w:r>
    </w:p>
    <w:p>
      <w:pPr>
        <w:jc w:val="center"/>
        <w:spacing w:after="0" w:line="209" w:lineRule="auto"/>
        <w:rPr>
          <w:sz w:val="20"/>
          <w:szCs w:val="20"/>
          <w:color w:val="auto"/>
        </w:rPr>
      </w:pPr>
      <w:r>
        <w:rPr>
          <w:rFonts w:ascii="Arial" w:cs="Arial" w:eastAsia="Arial" w:hAnsi="Arial"/>
          <w:sz w:val="22"/>
          <w:szCs w:val="22"/>
          <w:b w:val="1"/>
          <w:bCs w:val="1"/>
          <w:color w:val="auto"/>
        </w:rPr>
        <w:t>2022 RESTRICTED STOCK RIGHTS GRANT AGREEMENT</w:t>
      </w:r>
    </w:p>
    <w:p>
      <w:pPr>
        <w:spacing w:after="0" w:line="1" w:lineRule="exact"/>
        <w:rPr>
          <w:sz w:val="20"/>
          <w:szCs w:val="20"/>
          <w:color w:val="auto"/>
        </w:rPr>
      </w:pPr>
    </w:p>
    <w:p>
      <w:pPr>
        <w:ind w:right="200" w:firstLine="405"/>
        <w:spacing w:after="0" w:line="222" w:lineRule="auto"/>
        <w:rPr>
          <w:sz w:val="20"/>
          <w:szCs w:val="20"/>
          <w:color w:val="auto"/>
        </w:rPr>
      </w:pPr>
      <w:r>
        <w:rPr>
          <w:rFonts w:ascii="Arial" w:cs="Arial" w:eastAsia="Arial" w:hAnsi="Arial"/>
          <w:sz w:val="17"/>
          <w:szCs w:val="17"/>
          <w:color w:val="auto"/>
        </w:rPr>
        <w:t>This 2022 Restricted Stock Rights Grant Agreement (“Agreement”) applies to certain “Restricted Stock Rights” (“RSRs”) granted by Northrop Grumman Corporation (the “Company”) in 2022 under its 2011 Long-Term Incentive Stock Plan. If you were granted an RSR award by the Company in 2022,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the 2022 RSR award, and you are subject to this Agreement upon accepting your grant. If you were granted an RSR award, you are referred to as the “Grantee” with respect to your award. Capitalized terms are generally defined in Section 12 below if not otherwise defined herein.</w:t>
      </w:r>
    </w:p>
    <w:p>
      <w:pPr>
        <w:spacing w:after="0" w:line="122" w:lineRule="exact"/>
        <w:rPr>
          <w:sz w:val="20"/>
          <w:szCs w:val="20"/>
          <w:color w:val="auto"/>
        </w:rPr>
      </w:pPr>
    </w:p>
    <w:p>
      <w:pPr>
        <w:ind w:right="60" w:firstLine="180"/>
        <w:spacing w:after="0" w:line="244" w:lineRule="auto"/>
        <w:rPr>
          <w:sz w:val="20"/>
          <w:szCs w:val="20"/>
          <w:color w:val="auto"/>
        </w:rPr>
      </w:pPr>
      <w:r>
        <w:rPr>
          <w:rFonts w:ascii="Arial" w:cs="Arial" w:eastAsia="Arial" w:hAnsi="Arial"/>
          <w:sz w:val="16"/>
          <w:szCs w:val="16"/>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ectPr>
          <w:pgSz w:w="11900" w:h="16838" w:orient="portrait"/>
          <w:cols w:equalWidth="0" w:num="1">
            <w:col w:w="11240"/>
          </w:cols>
          <w:pgMar w:left="320" w:top="1147" w:right="339" w:bottom="1440" w:gutter="0" w:footer="0" w:header="0"/>
        </w:sectPr>
      </w:pPr>
    </w:p>
    <w:p>
      <w:pPr>
        <w:spacing w:after="0" w:line="154"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Issuance of Shares</w:t>
      </w:r>
      <w:r>
        <w:rPr>
          <w:rFonts w:ascii="Arial" w:cs="Arial" w:eastAsia="Arial" w:hAnsi="Arial"/>
          <w:sz w:val="18"/>
          <w:szCs w:val="18"/>
          <w:color w:val="auto"/>
        </w:rPr>
        <w:t>.</w:t>
      </w:r>
    </w:p>
    <w:p>
      <w:pPr>
        <w:spacing w:after="0" w:line="148" w:lineRule="exact"/>
        <w:rPr>
          <w:sz w:val="20"/>
          <w:szCs w:val="20"/>
          <w:color w:val="auto"/>
        </w:rPr>
      </w:pPr>
    </w:p>
    <w:p>
      <w:pPr>
        <w:ind w:right="20" w:firstLine="405"/>
        <w:spacing w:after="0" w:line="212" w:lineRule="auto"/>
        <w:rPr>
          <w:sz w:val="20"/>
          <w:szCs w:val="20"/>
          <w:color w:val="auto"/>
        </w:rPr>
      </w:pPr>
      <w:r>
        <w:rPr>
          <w:rFonts w:ascii="Arial" w:cs="Arial" w:eastAsia="Arial" w:hAnsi="Arial"/>
          <w:sz w:val="18"/>
          <w:szCs w:val="18"/>
          <w:color w:val="auto"/>
        </w:rPr>
        <w:t>Subject to Sections 2, 3, 4 and 6 below, one hundred percent (100%) of the number of RSRs (and any Dividend Equivalents (as defined below)) subject to your award (subject to adjustment as provided in Section 6.1) shall vest upon the third anniversary of the Grant Date, provided that if the third anniversary of the Grant Date falls on a weekend or holiday, then the award shall vest on the next business day.</w:t>
      </w:r>
    </w:p>
    <w:p>
      <w:pPr>
        <w:spacing w:after="0" w:line="134" w:lineRule="exact"/>
        <w:rPr>
          <w:sz w:val="20"/>
          <w:szCs w:val="20"/>
          <w:color w:val="auto"/>
        </w:rPr>
      </w:pPr>
    </w:p>
    <w:p>
      <w:pPr>
        <w:ind w:firstLine="405"/>
        <w:spacing w:after="0" w:line="236"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Payment of RSRs</w:t>
      </w:r>
      <w:r>
        <w:rPr>
          <w:rFonts w:ascii="Arial" w:cs="Arial" w:eastAsia="Arial" w:hAnsi="Arial"/>
          <w:sz w:val="16"/>
          <w:szCs w:val="16"/>
          <w:color w:val="auto"/>
        </w:rPr>
        <w:t>. Except as otherwise provided 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pay an RSR subject to the award that vests (“Vested RSR”) (and related Dividend Equivalents) within 60 days following the vesting of the RSR on the third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21" w:lineRule="exact"/>
        <w:rPr>
          <w:sz w:val="20"/>
          <w:szCs w:val="20"/>
          <w:color w:val="auto"/>
        </w:rPr>
      </w:pPr>
    </w:p>
    <w:p>
      <w:pPr>
        <w:ind w:firstLine="405"/>
        <w:spacing w:after="0" w:line="222"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Grantee shall be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for Dividend Equivalents (if any) with respect to any Vested RSRs. For purposes of this Agreement, “Dividend Equivalents” means the aggregate amount of dividends paid by the Company on a number of shares of Common Stock equivalent to the number of Vested RSRs during the period from the Grant date until the date the Vested RSRs are paid (without interest or other adjustments to reflect the time value of money). Dividend Equivalents (if any) will be paid at the same time as the Vested RSRs to which they relate are paid. Dividend Equivalents will be paid in cash.</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382" w:hanging="382"/>
        <w:spacing w:after="0"/>
        <w:tabs>
          <w:tab w:leader="none" w:pos="382"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Early Termination of Award; Termination of Employment</w:t>
      </w:r>
      <w:r>
        <w:rPr>
          <w:rFonts w:ascii="Arial" w:cs="Arial" w:eastAsia="Arial" w:hAnsi="Arial"/>
          <w:sz w:val="17"/>
          <w:szCs w:val="17"/>
          <w:color w:val="auto"/>
        </w:rPr>
        <w:t>.</w:t>
      </w:r>
    </w:p>
    <w:p>
      <w:pPr>
        <w:spacing w:after="0" w:line="156" w:lineRule="exact"/>
        <w:rPr>
          <w:sz w:val="20"/>
          <w:szCs w:val="20"/>
          <w:color w:val="auto"/>
        </w:rPr>
      </w:pPr>
    </w:p>
    <w:p>
      <w:pPr>
        <w:ind w:left="2" w:right="140" w:firstLine="405"/>
        <w:spacing w:after="0" w:line="213"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RSRs (and related 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award, to the extent not previously vested, shall terminate and become null and void if and when (a) the award terminates in connection with a Change in Control pursuant to Section 6 below, or (b) except as provided in Sections 2.6 and 2.7, and in Section 6, the Grantee ceases for any reason to be an employee of the Company or one of its subsidiaries.</w:t>
      </w:r>
    </w:p>
    <w:p>
      <w:pPr>
        <w:spacing w:after="0" w:line="132" w:lineRule="exact"/>
        <w:rPr>
          <w:sz w:val="20"/>
          <w:szCs w:val="20"/>
          <w:color w:val="auto"/>
        </w:rPr>
      </w:pPr>
    </w:p>
    <w:p>
      <w:pPr>
        <w:ind w:left="2" w:right="120" w:firstLine="405"/>
        <w:spacing w:after="0" w:line="236"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Leave of Absence</w:t>
      </w:r>
      <w:r>
        <w:rPr>
          <w:rFonts w:ascii="Arial" w:cs="Arial" w:eastAsia="Arial" w:hAnsi="Arial"/>
          <w:sz w:val="16"/>
          <w:szCs w:val="16"/>
          <w:color w:val="auto"/>
        </w:rPr>
        <w:t>. Unless the Committee otherwise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21" w:lineRule="exact"/>
        <w:rPr>
          <w:sz w:val="20"/>
          <w:szCs w:val="20"/>
          <w:color w:val="auto"/>
        </w:rPr>
      </w:pPr>
    </w:p>
    <w:p>
      <w:pPr>
        <w:ind w:left="2" w:right="160" w:firstLine="405"/>
        <w:spacing w:after="0" w:line="222"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i w:val="1"/>
          <w:iCs w:val="1"/>
          <w:color w:val="auto"/>
        </w:rPr>
        <w:t>Salary Continuation</w:t>
      </w:r>
      <w:r>
        <w:rPr>
          <w:rFonts w:ascii="Arial" w:cs="Arial" w:eastAsia="Arial" w:hAnsi="Arial"/>
          <w:sz w:val="17"/>
          <w:szCs w:val="17"/>
          <w:color w:val="auto"/>
        </w:rPr>
        <w:t>. Subject to Section 2.2 above, the term</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as used herein means active employment by the Company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200" w:lineRule="exact"/>
        <w:rPr>
          <w:sz w:val="20"/>
          <w:szCs w:val="20"/>
          <w:color w:val="auto"/>
        </w:rPr>
      </w:pPr>
    </w:p>
    <w:p>
      <w:pPr>
        <w:sectPr>
          <w:pgSz w:w="11900" w:h="16838" w:orient="portrait"/>
          <w:cols w:equalWidth="0" w:num="2">
            <w:col w:w="5200" w:space="718"/>
            <w:col w:w="5322"/>
          </w:cols>
          <w:pgMar w:left="320" w:top="114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1860" w:val="left"/>
        </w:tabs>
        <w:rPr>
          <w:sz w:val="20"/>
          <w:szCs w:val="20"/>
          <w:color w:val="auto"/>
        </w:rPr>
      </w:pPr>
      <w:r>
        <w:rPr>
          <w:rFonts w:ascii="Arial" w:cs="Arial" w:eastAsia="Arial" w:hAnsi="Arial"/>
          <w:sz w:val="14"/>
          <w:szCs w:val="14"/>
          <w:color w:val="auto"/>
        </w:rPr>
        <w:t>ELT (2022 RSR Agreement)</w:t>
      </w:r>
      <w:r>
        <w:rPr>
          <w:sz w:val="20"/>
          <w:szCs w:val="20"/>
          <w:color w:val="auto"/>
        </w:rPr>
        <w:tab/>
      </w:r>
      <w:r>
        <w:rPr>
          <w:rFonts w:ascii="Arial" w:cs="Arial" w:eastAsia="Arial" w:hAnsi="Arial"/>
          <w:sz w:val="13"/>
          <w:szCs w:val="13"/>
          <w:color w:val="auto"/>
        </w:rPr>
        <w:t>1</w:t>
      </w:r>
    </w:p>
    <w:p>
      <w:pPr>
        <w:sectPr>
          <w:pgSz w:w="11900" w:h="16838" w:orient="portrait"/>
          <w:cols w:equalWidth="0" w:num="1">
            <w:col w:w="11240"/>
          </w:cols>
          <w:pgMar w:left="320" w:top="1147" w:right="339" w:bottom="1440" w:gutter="0" w:footer="0" w:header="0"/>
          <w:type w:val="continuous"/>
        </w:sectPr>
      </w:pPr>
    </w:p>
    <w:bookmarkStart w:id="54" w:name="page55"/>
    <w:bookmarkEnd w:id="54"/>
    <w:p>
      <w:pPr>
        <w:ind w:right="60" w:firstLine="405"/>
        <w:spacing w:after="0" w:line="234"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an Early Retirement unless the Grantee was otherwise eligible at the time of termination for Normal Retirement (in which case, the termination shall be considered a Normal Retirement) treated as provided for in Section 2.7 (subject to Section 6).</w:t>
      </w:r>
    </w:p>
    <w:p>
      <w:pPr>
        <w:spacing w:after="0" w:line="121" w:lineRule="exact"/>
        <w:rPr>
          <w:sz w:val="20"/>
          <w:szCs w:val="20"/>
          <w:color w:val="auto"/>
        </w:rPr>
      </w:pPr>
    </w:p>
    <w:p>
      <w:pPr>
        <w:ind w:firstLine="405"/>
        <w:spacing w:after="0" w:line="233"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2.6, Section 2.7 and in Section 6, the vesting of the RSRs (and related Dividend Equivalents) subject to the award requires continued employment through the third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26" w:lineRule="exact"/>
        <w:rPr>
          <w:sz w:val="20"/>
          <w:szCs w:val="20"/>
          <w:color w:val="auto"/>
        </w:rPr>
      </w:pPr>
    </w:p>
    <w:p>
      <w:pPr>
        <w:ind w:firstLine="405"/>
        <w:spacing w:after="0" w:line="220"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b w:val="1"/>
          <w:bCs w:val="1"/>
          <w:i w:val="1"/>
          <w:iCs w:val="1"/>
          <w:color w:val="auto"/>
        </w:rPr>
        <w:t>Death or Disability</w:t>
      </w:r>
      <w:r>
        <w:rPr>
          <w:rFonts w:ascii="Arial" w:cs="Arial" w:eastAsia="Arial" w:hAnsi="Arial"/>
          <w:sz w:val="17"/>
          <w:szCs w:val="17"/>
          <w:color w:val="auto"/>
        </w:rPr>
        <w:t>. If the Grantee dies or incurs a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w:t>
      </w:r>
    </w:p>
    <w:p>
      <w:pPr>
        <w:spacing w:after="0" w:line="137" w:lineRule="exact"/>
        <w:rPr>
          <w:sz w:val="20"/>
          <w:szCs w:val="20"/>
          <w:color w:val="auto"/>
        </w:rPr>
      </w:pPr>
    </w:p>
    <w:p>
      <w:pPr>
        <w:ind w:right="40" w:firstLine="405"/>
        <w:spacing w:after="0" w:line="225" w:lineRule="auto"/>
        <w:rPr>
          <w:sz w:val="20"/>
          <w:szCs w:val="20"/>
          <w:color w:val="auto"/>
        </w:rPr>
      </w:pPr>
      <w:r>
        <w:rPr>
          <w:rFonts w:ascii="Arial" w:cs="Arial" w:eastAsia="Arial" w:hAnsi="Arial"/>
          <w:sz w:val="17"/>
          <w:szCs w:val="17"/>
          <w:b w:val="1"/>
          <w:bCs w:val="1"/>
          <w:color w:val="auto"/>
        </w:rPr>
        <w:t xml:space="preserve">2.7 </w:t>
      </w:r>
      <w:r>
        <w:rPr>
          <w:rFonts w:ascii="Arial" w:cs="Arial" w:eastAsia="Arial" w:hAnsi="Arial"/>
          <w:sz w:val="17"/>
          <w:szCs w:val="17"/>
          <w:b w:val="1"/>
          <w:bCs w:val="1"/>
          <w:i w:val="1"/>
          <w:iCs w:val="1"/>
          <w:color w:val="auto"/>
        </w:rPr>
        <w:t>Termination of Employment Due to Retirement</w:t>
      </w:r>
      <w:r>
        <w:rPr>
          <w:rFonts w:ascii="Arial" w:cs="Arial" w:eastAsia="Arial" w:hAnsi="Arial"/>
          <w:sz w:val="17"/>
          <w:szCs w:val="17"/>
          <w:color w:val="auto"/>
        </w:rPr>
        <w:t>. If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ceases to be employed by the Company or one of its subsidiaries due to the Grantee’s Early Retirement and such Early Retirement occurs more than six months after the Grant Date, the RSRs (and related Dividend Equivalents) subject to the award shall vest on a prorated basis. Such prorating of RSRs (and related Dividend Equivalents) shall be determined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2" w:right="20"/>
        <w:spacing w:after="0" w:line="234" w:lineRule="auto"/>
        <w:rPr>
          <w:sz w:val="20"/>
          <w:szCs w:val="20"/>
          <w:color w:val="auto"/>
        </w:rPr>
      </w:pPr>
      <w:r>
        <w:rPr>
          <w:rFonts w:ascii="Arial" w:cs="Arial" w:eastAsia="Arial" w:hAnsi="Arial"/>
          <w:sz w:val="16"/>
          <w:szCs w:val="16"/>
          <w:color w:val="auto"/>
        </w:rPr>
        <w:t>on the number of days the Grantee was employed by the Company or a subsidiary in the period commencing with the Grant Date through and including the date on which the Grantee is last employed by the Company or a subsidiary, over the number of calendar days in the period commencing with the Grant Date through and including the third anniversary of the Grant Date. Any remaining unvested RSRs (and related Dividend Equivalents), after giving effect to the foregoing acceleration of vesting, shall terminate immediately upon the Grantee’s Early Retirement. If the Grantee ceases to be employed by the Company or one of its subsidiaries due to the Grantee’s Normal Retirement and such Normal Retirement occurs more than six months after the Grant Date, the RSRs (and related Dividend Equivalents) subject to the award shall vest in full.</w:t>
      </w:r>
    </w:p>
    <w:p>
      <w:pPr>
        <w:spacing w:after="0" w:line="125" w:lineRule="exact"/>
        <w:rPr>
          <w:sz w:val="20"/>
          <w:szCs w:val="20"/>
          <w:color w:val="auto"/>
        </w:rPr>
      </w:pPr>
    </w:p>
    <w:p>
      <w:pPr>
        <w:jc w:val="both"/>
        <w:ind w:left="2" w:right="140" w:firstLine="405"/>
        <w:spacing w:after="0" w:line="235" w:lineRule="auto"/>
        <w:rPr>
          <w:sz w:val="20"/>
          <w:szCs w:val="20"/>
          <w:color w:val="auto"/>
        </w:rPr>
      </w:pPr>
      <w:r>
        <w:rPr>
          <w:rFonts w:ascii="Arial" w:cs="Arial" w:eastAsia="Arial" w:hAnsi="Arial"/>
          <w:sz w:val="16"/>
          <w:szCs w:val="16"/>
          <w:color w:val="auto"/>
        </w:rPr>
        <w:t>Subject to the following provisions of this paragraph, RSRs (and related Dividend Equivalents) vesting under this Section shall be paid within 60 days following the Grantee’s Separation from Service.</w:t>
      </w:r>
    </w:p>
    <w:p>
      <w:pPr>
        <w:spacing w:after="0" w:line="2" w:lineRule="exact"/>
        <w:rPr>
          <w:sz w:val="20"/>
          <w:szCs w:val="20"/>
          <w:color w:val="auto"/>
        </w:rPr>
      </w:pPr>
    </w:p>
    <w:p>
      <w:pPr>
        <w:ind w:left="2" w:right="80"/>
        <w:spacing w:after="0" w:line="228" w:lineRule="auto"/>
        <w:rPr>
          <w:sz w:val="20"/>
          <w:szCs w:val="20"/>
          <w:color w:val="auto"/>
        </w:rPr>
      </w:pPr>
      <w:r>
        <w:rPr>
          <w:rFonts w:ascii="Arial" w:cs="Arial" w:eastAsia="Arial" w:hAnsi="Arial"/>
          <w:sz w:val="16"/>
          <w:szCs w:val="16"/>
          <w:color w:val="auto"/>
        </w:rPr>
        <w:t>However, in the case of a Governmental Service Retirement by the Grantee, payment of the vested RSRs (and related Dividend Equivalents) will be made within 20 days after the Grantee’s Early or Normal Retirement. If the Grantee is a Key Employee as of the date of the Grantee’s Separation from Service, the Grantee shall not be entitled to payment of his or her vested RSRs (and related Dividend Equivalents) pursuant to this Section until the earlier of (and payment shall be made upon or promptly after, and in all events within thirty</w:t>
      </w:r>
    </w:p>
    <w:p>
      <w:pPr>
        <w:spacing w:after="0" w:line="6" w:lineRule="exact"/>
        <w:rPr>
          <w:sz w:val="20"/>
          <w:szCs w:val="20"/>
          <w:color w:val="auto"/>
        </w:rPr>
      </w:pPr>
    </w:p>
    <w:p>
      <w:pPr>
        <w:ind w:left="2" w:right="40" w:hanging="2"/>
        <w:spacing w:after="0" w:line="239" w:lineRule="auto"/>
        <w:tabs>
          <w:tab w:leader="none" w:pos="347" w:val="left"/>
        </w:tabs>
        <w:numPr>
          <w:ilvl w:val="0"/>
          <w:numId w:val="56"/>
        </w:numPr>
        <w:rPr>
          <w:rFonts w:ascii="Arial" w:cs="Arial" w:eastAsia="Arial" w:hAnsi="Arial"/>
          <w:sz w:val="16"/>
          <w:szCs w:val="16"/>
          <w:color w:val="auto"/>
        </w:rPr>
      </w:pPr>
      <w:r>
        <w:rPr>
          <w:rFonts w:ascii="Arial" w:cs="Arial" w:eastAsia="Arial" w:hAnsi="Arial"/>
          <w:sz w:val="16"/>
          <w:szCs w:val="16"/>
          <w:color w:val="auto"/>
        </w:rPr>
        <w:t>days after, the first to occur of) (a) the date which is six (6) months and one day after the Grantee’s Separation from Service, or (b) the date of the Grantee’s death. The provisions of the preceding sentence shall only apply if, and to the extent, required to avoid the imputation of any tax, penalty or interest pursuant to Section 409A of the Code.</w:t>
      </w:r>
    </w:p>
    <w:p>
      <w:pPr>
        <w:spacing w:after="0" w:line="121" w:lineRule="exact"/>
        <w:rPr>
          <w:sz w:val="20"/>
          <w:szCs w:val="20"/>
          <w:color w:val="auto"/>
        </w:rPr>
      </w:pPr>
    </w:p>
    <w:p>
      <w:pPr>
        <w:ind w:left="2" w:firstLine="180"/>
        <w:spacing w:after="0" w:line="218" w:lineRule="auto"/>
        <w:rPr>
          <w:sz w:val="20"/>
          <w:szCs w:val="20"/>
          <w:color w:val="auto"/>
        </w:rPr>
      </w:pPr>
      <w:r>
        <w:rPr>
          <w:rFonts w:ascii="Arial" w:cs="Arial" w:eastAsia="Arial" w:hAnsi="Arial"/>
          <w:sz w:val="17"/>
          <w:szCs w:val="17"/>
          <w:color w:val="auto"/>
        </w:rPr>
        <w:t>In determining the Grantee’s eligibility for Early or Normal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Early Retirement, Normal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w:t>
      </w:r>
    </w:p>
    <w:p>
      <w:pPr>
        <w:sectPr>
          <w:pgSz w:w="11900" w:h="16838" w:orient="portrait"/>
          <w:cols w:equalWidth="0" w:num="2">
            <w:col w:w="5200" w:space="718"/>
            <w:col w:w="5202"/>
          </w:cols>
          <w:pgMar w:left="320" w:top="1147" w:right="45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acquisition will be included in determining service for such purposes.</w:t>
      </w:r>
    </w:p>
    <w:p>
      <w:pPr>
        <w:spacing w:after="0" w:line="152" w:lineRule="exact"/>
        <w:rPr>
          <w:sz w:val="20"/>
          <w:szCs w:val="20"/>
          <w:color w:val="auto"/>
        </w:rPr>
      </w:pPr>
    </w:p>
    <w:p>
      <w:pPr>
        <w:ind w:left="400" w:hanging="392"/>
        <w:spacing w:after="0"/>
        <w:tabs>
          <w:tab w:leader="none" w:pos="4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44" w:lineRule="exact"/>
        <w:rPr>
          <w:sz w:val="20"/>
          <w:szCs w:val="20"/>
          <w:color w:val="auto"/>
        </w:rPr>
      </w:pPr>
    </w:p>
    <w:p>
      <w:pPr>
        <w:ind w:right="18" w:firstLine="405"/>
        <w:spacing w:after="0" w:line="235"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Non-Transferability</w:t>
      </w:r>
      <w:r>
        <w:rPr>
          <w:rFonts w:ascii="Arial" w:cs="Arial" w:eastAsia="Arial" w:hAnsi="Arial"/>
          <w:sz w:val="16"/>
          <w:szCs w:val="16"/>
          <w:color w:val="auto"/>
        </w:rPr>
        <w:t>. The award, as well as the RSRs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33" w:lineRule="exact"/>
        <w:rPr>
          <w:sz w:val="20"/>
          <w:szCs w:val="20"/>
          <w:color w:val="auto"/>
        </w:rPr>
      </w:pPr>
    </w:p>
    <w:p>
      <w:pPr>
        <w:ind w:right="18" w:firstLine="405"/>
        <w:spacing w:after="0" w:line="233"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i w:val="1"/>
          <w:iCs w:val="1"/>
          <w:color w:val="auto"/>
        </w:rPr>
        <w:t>Forfeiture or Recoupment of Awards</w:t>
      </w:r>
      <w:r>
        <w:rPr>
          <w:rFonts w:ascii="Arial" w:cs="Arial" w:eastAsia="Arial" w:hAnsi="Arial"/>
          <w:sz w:val="16"/>
          <w:szCs w:val="16"/>
          <w:color w:val="auto"/>
        </w:rPr>
        <w:t>. If, prior to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or 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19"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144" w:lineRule="exact"/>
        <w:rPr>
          <w:sz w:val="20"/>
          <w:szCs w:val="20"/>
          <w:color w:val="auto"/>
        </w:rPr>
      </w:pPr>
    </w:p>
    <w:p>
      <w:pPr>
        <w:ind w:right="18" w:firstLine="405"/>
        <w:spacing w:after="0" w:line="233" w:lineRule="auto"/>
        <w:rPr>
          <w:sz w:val="20"/>
          <w:szCs w:val="20"/>
          <w:color w:val="auto"/>
        </w:rPr>
      </w:pPr>
      <w:r>
        <w:rPr>
          <w:rFonts w:ascii="Arial" w:cs="Arial" w:eastAsia="Arial" w:hAnsi="Arial"/>
          <w:sz w:val="16"/>
          <w:szCs w:val="16"/>
          <w:b w:val="1"/>
          <w:bCs w:val="1"/>
          <w:color w:val="auto"/>
        </w:rPr>
        <w:t>4.1</w:t>
      </w:r>
      <w:r>
        <w:rPr>
          <w:rFonts w:ascii="Arial" w:cs="Arial" w:eastAsia="Arial" w:hAnsi="Arial"/>
          <w:sz w:val="16"/>
          <w:szCs w:val="16"/>
          <w:b w:val="1"/>
          <w:bCs w:val="1"/>
          <w:i w:val="1"/>
          <w:iCs w:val="1"/>
          <w:color w:val="auto"/>
        </w:rPr>
        <w:t>Executive Leadership Team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 w:right="100"/>
        <w:spacing w:after="0" w:line="222" w:lineRule="auto"/>
        <w:rPr>
          <w:sz w:val="20"/>
          <w:szCs w:val="20"/>
          <w:color w:val="auto"/>
        </w:rPr>
      </w:pPr>
      <w:r>
        <w:rPr>
          <w:rFonts w:ascii="Arial" w:cs="Arial" w:eastAsia="Arial" w:hAnsi="Arial"/>
          <w:sz w:val="17"/>
          <w:szCs w:val="17"/>
          <w:color w:val="auto"/>
        </w:rPr>
        <w:t>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w:t>
      </w:r>
    </w:p>
    <w:p>
      <w:pPr>
        <w:spacing w:after="0" w:line="191" w:lineRule="exact"/>
        <w:rPr>
          <w:sz w:val="20"/>
          <w:szCs w:val="20"/>
          <w:color w:val="auto"/>
        </w:rPr>
      </w:pPr>
    </w:p>
    <w:p>
      <w:pPr>
        <w:ind w:left="2" w:firstLine="324"/>
        <w:spacing w:after="0" w:line="221"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i w:val="1"/>
          <w:iCs w:val="1"/>
          <w:color w:val="auto"/>
        </w:rPr>
        <w:t>Non-Competition</w:t>
      </w:r>
      <w:r>
        <w:rPr>
          <w:rFonts w:ascii="Arial" w:cs="Arial" w:eastAsia="Arial" w:hAnsi="Arial"/>
          <w:sz w:val="17"/>
          <w:szCs w:val="17"/>
          <w:color w:val="auto"/>
        </w:rPr>
        <w:t>. For a period of twelve (12) months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spacing w:after="0" w:line="185" w:lineRule="exact"/>
        <w:rPr>
          <w:sz w:val="20"/>
          <w:szCs w:val="20"/>
          <w:color w:val="auto"/>
        </w:rPr>
      </w:pPr>
    </w:p>
    <w:p>
      <w:pPr>
        <w:ind w:left="2" w:right="60" w:firstLine="405"/>
        <w:spacing w:after="0" w:line="235" w:lineRule="auto"/>
        <w:rPr>
          <w:sz w:val="20"/>
          <w:szCs w:val="20"/>
          <w:color w:val="auto"/>
        </w:rPr>
      </w:pPr>
      <w:r>
        <w:rPr>
          <w:rFonts w:ascii="Arial" w:cs="Arial" w:eastAsia="Arial" w:hAnsi="Arial"/>
          <w:sz w:val="16"/>
          <w:szCs w:val="16"/>
          <w:b w:val="1"/>
          <w:bCs w:val="1"/>
          <w:color w:val="auto"/>
        </w:rPr>
        <w:t>4.3</w:t>
      </w:r>
      <w:r>
        <w:rPr>
          <w:rFonts w:ascii="Arial" w:cs="Arial" w:eastAsia="Arial" w:hAnsi="Arial"/>
          <w:sz w:val="16"/>
          <w:szCs w:val="16"/>
          <w:b w:val="1"/>
          <w:bCs w:val="1"/>
          <w:i w:val="1"/>
          <w:iCs w:val="1"/>
          <w:color w:val="auto"/>
        </w:rPr>
        <w:t>Non-Solicitation of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For a period of eighteen (18)</w:t>
      </w:r>
      <w:r>
        <w:rPr>
          <w:rFonts w:ascii="Arial" w:cs="Arial" w:eastAsia="Arial" w:hAnsi="Arial"/>
          <w:sz w:val="16"/>
          <w:szCs w:val="16"/>
          <w:b w:val="1"/>
          <w:bCs w:val="1"/>
          <w:color w:val="auto"/>
        </w:rPr>
        <w:t xml:space="preserve"> </w:t>
      </w:r>
      <w:r>
        <w:rPr>
          <w:rFonts w:ascii="Arial" w:cs="Arial" w:eastAsia="Arial" w:hAnsi="Arial"/>
          <w:sz w:val="16"/>
          <w:szCs w:val="16"/>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192" w:lineRule="exact"/>
        <w:rPr>
          <w:sz w:val="20"/>
          <w:szCs w:val="20"/>
          <w:color w:val="auto"/>
        </w:rPr>
      </w:pPr>
    </w:p>
    <w:p>
      <w:pPr>
        <w:ind w:left="402"/>
        <w:spacing w:after="0"/>
        <w:rPr>
          <w:sz w:val="20"/>
          <w:szCs w:val="20"/>
          <w:color w:val="auto"/>
        </w:rPr>
      </w:pPr>
      <w:r>
        <w:rPr>
          <w:rFonts w:ascii="Arial" w:cs="Arial" w:eastAsia="Arial" w:hAnsi="Arial"/>
          <w:sz w:val="17"/>
          <w:szCs w:val="17"/>
          <w:b w:val="1"/>
          <w:bCs w:val="1"/>
          <w:color w:val="auto"/>
        </w:rPr>
        <w:t>4.4</w:t>
      </w:r>
      <w:r>
        <w:rPr>
          <w:rFonts w:ascii="Arial" w:cs="Arial" w:eastAsia="Arial" w:hAnsi="Arial"/>
          <w:sz w:val="17"/>
          <w:szCs w:val="17"/>
          <w:b w:val="1"/>
          <w:bCs w:val="1"/>
          <w:i w:val="1"/>
          <w:iCs w:val="1"/>
          <w:color w:val="auto"/>
        </w:rPr>
        <w:t>Non-Solicitation of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twenty-four</w:t>
      </w:r>
    </w:p>
    <w:p>
      <w:pPr>
        <w:ind w:left="2" w:right="20" w:hanging="2"/>
        <w:spacing w:after="0" w:line="239" w:lineRule="auto"/>
        <w:tabs>
          <w:tab w:leader="none" w:pos="347" w:val="left"/>
        </w:tabs>
        <w:numPr>
          <w:ilvl w:val="0"/>
          <w:numId w:val="59"/>
        </w:numPr>
        <w:rPr>
          <w:rFonts w:ascii="Arial" w:cs="Arial" w:eastAsia="Arial" w:hAnsi="Arial"/>
          <w:sz w:val="16"/>
          <w:szCs w:val="16"/>
          <w:color w:val="auto"/>
        </w:rPr>
      </w:pPr>
      <w:r>
        <w:rPr>
          <w:rFonts w:ascii="Arial" w:cs="Arial" w:eastAsia="Arial" w:hAnsi="Arial"/>
          <w:sz w:val="16"/>
          <w:szCs w:val="16"/>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84" w:lineRule="exact"/>
        <w:rPr>
          <w:sz w:val="20"/>
          <w:szCs w:val="20"/>
          <w:color w:val="auto"/>
        </w:rPr>
      </w:pPr>
    </w:p>
    <w:p>
      <w:pPr>
        <w:ind w:left="2" w:right="60" w:firstLine="405"/>
        <w:spacing w:after="0" w:line="218" w:lineRule="auto"/>
        <w:rPr>
          <w:sz w:val="20"/>
          <w:szCs w:val="20"/>
          <w:color w:val="auto"/>
        </w:rPr>
      </w:pPr>
      <w:r>
        <w:rPr>
          <w:rFonts w:ascii="Arial" w:cs="Arial" w:eastAsia="Arial" w:hAnsi="Arial"/>
          <w:sz w:val="17"/>
          <w:szCs w:val="17"/>
          <w:b w:val="1"/>
          <w:bCs w:val="1"/>
          <w:color w:val="auto"/>
        </w:rPr>
        <w:t>4.5</w:t>
      </w:r>
      <w:r>
        <w:rPr>
          <w:rFonts w:ascii="Arial" w:cs="Arial" w:eastAsia="Arial" w:hAnsi="Arial"/>
          <w:sz w:val="17"/>
          <w:szCs w:val="17"/>
          <w:b w:val="1"/>
          <w:bCs w:val="1"/>
          <w:i w:val="1"/>
          <w:iCs w:val="1"/>
          <w:color w:val="auto"/>
        </w:rPr>
        <w:t>Non-Disparagement.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not issue or communicate any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w:t>
      </w:r>
    </w:p>
    <w:p>
      <w:pPr>
        <w:spacing w:after="0" w:line="6" w:lineRule="exact"/>
        <w:rPr>
          <w:sz w:val="20"/>
          <w:szCs w:val="20"/>
          <w:color w:val="auto"/>
        </w:rPr>
      </w:pPr>
    </w:p>
    <w:p>
      <w:pPr>
        <w:jc w:val="both"/>
        <w:ind w:left="2" w:right="80" w:firstLine="405"/>
        <w:spacing w:after="0" w:line="248"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i w:val="1"/>
          <w:iCs w:val="1"/>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request an exception to the covenants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4.2, 4.3, or 4.4 by making a written request to the Company’s Chief Human Resources Officer, with such exceptions being</w:t>
      </w:r>
    </w:p>
    <w:p>
      <w:pPr>
        <w:sectPr>
          <w:pgSz w:w="11900" w:h="16838" w:orient="portrait"/>
          <w:cols w:equalWidth="0" w:num="2">
            <w:col w:w="5198" w:space="720"/>
            <w:col w:w="5202"/>
          </w:cols>
          <w:pgMar w:left="320" w:top="1151" w:right="459" w:bottom="1440" w:gutter="0" w:footer="0" w:header="0"/>
        </w:sectPr>
      </w:pPr>
    </w:p>
    <w:bookmarkStart w:id="56" w:name="page57"/>
    <w:bookmarkEnd w:id="56"/>
    <w:p>
      <w:pPr>
        <w:ind w:right="100"/>
        <w:spacing w:after="0" w:line="235" w:lineRule="auto"/>
        <w:rPr>
          <w:sz w:val="20"/>
          <w:szCs w:val="20"/>
          <w:color w:val="auto"/>
        </w:rPr>
      </w:pPr>
      <w:r>
        <w:rPr>
          <w:rFonts w:ascii="Arial" w:cs="Arial" w:eastAsia="Arial" w:hAnsi="Arial"/>
          <w:sz w:val="18"/>
          <w:szCs w:val="18"/>
          <w:color w:val="auto"/>
        </w:rPr>
        <w:t>considered at the sole discretion of the Company and communicated in writing to you.</w:t>
      </w:r>
    </w:p>
    <w:p>
      <w:pPr>
        <w:spacing w:after="0" w:line="185" w:lineRule="exact"/>
        <w:rPr>
          <w:sz w:val="20"/>
          <w:szCs w:val="20"/>
          <w:color w:val="auto"/>
        </w:rPr>
      </w:pPr>
    </w:p>
    <w:p>
      <w:pPr>
        <w:ind w:right="100" w:firstLine="405"/>
        <w:spacing w:after="0" w:line="233"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i w:val="1"/>
          <w:iCs w:val="1"/>
          <w:color w:val="auto"/>
        </w:rPr>
        <w:t>Reasonableness.</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that the restrictions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w:t>
      </w:r>
    </w:p>
    <w:p>
      <w:pPr>
        <w:spacing w:after="0" w:line="1" w:lineRule="exact"/>
        <w:rPr>
          <w:sz w:val="20"/>
          <w:szCs w:val="20"/>
          <w:color w:val="auto"/>
        </w:rPr>
      </w:pPr>
    </w:p>
    <w:p>
      <w:pPr>
        <w:ind w:right="180" w:firstLine="8"/>
        <w:spacing w:after="0" w:line="228" w:lineRule="auto"/>
        <w:tabs>
          <w:tab w:leader="none" w:pos="3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Sections</w:t>
      </w:r>
    </w:p>
    <w:p>
      <w:pPr>
        <w:spacing w:after="0" w:line="2" w:lineRule="exact"/>
        <w:rPr>
          <w:rFonts w:ascii="Arial" w:cs="Arial" w:eastAsia="Arial" w:hAnsi="Arial"/>
          <w:sz w:val="16"/>
          <w:szCs w:val="16"/>
          <w:color w:val="auto"/>
        </w:rPr>
      </w:pPr>
    </w:p>
    <w:p>
      <w:pPr>
        <w:ind w:right="20"/>
        <w:spacing w:after="0" w:line="227" w:lineRule="auto"/>
        <w:rPr>
          <w:rFonts w:ascii="Arial" w:cs="Arial" w:eastAsia="Arial" w:hAnsi="Arial"/>
          <w:sz w:val="16"/>
          <w:szCs w:val="16"/>
          <w:color w:val="auto"/>
        </w:rPr>
      </w:pPr>
      <w:r>
        <w:rPr>
          <w:rFonts w:ascii="Arial" w:cs="Arial" w:eastAsia="Arial" w:hAnsi="Arial"/>
          <w:sz w:val="17"/>
          <w:szCs w:val="17"/>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185" w:lineRule="exact"/>
        <w:rPr>
          <w:sz w:val="20"/>
          <w:szCs w:val="20"/>
          <w:color w:val="auto"/>
        </w:rPr>
      </w:pPr>
    </w:p>
    <w:p>
      <w:pPr>
        <w:ind w:right="40" w:firstLine="405"/>
        <w:spacing w:after="0" w:line="220" w:lineRule="auto"/>
        <w:rPr>
          <w:sz w:val="20"/>
          <w:szCs w:val="20"/>
          <w:color w:val="auto"/>
        </w:rPr>
      </w:pPr>
      <w:r>
        <w:rPr>
          <w:rFonts w:ascii="Arial" w:cs="Arial" w:eastAsia="Arial" w:hAnsi="Arial"/>
          <w:sz w:val="17"/>
          <w:szCs w:val="17"/>
          <w:b w:val="1"/>
          <w:bCs w:val="1"/>
          <w:color w:val="auto"/>
        </w:rPr>
        <w:t>4.8</w:t>
      </w:r>
      <w:r>
        <w:rPr>
          <w:rFonts w:ascii="Arial" w:cs="Arial" w:eastAsia="Arial" w:hAnsi="Arial"/>
          <w:sz w:val="17"/>
          <w:szCs w:val="17"/>
          <w:b w:val="1"/>
          <w:bCs w:val="1"/>
          <w:i w:val="1"/>
          <w:iCs w:val="1"/>
          <w:color w:val="auto"/>
        </w:rPr>
        <w:t>Remedies</w:t>
      </w:r>
      <w:r>
        <w:rPr>
          <w:rFonts w:ascii="Arial" w:cs="Arial" w:eastAsia="Arial" w:hAnsi="Arial"/>
          <w:sz w:val="17"/>
          <w:szCs w:val="17"/>
          <w:color w:val="auto"/>
        </w:rPr>
        <w:t>. If you violate any provision in Section 4.2, 4.3, 4.4</w:t>
      </w:r>
      <w:r>
        <w:rPr>
          <w:rFonts w:ascii="Arial" w:cs="Arial" w:eastAsia="Arial" w:hAnsi="Arial"/>
          <w:sz w:val="17"/>
          <w:szCs w:val="17"/>
          <w:b w:val="1"/>
          <w:bCs w:val="1"/>
          <w:color w:val="auto"/>
        </w:rPr>
        <w:t xml:space="preserve"> </w:t>
      </w:r>
      <w:r>
        <w:rPr>
          <w:rFonts w:ascii="Arial" w:cs="Arial" w:eastAsia="Arial" w:hAnsi="Arial"/>
          <w:sz w:val="17"/>
          <w:szCs w:val="17"/>
          <w:color w:val="auto"/>
        </w:rPr>
        <w:t>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91" w:lineRule="exact"/>
        <w:rPr>
          <w:sz w:val="20"/>
          <w:szCs w:val="20"/>
          <w:color w:val="auto"/>
        </w:rPr>
      </w:pPr>
    </w:p>
    <w:p>
      <w:pPr>
        <w:ind w:left="420" w:right="560" w:hanging="412"/>
        <w:spacing w:after="0" w:line="237" w:lineRule="auto"/>
        <w:tabs>
          <w:tab w:leader="none" w:pos="4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color w:val="auto"/>
        </w:rPr>
        <w:t>.</w:t>
      </w:r>
    </w:p>
    <w:p>
      <w:pPr>
        <w:spacing w:after="0" w:line="122" w:lineRule="exact"/>
        <w:rPr>
          <w:sz w:val="20"/>
          <w:szCs w:val="20"/>
          <w:color w:val="auto"/>
        </w:rPr>
      </w:pPr>
    </w:p>
    <w:p>
      <w:pPr>
        <w:ind w:firstLine="405"/>
        <w:spacing w:after="0" w:line="234" w:lineRule="auto"/>
        <w:rPr>
          <w:sz w:val="20"/>
          <w:szCs w:val="20"/>
          <w:color w:val="auto"/>
        </w:rPr>
      </w:pPr>
      <w:r>
        <w:rPr>
          <w:rFonts w:ascii="Arial" w:cs="Arial" w:eastAsia="Arial" w:hAnsi="Arial"/>
          <w:sz w:val="16"/>
          <w:szCs w:val="16"/>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21"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62" w:lineRule="exact"/>
        <w:rPr>
          <w:sz w:val="20"/>
          <w:szCs w:val="20"/>
          <w:color w:val="auto"/>
        </w:rPr>
      </w:pPr>
    </w:p>
    <w:p>
      <w:pPr>
        <w:ind w:right="60" w:firstLine="324"/>
        <w:spacing w:after="0" w:line="22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RSRs, Dividend Equivalents, and the shares subject to the award are subject to adjustment upon the occurrence of events such as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ind w:left="2" w:right="20"/>
        <w:spacing w:after="0" w:line="235" w:lineRule="auto"/>
        <w:rPr>
          <w:sz w:val="20"/>
          <w:szCs w:val="20"/>
          <w:color w:val="auto"/>
        </w:rPr>
      </w:pPr>
      <w:r>
        <w:rPr>
          <w:rFonts w:ascii="Arial" w:cs="Arial" w:eastAsia="Arial" w:hAnsi="Arial"/>
          <w:sz w:val="18"/>
          <w:szCs w:val="18"/>
          <w:color w:val="auto"/>
        </w:rPr>
        <w:t>splits, stock dividends and other changes in capitalization in accordance with Section 6(a) of the Plan.</w:t>
      </w:r>
    </w:p>
    <w:p>
      <w:pPr>
        <w:spacing w:after="0" w:line="121" w:lineRule="exact"/>
        <w:rPr>
          <w:sz w:val="20"/>
          <w:szCs w:val="20"/>
          <w:color w:val="auto"/>
        </w:rPr>
      </w:pPr>
    </w:p>
    <w:p>
      <w:pPr>
        <w:ind w:left="2" w:firstLine="324"/>
        <w:spacing w:after="0" w:line="23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 Notwithstanding 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29" w:lineRule="exact"/>
        <w:rPr>
          <w:sz w:val="20"/>
          <w:szCs w:val="20"/>
          <w:color w:val="auto"/>
        </w:rPr>
      </w:pPr>
    </w:p>
    <w:p>
      <w:pPr>
        <w:ind w:left="2" w:firstLine="405"/>
        <w:spacing w:after="0" w:line="222" w:lineRule="auto"/>
        <w:rPr>
          <w:sz w:val="20"/>
          <w:szCs w:val="20"/>
          <w:color w:val="auto"/>
        </w:rPr>
      </w:pPr>
      <w:r>
        <w:rPr>
          <w:rFonts w:ascii="Arial" w:cs="Arial" w:eastAsia="Arial" w:hAnsi="Arial"/>
          <w:sz w:val="17"/>
          <w:szCs w:val="17"/>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36" w:lineRule="exact"/>
        <w:rPr>
          <w:sz w:val="20"/>
          <w:szCs w:val="20"/>
          <w:color w:val="auto"/>
        </w:rPr>
      </w:pPr>
    </w:p>
    <w:p>
      <w:pPr>
        <w:ind w:left="2" w:firstLine="405"/>
        <w:spacing w:after="0" w:line="219" w:lineRule="auto"/>
        <w:rPr>
          <w:sz w:val="20"/>
          <w:szCs w:val="20"/>
          <w:color w:val="auto"/>
        </w:rPr>
      </w:pPr>
      <w:r>
        <w:rPr>
          <w:rFonts w:ascii="Arial" w:cs="Arial" w:eastAsia="Arial" w:hAnsi="Arial"/>
          <w:sz w:val="18"/>
          <w:szCs w:val="18"/>
          <w:color w:val="auto"/>
        </w:rPr>
        <w:t>Payment of any RSRs (and related Dividend Equivalents) that vest under this Section will be made at the time provided for in Section 2.7 as though the termination of the Grantee’s employment was due to a Normal Retirement.</w:t>
      </w:r>
    </w:p>
    <w:p>
      <w:pPr>
        <w:spacing w:after="0" w:line="118" w:lineRule="exact"/>
        <w:rPr>
          <w:sz w:val="20"/>
          <w:szCs w:val="20"/>
          <w:color w:val="auto"/>
        </w:rPr>
      </w:pPr>
    </w:p>
    <w:p>
      <w:pPr>
        <w:ind w:left="2" w:right="40" w:firstLine="324"/>
        <w:spacing w:after="0" w:line="23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b w:val="1"/>
          <w:bCs w:val="1"/>
          <w:color w:val="auto"/>
        </w:rPr>
        <w:t>.</w:t>
      </w:r>
      <w:r>
        <w:rPr>
          <w:rFonts w:ascii="Arial" w:cs="Arial" w:eastAsia="Arial" w:hAnsi="Arial"/>
          <w:sz w:val="16"/>
          <w:szCs w:val="16"/>
          <w:color w:val="auto"/>
        </w:rPr>
        <w:t xml:space="preserve"> If the 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w:t>
      </w:r>
    </w:p>
    <w:p>
      <w:pPr>
        <w:spacing w:after="0" w:line="9" w:lineRule="exact"/>
        <w:rPr>
          <w:sz w:val="20"/>
          <w:szCs w:val="20"/>
          <w:color w:val="auto"/>
        </w:rPr>
      </w:pPr>
    </w:p>
    <w:p>
      <w:pPr>
        <w:ind w:left="2" w:right="40" w:hanging="2"/>
        <w:spacing w:after="0" w:line="220" w:lineRule="auto"/>
        <w:tabs>
          <w:tab w:leader="none" w:pos="25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ectPr>
          <w:pgSz w:w="11900" w:h="16838" w:orient="portrait"/>
          <w:cols w:equalWidth="0" w:num="2">
            <w:col w:w="5220" w:space="698"/>
            <w:col w:w="5202"/>
          </w:cols>
          <w:pgMar w:left="320" w:top="1151" w:right="459" w:bottom="1440" w:gutter="0" w:footer="0" w:header="0"/>
        </w:sectPr>
      </w:pPr>
    </w:p>
    <w:bookmarkStart w:id="57" w:name="page58"/>
    <w:bookmarkEnd w:id="57"/>
    <w:p>
      <w:pPr>
        <w:ind w:firstLine="405"/>
        <w:spacing w:after="0" w:line="210" w:lineRule="auto"/>
        <w:rPr>
          <w:sz w:val="20"/>
          <w:szCs w:val="20"/>
          <w:color w:val="auto"/>
        </w:rPr>
      </w:pPr>
      <w:r>
        <w:rPr>
          <w:rFonts w:ascii="Arial" w:cs="Arial" w:eastAsia="Arial" w:hAnsi="Arial"/>
          <w:sz w:val="18"/>
          <w:szCs w:val="18"/>
          <w:color w:val="auto"/>
        </w:rPr>
        <w:t>Payment of any RSRs (and related Dividend Equivalents) that vest under this Section 6.3 will be made within 60 days of the third anniversary of the Grant Date unless, prior to such date: (i) the Grantee dies or has a Disability, in which case such payment will be made within 60 days of the Grantee’s death or Disability, as the case may be, or (ii) the Grantee has a Separation from Service, in which case such payment will be made at the time provided for in Section 2.7 as though the termination of the Grantee’s employment was due to a Normal Retirement.</w:t>
      </w:r>
    </w:p>
    <w:p>
      <w:pPr>
        <w:spacing w:after="0" w:line="121"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44" w:lineRule="exact"/>
        <w:rPr>
          <w:sz w:val="20"/>
          <w:szCs w:val="20"/>
          <w:color w:val="auto"/>
        </w:rPr>
      </w:pPr>
    </w:p>
    <w:p>
      <w:pPr>
        <w:ind w:right="80" w:firstLine="324"/>
        <w:spacing w:after="0" w:line="234"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39" w:lineRule="exact"/>
        <w:rPr>
          <w:sz w:val="20"/>
          <w:szCs w:val="20"/>
          <w:color w:val="auto"/>
        </w:rPr>
      </w:pPr>
    </w:p>
    <w:p>
      <w:pPr>
        <w:ind w:firstLine="324"/>
        <w:spacing w:after="0" w:line="23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The Company will pay all federal and state transfer taxes, if any, and other fees and expenses in connection with the issuance of shares in connection with the vesting of the RSRs.</w:t>
      </w:r>
    </w:p>
    <w:p>
      <w:pPr>
        <w:spacing w:after="0" w:line="123"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i w:val="1"/>
          <w:iCs w:val="1"/>
          <w:color w:val="auto"/>
        </w:rPr>
        <w:t>Compliance with Code</w:t>
      </w:r>
      <w:r>
        <w:rPr>
          <w:rFonts w:ascii="Arial" w:cs="Arial" w:eastAsia="Arial" w:hAnsi="Arial"/>
          <w:sz w:val="16"/>
          <w:szCs w:val="16"/>
          <w:color w:val="auto"/>
        </w:rPr>
        <w:t>. The Committee shall administer and construe the award in a manner designed to comply with the Code and to avoid adverse tax consequences under Code Section 409A.</w:t>
      </w:r>
    </w:p>
    <w:p>
      <w:pPr>
        <w:spacing w:after="0" w:line="106" w:lineRule="exact"/>
        <w:rPr>
          <w:sz w:val="20"/>
          <w:szCs w:val="20"/>
          <w:color w:val="auto"/>
        </w:rPr>
      </w:pPr>
    </w:p>
    <w:p>
      <w:pPr>
        <w:ind w:right="200" w:firstLine="324"/>
        <w:spacing w:after="0" w:line="22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i w:val="1"/>
          <w:iCs w:val="1"/>
          <w:color w:val="auto"/>
        </w:rPr>
        <w:t>Unfunded Arrangement</w:t>
      </w:r>
      <w:r>
        <w:rPr>
          <w:rFonts w:ascii="Arial" w:cs="Arial" w:eastAsia="Arial" w:hAnsi="Arial"/>
          <w:sz w:val="17"/>
          <w:szCs w:val="17"/>
          <w:color w:val="auto"/>
        </w:rPr>
        <w:t>. The right of the Grantee to receive 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34" w:lineRule="exact"/>
        <w:rPr>
          <w:sz w:val="20"/>
          <w:szCs w:val="20"/>
          <w:color w:val="auto"/>
        </w:rPr>
      </w:pPr>
    </w:p>
    <w:p>
      <w:pPr>
        <w:ind w:right="40" w:firstLine="324"/>
        <w:spacing w:after="0" w:line="235" w:lineRule="auto"/>
        <w:rPr>
          <w:sz w:val="20"/>
          <w:szCs w:val="20"/>
          <w:color w:val="auto"/>
        </w:rPr>
      </w:pPr>
      <w:r>
        <w:rPr>
          <w:rFonts w:ascii="Arial" w:cs="Arial" w:eastAsia="Arial" w:hAnsi="Arial"/>
          <w:sz w:val="16"/>
          <w:szCs w:val="16"/>
          <w:b w:val="1"/>
          <w:bCs w:val="1"/>
          <w:i w:val="1"/>
          <w:iCs w:val="1"/>
          <w:color w:val="auto"/>
        </w:rPr>
        <w:t>7.5 Code Section 280G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Notwithstanding any other provision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to the contrary, in the event that any amounts payable to you as a result of Section 6.2 or 6.3 hereof, either alone or together with amounts payable pursuant to any other plan, program or arrangement</w:t>
      </w:r>
    </w:p>
    <w:p>
      <w:pPr>
        <w:spacing w:after="0" w:line="1" w:lineRule="exact"/>
        <w:rPr>
          <w:sz w:val="20"/>
          <w:szCs w:val="20"/>
          <w:color w:val="auto"/>
        </w:rPr>
      </w:pPr>
    </w:p>
    <w:p>
      <w:pPr>
        <w:ind w:right="20" w:firstLine="8"/>
        <w:spacing w:after="0" w:line="220" w:lineRule="auto"/>
        <w:tabs>
          <w:tab w:leader="none" w:pos="245"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jc w:val="both"/>
        <w:ind w:left="2" w:right="100"/>
        <w:spacing w:after="0" w:line="235" w:lineRule="auto"/>
        <w:rPr>
          <w:sz w:val="20"/>
          <w:szCs w:val="20"/>
          <w:color w:val="auto"/>
        </w:rPr>
      </w:pPr>
      <w:r>
        <w:rPr>
          <w:rFonts w:ascii="Arial" w:cs="Arial" w:eastAsia="Arial" w:hAnsi="Arial"/>
          <w:sz w:val="16"/>
          <w:szCs w:val="16"/>
          <w:color w:val="auto"/>
        </w:rPr>
        <w:t>Tax, and any other applicable taxes, results in the receipt by you, on an after-tax basis, of the greatest amount of benefits, notwithstanding that all or some portion of such benefits may be subject to the Excise Tax.</w:t>
      </w:r>
    </w:p>
    <w:p>
      <w:pPr>
        <w:spacing w:after="0" w:line="2" w:lineRule="exact"/>
        <w:rPr>
          <w:sz w:val="20"/>
          <w:szCs w:val="20"/>
          <w:color w:val="auto"/>
        </w:rPr>
      </w:pPr>
    </w:p>
    <w:p>
      <w:pPr>
        <w:ind w:left="2"/>
        <w:spacing w:after="0" w:line="233" w:lineRule="auto"/>
        <w:rPr>
          <w:sz w:val="20"/>
          <w:szCs w:val="20"/>
          <w:color w:val="auto"/>
        </w:rPr>
      </w:pPr>
      <w:r>
        <w:rPr>
          <w:rFonts w:ascii="Arial" w:cs="Arial" w:eastAsia="Arial" w:hAnsi="Arial"/>
          <w:sz w:val="16"/>
          <w:szCs w:val="16"/>
          <w:color w:val="auto"/>
        </w:rPr>
        <w:t>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18" w:lineRule="exact"/>
        <w:rPr>
          <w:sz w:val="20"/>
          <w:szCs w:val="20"/>
          <w:color w:val="auto"/>
        </w:rPr>
      </w:pPr>
    </w:p>
    <w:p>
      <w:pPr>
        <w:ind w:left="642" w:hanging="642"/>
        <w:spacing w:after="0"/>
        <w:tabs>
          <w:tab w:leader="none" w:pos="64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148" w:lineRule="exact"/>
        <w:rPr>
          <w:sz w:val="20"/>
          <w:szCs w:val="20"/>
          <w:color w:val="auto"/>
        </w:rPr>
      </w:pPr>
    </w:p>
    <w:p>
      <w:pPr>
        <w:ind w:left="2" w:firstLine="177"/>
        <w:spacing w:after="0" w:line="232" w:lineRule="auto"/>
        <w:rPr>
          <w:sz w:val="20"/>
          <w:szCs w:val="20"/>
          <w:color w:val="auto"/>
        </w:rPr>
      </w:pPr>
      <w:r>
        <w:rPr>
          <w:rFonts w:ascii="Arial" w:cs="Arial" w:eastAsia="Arial" w:hAnsi="Arial"/>
          <w:sz w:val="16"/>
          <w:szCs w:val="16"/>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Manual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43" w:lineRule="exact"/>
        <w:rPr>
          <w:sz w:val="20"/>
          <w:szCs w:val="20"/>
          <w:color w:val="auto"/>
        </w:rPr>
      </w:pPr>
    </w:p>
    <w:p>
      <w:pPr>
        <w:ind w:left="322" w:hanging="322"/>
        <w:spacing w:after="0"/>
        <w:tabs>
          <w:tab w:leader="none" w:pos="32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48" w:lineRule="exact"/>
        <w:rPr>
          <w:sz w:val="20"/>
          <w:szCs w:val="20"/>
          <w:color w:val="auto"/>
        </w:rPr>
      </w:pPr>
    </w:p>
    <w:p>
      <w:pPr>
        <w:ind w:left="2" w:right="40" w:firstLine="405"/>
        <w:spacing w:after="0" w:line="222" w:lineRule="auto"/>
        <w:rPr>
          <w:sz w:val="20"/>
          <w:szCs w:val="20"/>
          <w:color w:val="auto"/>
        </w:rPr>
      </w:pPr>
      <w:r>
        <w:rPr>
          <w:rFonts w:ascii="Arial" w:cs="Arial" w:eastAsia="Arial" w:hAnsi="Arial"/>
          <w:sz w:val="17"/>
          <w:szCs w:val="17"/>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24" w:lineRule="exact"/>
        <w:rPr>
          <w:sz w:val="20"/>
          <w:szCs w:val="20"/>
          <w:color w:val="auto"/>
        </w:rPr>
      </w:pPr>
    </w:p>
    <w:p>
      <w:pPr>
        <w:ind w:left="402" w:hanging="402"/>
        <w:spacing w:after="0"/>
        <w:tabs>
          <w:tab w:leader="none" w:pos="40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62" w:lineRule="exact"/>
        <w:rPr>
          <w:sz w:val="20"/>
          <w:szCs w:val="20"/>
          <w:color w:val="auto"/>
        </w:rPr>
      </w:pPr>
    </w:p>
    <w:p>
      <w:pPr>
        <w:ind w:left="2" w:firstLine="405"/>
        <w:spacing w:after="0" w:line="249" w:lineRule="auto"/>
        <w:rPr>
          <w:sz w:val="20"/>
          <w:szCs w:val="20"/>
          <w:color w:val="auto"/>
        </w:rPr>
      </w:pPr>
      <w:r>
        <w:rPr>
          <w:rFonts w:ascii="Arial" w:cs="Arial" w:eastAsia="Arial" w:hAnsi="Arial"/>
          <w:sz w:val="16"/>
          <w:szCs w:val="16"/>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w:t>
      </w:r>
    </w:p>
    <w:p>
      <w:pPr>
        <w:sectPr>
          <w:pgSz w:w="11900" w:h="16838" w:orient="portrait"/>
          <w:cols w:equalWidth="0" w:num="2">
            <w:col w:w="5220" w:space="698"/>
            <w:col w:w="5202"/>
          </w:cols>
          <w:pgMar w:left="320" w:top="1151" w:right="459" w:bottom="1440" w:gutter="0" w:footer="0" w:header="0"/>
        </w:sectPr>
      </w:pPr>
    </w:p>
    <w:bookmarkStart w:id="58" w:name="page59"/>
    <w:bookmarkEnd w:id="58"/>
    <w:p>
      <w:pPr>
        <w:ind w:right="80"/>
        <w:spacing w:after="0" w:line="212" w:lineRule="auto"/>
        <w:rPr>
          <w:sz w:val="20"/>
          <w:szCs w:val="20"/>
          <w:color w:val="auto"/>
        </w:rPr>
      </w:pPr>
      <w:r>
        <w:rPr>
          <w:rFonts w:ascii="Arial" w:cs="Arial" w:eastAsia="Arial" w:hAnsi="Arial"/>
          <w:sz w:val="18"/>
          <w:szCs w:val="18"/>
          <w:color w:val="auto"/>
        </w:rPr>
        <w:t>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20"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48" w:lineRule="exact"/>
        <w:rPr>
          <w:sz w:val="20"/>
          <w:szCs w:val="20"/>
          <w:color w:val="auto"/>
        </w:rPr>
      </w:pPr>
    </w:p>
    <w:p>
      <w:pPr>
        <w:ind w:firstLine="180"/>
        <w:spacing w:after="0" w:line="231"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41" w:lineRule="exact"/>
        <w:rPr>
          <w:sz w:val="20"/>
          <w:szCs w:val="20"/>
          <w:color w:val="auto"/>
        </w:rPr>
      </w:pPr>
    </w:p>
    <w:p>
      <w:pPr>
        <w:ind w:left="400" w:hanging="392"/>
        <w:spacing w:after="0"/>
        <w:tabs>
          <w:tab w:leader="none" w:pos="4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48" w:lineRule="exact"/>
        <w:rPr>
          <w:sz w:val="20"/>
          <w:szCs w:val="20"/>
          <w:color w:val="auto"/>
        </w:rPr>
      </w:pPr>
    </w:p>
    <w:p>
      <w:pPr>
        <w:ind w:right="80" w:firstLine="405"/>
        <w:spacing w:after="0" w:line="224"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occurrence of either or both of the following:</w:t>
      </w:r>
    </w:p>
    <w:p>
      <w:pPr>
        <w:spacing w:after="0" w:line="171" w:lineRule="exact"/>
        <w:rPr>
          <w:sz w:val="20"/>
          <w:szCs w:val="20"/>
          <w:color w:val="auto"/>
        </w:rPr>
      </w:pPr>
    </w:p>
    <w:p>
      <w:pPr>
        <w:ind w:left="580" w:right="120" w:hanging="329"/>
        <w:spacing w:after="0" w:line="216" w:lineRule="auto"/>
        <w:tabs>
          <w:tab w:leader="none" w:pos="6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ind w:left="560" w:right="40" w:hanging="319"/>
        <w:spacing w:after="0" w:line="226" w:lineRule="auto"/>
        <w:tabs>
          <w:tab w:leader="none" w:pos="633" w:val="left"/>
        </w:tabs>
        <w:numPr>
          <w:ilvl w:val="0"/>
          <w:numId w:val="72"/>
        </w:numPr>
        <w:rPr>
          <w:rFonts w:ascii="Arial" w:cs="Arial" w:eastAsia="Arial" w:hAnsi="Arial"/>
          <w:sz w:val="17"/>
          <w:szCs w:val="17"/>
          <w:color w:val="auto"/>
        </w:rPr>
      </w:pPr>
      <w:r>
        <w:rPr>
          <w:rFonts w:ascii="Arial" w:cs="Arial" w:eastAsia="Arial" w:hAnsi="Arial"/>
          <w:sz w:val="17"/>
          <w:szCs w:val="17"/>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44" w:lineRule="exact"/>
        <w:rPr>
          <w:sz w:val="20"/>
          <w:szCs w:val="20"/>
          <w:color w:val="auto"/>
        </w:rPr>
      </w:pPr>
    </w:p>
    <w:p>
      <w:pPr>
        <w:ind w:right="100" w:firstLine="405"/>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3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44" w:lineRule="exact"/>
        <w:rPr>
          <w:sz w:val="20"/>
          <w:szCs w:val="20"/>
          <w:color w:val="auto"/>
        </w:rPr>
      </w:pPr>
    </w:p>
    <w:p>
      <w:pPr>
        <w:ind w:firstLine="405"/>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 all construed and interpreted consistent with the definition of “Disability” set forth in Code Section 409A(a)(2)(C).</w:t>
      </w:r>
    </w:p>
    <w:p>
      <w:pPr>
        <w:spacing w:after="0" w:line="135" w:lineRule="exact"/>
        <w:rPr>
          <w:sz w:val="20"/>
          <w:szCs w:val="20"/>
          <w:color w:val="auto"/>
        </w:rPr>
      </w:pPr>
    </w:p>
    <w:p>
      <w:pPr>
        <w:ind w:firstLine="405"/>
        <w:spacing w:after="0" w:line="21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Retirement</w:t>
      </w:r>
      <w:r>
        <w:rPr>
          <w:rFonts w:ascii="Arial" w:cs="Arial" w:eastAsia="Arial" w:hAnsi="Arial"/>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148" w:lineRule="exact"/>
        <w:rPr>
          <w:sz w:val="20"/>
          <w:szCs w:val="20"/>
          <w:color w:val="auto"/>
        </w:rPr>
      </w:pPr>
    </w:p>
    <w:p>
      <w:pPr>
        <w:ind w:left="560" w:right="200" w:hanging="319"/>
        <w:spacing w:after="0" w:line="246"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termination of employment after the Grantee has attained age 55 with at least 10 years of service.</w:t>
      </w:r>
    </w:p>
    <w:p>
      <w:pPr>
        <w:spacing w:after="0" w:line="115" w:lineRule="exact"/>
        <w:rPr>
          <w:rFonts w:ascii="Arial" w:cs="Arial" w:eastAsia="Arial" w:hAnsi="Arial"/>
          <w:sz w:val="18"/>
          <w:szCs w:val="18"/>
          <w:color w:val="auto"/>
        </w:rPr>
      </w:pPr>
    </w:p>
    <w:p>
      <w:pPr>
        <w:ind w:left="560" w:right="120" w:hanging="319"/>
        <w:spacing w:after="0" w:line="219" w:lineRule="auto"/>
        <w:tabs>
          <w:tab w:leader="none" w:pos="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35" w:lineRule="exact"/>
        <w:rPr>
          <w:rFonts w:ascii="Arial" w:cs="Arial" w:eastAsia="Arial" w:hAnsi="Arial"/>
          <w:sz w:val="18"/>
          <w:szCs w:val="18"/>
          <w:color w:val="auto"/>
        </w:rPr>
      </w:pPr>
    </w:p>
    <w:p>
      <w:pPr>
        <w:ind w:left="560" w:right="20" w:hanging="319"/>
        <w:spacing w:after="0" w:line="219" w:lineRule="auto"/>
        <w:tabs>
          <w:tab w:leader="none" w:pos="6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termination of employment by the Company or a subsidiary as part of a reduction in force and, at the time of such termination, the sum of the Grantee’s age and years of service is at least 75.</w:t>
      </w:r>
    </w:p>
    <w:p>
      <w:pPr>
        <w:spacing w:after="0" w:line="118" w:lineRule="exact"/>
        <w:rPr>
          <w:sz w:val="20"/>
          <w:szCs w:val="20"/>
          <w:color w:val="auto"/>
        </w:rPr>
      </w:pPr>
    </w:p>
    <w:p>
      <w:pPr>
        <w:ind w:right="300" w:firstLine="405"/>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ectPr>
          <w:pgSz w:w="11900" w:h="16838" w:orient="portrait"/>
          <w:cols w:equalWidth="0" w:num="2">
            <w:col w:w="5200" w:space="720"/>
            <w:col w:w="5200"/>
          </w:cols>
          <w:pgMar w:left="320" w:top="1151" w:right="459" w:bottom="1440" w:gutter="0" w:footer="0" w:header="0"/>
        </w:sectPr>
      </w:pPr>
    </w:p>
    <w:bookmarkStart w:id="59" w:name="page60"/>
    <w:bookmarkEnd w:id="59"/>
    <w:p>
      <w:pPr>
        <w:ind w:right="320" w:firstLine="405"/>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80" w:lineRule="exact"/>
        <w:rPr>
          <w:sz w:val="20"/>
          <w:szCs w:val="20"/>
          <w:color w:val="auto"/>
        </w:rPr>
      </w:pPr>
    </w:p>
    <w:p>
      <w:pPr>
        <w:ind w:left="580" w:right="120" w:hanging="329"/>
        <w:spacing w:after="0" w:line="232" w:lineRule="auto"/>
        <w:tabs>
          <w:tab w:leader="none" w:pos="596"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31" w:lineRule="exact"/>
        <w:rPr>
          <w:sz w:val="20"/>
          <w:szCs w:val="20"/>
          <w:color w:val="auto"/>
        </w:rPr>
      </w:pPr>
    </w:p>
    <w:p>
      <w:pPr>
        <w:ind w:left="580" w:hanging="143"/>
        <w:spacing w:after="0" w:line="234" w:lineRule="auto"/>
        <w:rPr>
          <w:sz w:val="20"/>
          <w:szCs w:val="20"/>
          <w:color w:val="auto"/>
        </w:rPr>
      </w:pPr>
      <w:r>
        <w:rPr>
          <w:rFonts w:ascii="Arial" w:cs="Arial" w:eastAsia="Arial" w:hAnsi="Arial"/>
          <w:sz w:val="16"/>
          <w:szCs w:val="16"/>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35" w:lineRule="exact"/>
        <w:rPr>
          <w:sz w:val="20"/>
          <w:szCs w:val="20"/>
          <w:color w:val="auto"/>
        </w:rPr>
      </w:pPr>
    </w:p>
    <w:p>
      <w:pPr>
        <w:ind w:left="580" w:right="40" w:hanging="329"/>
        <w:spacing w:after="0" w:line="219" w:lineRule="auto"/>
        <w:tabs>
          <w:tab w:leader="none" w:pos="6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material reduction by the Company in the Grantee’s annualized rate of base salary as in effect at the start of the Protected Period, or as the same shall be increased from time to time.</w:t>
      </w:r>
    </w:p>
    <w:p>
      <w:pPr>
        <w:spacing w:after="0" w:line="122" w:lineRule="exact"/>
        <w:rPr>
          <w:rFonts w:ascii="Arial" w:cs="Arial" w:eastAsia="Arial" w:hAnsi="Arial"/>
          <w:sz w:val="18"/>
          <w:szCs w:val="18"/>
          <w:color w:val="auto"/>
        </w:rPr>
      </w:pPr>
    </w:p>
    <w:p>
      <w:pPr>
        <w:ind w:left="580" w:right="20" w:hanging="329"/>
        <w:spacing w:after="0" w:line="222" w:lineRule="auto"/>
        <w:tabs>
          <w:tab w:leader="none" w:pos="696"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ind w:left="560"/>
        <w:spacing w:after="0" w:line="224" w:lineRule="auto"/>
        <w:rPr>
          <w:sz w:val="20"/>
          <w:szCs w:val="20"/>
          <w:color w:val="auto"/>
        </w:rPr>
      </w:pPr>
      <w:r>
        <w:rPr>
          <w:rFonts w:ascii="Arial" w:cs="Arial" w:eastAsia="Arial" w:hAnsi="Arial"/>
          <w:sz w:val="18"/>
          <w:szCs w:val="18"/>
          <w:color w:val="auto"/>
        </w:rPr>
        <w:t>other employees who have positions commensurate with the position held by the Grantee immediately prior to the start of the Protected Period.</w:t>
      </w:r>
    </w:p>
    <w:p>
      <w:pPr>
        <w:spacing w:after="0" w:line="122" w:lineRule="exact"/>
        <w:rPr>
          <w:sz w:val="20"/>
          <w:szCs w:val="20"/>
          <w:color w:val="auto"/>
        </w:rPr>
      </w:pPr>
    </w:p>
    <w:p>
      <w:pPr>
        <w:ind w:left="560" w:hanging="319"/>
        <w:spacing w:after="0" w:line="222" w:lineRule="auto"/>
        <w:tabs>
          <w:tab w:leader="none" w:pos="666"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22" w:lineRule="exact"/>
        <w:rPr>
          <w:rFonts w:ascii="Arial" w:cs="Arial" w:eastAsia="Arial" w:hAnsi="Arial"/>
          <w:sz w:val="17"/>
          <w:szCs w:val="17"/>
          <w:color w:val="auto"/>
        </w:rPr>
      </w:pPr>
    </w:p>
    <w:p>
      <w:pPr>
        <w:ind w:left="560" w:right="100" w:hanging="319"/>
        <w:spacing w:after="0" w:line="222" w:lineRule="auto"/>
        <w:tabs>
          <w:tab w:leader="none" w:pos="623"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1" w:lineRule="exact"/>
        <w:rPr>
          <w:sz w:val="20"/>
          <w:szCs w:val="20"/>
          <w:color w:val="auto"/>
        </w:rPr>
      </w:pPr>
    </w:p>
    <w:p>
      <w:pPr>
        <w:ind w:firstLine="405"/>
        <w:spacing w:after="0" w:line="216"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18" w:lineRule="exact"/>
        <w:rPr>
          <w:sz w:val="20"/>
          <w:szCs w:val="20"/>
          <w:color w:val="auto"/>
        </w:rPr>
      </w:pPr>
    </w:p>
    <w:p>
      <w:pPr>
        <w:ind w:right="60" w:firstLine="40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Service Retirement</w:t>
      </w:r>
      <w:r>
        <w:rPr>
          <w:rFonts w:ascii="Arial" w:cs="Arial" w:eastAsia="Arial" w:hAnsi="Arial"/>
          <w:sz w:val="16"/>
          <w:szCs w:val="16"/>
          <w:color w:val="auto"/>
        </w:rPr>
        <w:t>” means an Early or Normal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14" w:lineRule="exact"/>
        <w:rPr>
          <w:sz w:val="20"/>
          <w:szCs w:val="20"/>
          <w:color w:val="auto"/>
        </w:rPr>
      </w:pPr>
    </w:p>
    <w:p>
      <w:pPr>
        <w:ind w:right="60" w:firstLine="405"/>
        <w:spacing w:after="0" w:line="2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Employee</w:t>
      </w:r>
      <w:r>
        <w:rPr>
          <w:rFonts w:ascii="Arial" w:cs="Arial" w:eastAsia="Arial" w:hAnsi="Arial"/>
          <w:sz w:val="17"/>
          <w:szCs w:val="17"/>
          <w:color w:val="auto"/>
        </w:rPr>
        <w:t xml:space="preserve">” </w:t>
      </w:r>
      <w:r>
        <w:rPr>
          <w:rFonts w:ascii="Arial" w:cs="Arial" w:eastAsia="Arial" w:hAnsi="Arial"/>
          <w:sz w:val="17"/>
          <w:szCs w:val="17"/>
          <w:u w:val="single" w:color="auto"/>
          <w:color w:val="auto"/>
        </w:rPr>
        <w:t>means a</w:t>
      </w:r>
      <w:r>
        <w:rPr>
          <w:rFonts w:ascii="Arial" w:cs="Arial" w:eastAsia="Arial" w:hAnsi="Arial"/>
          <w:sz w:val="17"/>
          <w:szCs w:val="17"/>
          <w:color w:val="auto"/>
        </w:rPr>
        <w:t>n employee treated as a “specified employee” under Code section 409A(a)(2)(B)(i) of the Company or an Affiliated Company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Section 409A. Such determination shall be effective for the twelve (12) month period commencing on April 1 of the following year.</w:t>
      </w:r>
    </w:p>
    <w:p>
      <w:pPr>
        <w:spacing w:after="0" w:line="158" w:lineRule="exact"/>
        <w:rPr>
          <w:sz w:val="20"/>
          <w:szCs w:val="20"/>
          <w:color w:val="auto"/>
        </w:rPr>
      </w:pPr>
    </w:p>
    <w:p>
      <w:pPr>
        <w:ind w:right="160" w:firstLine="405"/>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Normal Retirement</w:t>
      </w:r>
      <w:r>
        <w:rPr>
          <w:rFonts w:ascii="Arial" w:cs="Arial" w:eastAsia="Arial" w:hAnsi="Arial"/>
          <w:sz w:val="17"/>
          <w:szCs w:val="17"/>
          <w:color w:val="auto"/>
        </w:rPr>
        <w:t>” means that the Grantee terminates employment after attaining age 65 with at least 10 years of service (other than in connection with a termination by the Company or a subsidiary for Cause). In the case of a Grantee who is an officer of the Company subject to the Company’s mandatory</w:t>
      </w:r>
    </w:p>
    <w:p>
      <w:pPr>
        <w:sectPr>
          <w:pgSz w:w="11900" w:h="16838" w:orient="portrait"/>
          <w:cols w:equalWidth="0" w:num="2">
            <w:col w:w="5200" w:space="720"/>
            <w:col w:w="5200"/>
          </w:cols>
          <w:pgMar w:left="320" w:top="1147" w:right="459" w:bottom="1440" w:gutter="0" w:footer="0" w:header="0"/>
        </w:sectPr>
      </w:pPr>
    </w:p>
    <w:bookmarkStart w:id="60" w:name="page61"/>
    <w:bookmarkEnd w:id="60"/>
    <w:p>
      <w:pPr>
        <w:ind w:right="4979"/>
        <w:spacing w:after="0" w:line="212" w:lineRule="auto"/>
        <w:rPr>
          <w:sz w:val="20"/>
          <w:szCs w:val="20"/>
          <w:color w:val="auto"/>
        </w:rPr>
      </w:pPr>
      <w:r>
        <w:rPr>
          <w:rFonts w:ascii="Arial" w:cs="Arial" w:eastAsia="Arial" w:hAnsi="Arial"/>
          <w:sz w:val="18"/>
          <w:szCs w:val="18"/>
          <w:color w:val="auto"/>
        </w:rPr>
        <w:t>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44" w:lineRule="exact"/>
        <w:rPr>
          <w:sz w:val="20"/>
          <w:szCs w:val="20"/>
          <w:color w:val="auto"/>
        </w:rPr>
      </w:pPr>
    </w:p>
    <w:p>
      <w:pPr>
        <w:ind w:right="4999" w:firstLine="405"/>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31" w:lineRule="exact"/>
        <w:rPr>
          <w:sz w:val="20"/>
          <w:szCs w:val="20"/>
          <w:color w:val="auto"/>
        </w:rPr>
      </w:pPr>
    </w:p>
    <w:p>
      <w:pPr>
        <w:ind w:right="4999" w:firstLine="405"/>
        <w:spacing w:after="0" w:line="22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21" w:lineRule="exact"/>
        <w:rPr>
          <w:sz w:val="20"/>
          <w:szCs w:val="20"/>
          <w:color w:val="auto"/>
        </w:rPr>
      </w:pPr>
    </w:p>
    <w:p>
      <w:pPr>
        <w:ind w:left="580" w:right="4939" w:hanging="329"/>
        <w:spacing w:after="0" w:line="211" w:lineRule="auto"/>
        <w:tabs>
          <w:tab w:leader="none" w:pos="6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23" w:lineRule="exact"/>
        <w:rPr>
          <w:rFonts w:ascii="Arial" w:cs="Arial" w:eastAsia="Arial" w:hAnsi="Arial"/>
          <w:sz w:val="18"/>
          <w:szCs w:val="18"/>
          <w:color w:val="auto"/>
        </w:rPr>
      </w:pPr>
    </w:p>
    <w:p>
      <w:pPr>
        <w:ind w:left="580" w:right="4939" w:hanging="329"/>
        <w:spacing w:after="0" w:line="236" w:lineRule="auto"/>
        <w:tabs>
          <w:tab w:leader="none" w:pos="656"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40" w:lineRule="exact"/>
        <w:rPr>
          <w:rFonts w:ascii="Arial" w:cs="Arial" w:eastAsia="Arial" w:hAnsi="Arial"/>
          <w:sz w:val="16"/>
          <w:szCs w:val="16"/>
          <w:color w:val="auto"/>
        </w:rPr>
      </w:pPr>
    </w:p>
    <w:p>
      <w:pPr>
        <w:ind w:left="700" w:hanging="449"/>
        <w:spacing w:after="0"/>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w:t>
      </w:r>
    </w:p>
    <w:p>
      <w:pPr>
        <w:spacing w:after="0" w:line="7" w:lineRule="exact"/>
        <w:rPr>
          <w:rFonts w:ascii="Arial" w:cs="Arial" w:eastAsia="Arial" w:hAnsi="Arial"/>
          <w:sz w:val="16"/>
          <w:szCs w:val="16"/>
          <w:color w:val="auto"/>
        </w:rPr>
      </w:pPr>
    </w:p>
    <w:p>
      <w:pPr>
        <w:jc w:val="both"/>
        <w:ind w:left="580" w:right="5079" w:hanging="5"/>
        <w:spacing w:after="0" w:line="214" w:lineRule="auto"/>
        <w:tabs>
          <w:tab w:leader="none" w:pos="795" w:val="left"/>
        </w:tabs>
        <w:numPr>
          <w:ilvl w:val="1"/>
          <w:numId w:val="77"/>
        </w:numPr>
        <w:rPr>
          <w:rFonts w:ascii="Arial" w:cs="Arial" w:eastAsia="Arial" w:hAnsi="Arial"/>
          <w:sz w:val="18"/>
          <w:szCs w:val="18"/>
          <w:color w:val="auto"/>
        </w:rPr>
      </w:pPr>
      <w:r>
        <w:rPr>
          <w:rFonts w:ascii="Arial" w:cs="Arial" w:eastAsia="Arial" w:hAnsi="Arial"/>
          <w:sz w:val="18"/>
          <w:szCs w:val="18"/>
          <w:color w:val="auto"/>
        </w:rPr>
        <w:t>or (ii) above, the Protected Period shall commence on the date that is six (6) months prior to the Change in Control and shall continue through and including the date of the Change in Control.</w:t>
      </w:r>
    </w:p>
    <w:p>
      <w:pPr>
        <w:spacing w:after="0" w:line="119" w:lineRule="exact"/>
        <w:rPr>
          <w:sz w:val="20"/>
          <w:szCs w:val="20"/>
          <w:color w:val="auto"/>
        </w:rPr>
      </w:pPr>
    </w:p>
    <w:p>
      <w:pPr>
        <w:ind w:right="4959" w:firstLine="405"/>
        <w:spacing w:after="0" w:line="21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means when the Grantee dies, retires, or otherwise has a termination of employment with the Company and its subsidiaries that constitutes a “separation from service” within the meaning of United States Treasury Regulation Section 1.409A-1(h)(1), without regard to the optional alternative definitions available thereunder.</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w:t>
      </w:r>
      <w:r>
        <w:rPr>
          <w:rFonts w:ascii="Arial" w:cs="Arial" w:eastAsia="Arial" w:hAnsi="Arial"/>
          <w:sz w:val="16"/>
          <w:szCs w:val="16"/>
          <w:color w:val="auto"/>
        </w:rPr>
        <w:t>” means the person acquiring a Grantee’s rights to 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grant under the Plan by will or by the laws of descent 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39"/>
          </w:cols>
          <w:pgMar w:left="320" w:top="1151"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10.3</w:t>
      </w:r>
    </w:p>
    <w:p>
      <w:pPr>
        <w:jc w:val="center"/>
        <w:spacing w:after="0"/>
        <w:rPr>
          <w:sz w:val="20"/>
          <w:szCs w:val="20"/>
          <w:color w:val="auto"/>
        </w:rPr>
      </w:pPr>
      <w:r>
        <w:rPr>
          <w:rFonts w:ascii="Arial" w:cs="Arial" w:eastAsia="Arial" w:hAnsi="Arial"/>
          <w:sz w:val="25"/>
          <w:szCs w:val="25"/>
          <w:b w:val="1"/>
          <w:bCs w:val="1"/>
          <w:color w:val="auto"/>
        </w:rPr>
        <w:t>NORTHROP GRUMMAN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2022 RESTRICTED PERFORMANCE STOCK RIGHTS GRANT AGREEMENT</w:t>
      </w:r>
    </w:p>
    <w:p>
      <w:pPr>
        <w:ind w:right="40" w:firstLine="648"/>
        <w:spacing w:after="0" w:line="222" w:lineRule="auto"/>
        <w:rPr>
          <w:sz w:val="20"/>
          <w:szCs w:val="20"/>
          <w:color w:val="auto"/>
        </w:rPr>
      </w:pPr>
      <w:r>
        <w:rPr>
          <w:rFonts w:ascii="Arial" w:cs="Arial" w:eastAsia="Arial" w:hAnsi="Arial"/>
          <w:sz w:val="17"/>
          <w:szCs w:val="17"/>
          <w:color w:val="auto"/>
        </w:rPr>
        <w:t>This 2022 Restricted Performance Stock Rights Grant Agreement (“Agreement”) applies to certain “Restricted Performance Stock Rights” (“RPSRs”) granted by Northrop Grumman Corporation (the “Company”) in 2022 under its 2011 Long-Term Incentive Stock Plan. If you were granted an RPSR award by the Company in 2022, the date of grant of your RPSR award and the target number of RPSRs applicable to your award are set forth in the letter from the Company announcing your RPSR award (your “Grant Letter”) and are also reflected in the electronic stock plan award recordkeeping system (“Stock Plan System”) maintained by the Company or its designee. This Agreement applies only with respect to the 2022 RPSR award, and you are subject to this Agreement upon accepting your grant. If you were granted an RPSR award, you are referred to as the “Grantee” with respect to your award. Capitalized terms are generally defined in Section 12 below if not otherwise defined herein.</w:t>
      </w:r>
    </w:p>
    <w:p>
      <w:pPr>
        <w:spacing w:after="0" w:line="163"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Each RPSR represents a right to receive one share of the Company’s Common Stock, or cash of equivalent value as provided herein subject to vesting as provided herein. The performance period applicable to your award is January 1, 2022 to December 31, 2024 (the “Performance Period”). The target number of RPSRs subject to your award is subject to adjustment as provided herein. The RPSR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RPSR award, by entering into this Agreement in accordance with the instructions and time limit set forth in your Grant Letter, you will be deemed to have forfeited your RPSR award.</w:t>
      </w:r>
    </w:p>
    <w:p>
      <w:pPr>
        <w:sectPr>
          <w:pgSz w:w="11900" w:h="16838" w:orient="portrait"/>
          <w:cols w:equalWidth="0" w:num="1">
            <w:col w:w="11240"/>
          </w:cols>
          <w:pgMar w:left="320" w:top="1126" w:right="339" w:bottom="1440" w:gutter="0" w:footer="0" w:header="0"/>
        </w:sectPr>
      </w:pPr>
    </w:p>
    <w:p>
      <w:pPr>
        <w:spacing w:after="0" w:line="156"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Payment of RPSRs</w:t>
      </w:r>
      <w:r>
        <w:rPr>
          <w:rFonts w:ascii="Arial" w:cs="Arial" w:eastAsia="Arial" w:hAnsi="Arial"/>
          <w:sz w:val="18"/>
          <w:szCs w:val="18"/>
          <w:color w:val="auto"/>
        </w:rPr>
        <w:t>.</w:t>
      </w:r>
    </w:p>
    <w:p>
      <w:pPr>
        <w:spacing w:after="0" w:line="148" w:lineRule="exact"/>
        <w:rPr>
          <w:sz w:val="20"/>
          <w:szCs w:val="20"/>
          <w:color w:val="auto"/>
        </w:rPr>
      </w:pPr>
    </w:p>
    <w:p>
      <w:pPr>
        <w:ind w:right="160" w:firstLine="405"/>
        <w:spacing w:after="0" w:line="249" w:lineRule="auto"/>
        <w:rPr>
          <w:sz w:val="20"/>
          <w:szCs w:val="20"/>
          <w:color w:val="auto"/>
        </w:rPr>
      </w:pPr>
      <w:r>
        <w:rPr>
          <w:rFonts w:ascii="Arial" w:cs="Arial" w:eastAsia="Arial" w:hAnsi="Arial"/>
          <w:sz w:val="16"/>
          <w:szCs w:val="16"/>
          <w:color w:val="auto"/>
        </w:rPr>
        <w:t>The RPSRs are subject to the vesting and payment provisions established by the Committee with respect to the Performance Period. RPSRs (and any Dividend Equivalents (as defined below)) that vest based on such provisions will be paid as provided below.</w:t>
      </w:r>
    </w:p>
    <w:p>
      <w:pPr>
        <w:spacing w:after="0" w:line="150" w:lineRule="exact"/>
        <w:rPr>
          <w:sz w:val="20"/>
          <w:szCs w:val="20"/>
          <w:color w:val="auto"/>
        </w:rPr>
      </w:pPr>
    </w:p>
    <w:p>
      <w:pPr>
        <w:ind w:firstLine="324"/>
        <w:spacing w:after="0" w:line="234"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Performance-Based Vesting of RPSRs</w:t>
      </w:r>
      <w:r>
        <w:rPr>
          <w:rFonts w:ascii="Arial" w:cs="Arial" w:eastAsia="Arial" w:hAnsi="Arial"/>
          <w:sz w:val="16"/>
          <w:szCs w:val="16"/>
          <w:color w:val="auto"/>
        </w:rPr>
        <w:t>. Subject to Sections 2,</w:t>
      </w:r>
      <w:r>
        <w:rPr>
          <w:rFonts w:ascii="Arial" w:cs="Arial" w:eastAsia="Arial" w:hAnsi="Arial"/>
          <w:sz w:val="16"/>
          <w:szCs w:val="16"/>
          <w:b w:val="1"/>
          <w:bCs w:val="1"/>
          <w:color w:val="auto"/>
        </w:rPr>
        <w:t xml:space="preserve"> </w:t>
      </w:r>
      <w:r>
        <w:rPr>
          <w:rFonts w:ascii="Arial" w:cs="Arial" w:eastAsia="Arial" w:hAnsi="Arial"/>
          <w:sz w:val="16"/>
          <w:szCs w:val="16"/>
          <w:color w:val="auto"/>
        </w:rPr>
        <w:t>3, 4 and 6 below, the RPSRs subject to the award shall vest and become nonforfeitable based on the performance methodology and goals established by the Committee for the Performance Period. At the conclusion of the Performance Period, the Committee shall determine whether and the extent to which the performance goals have been achieved. The percentage of target RPSRs subject to the award (if any) that have vested for the Performance Period (the “Earnout Percentage”) shall be determined by the Committee based on the methodology and goals as established by the Committee, and its determination of the Earnout Percentage shall be conclusive and binding. Any RPSRs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spacing w:after="0" w:line="117" w:lineRule="exact"/>
        <w:rPr>
          <w:sz w:val="20"/>
          <w:szCs w:val="20"/>
          <w:color w:val="auto"/>
        </w:rPr>
      </w:pPr>
    </w:p>
    <w:p>
      <w:pPr>
        <w:ind w:right="20" w:firstLine="324"/>
        <w:spacing w:after="0" w:line="223"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i w:val="1"/>
          <w:iCs w:val="1"/>
          <w:color w:val="auto"/>
        </w:rPr>
        <w:t>Payment of RPSRs</w:t>
      </w:r>
      <w:r>
        <w:rPr>
          <w:rFonts w:ascii="Arial" w:cs="Arial" w:eastAsia="Arial" w:hAnsi="Arial"/>
          <w:sz w:val="17"/>
          <w:szCs w:val="17"/>
          <w:color w:val="auto"/>
        </w:rPr>
        <w:t>. The number of RPSRs payable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conclusion of the Performance Period (“Vested RPSRs”) shall be determined by multiplying the Earnout Percentage by the target number of RPSRs subject to the award. The Vested RPSRs and any RPSRs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RPSR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 w:right="140"/>
        <w:spacing w:after="0" w:line="226" w:lineRule="auto"/>
        <w:rPr>
          <w:sz w:val="20"/>
          <w:szCs w:val="20"/>
          <w:color w:val="auto"/>
        </w:rPr>
      </w:pPr>
      <w:r>
        <w:rPr>
          <w:rFonts w:ascii="Arial" w:cs="Arial" w:eastAsia="Arial" w:hAnsi="Arial"/>
          <w:sz w:val="17"/>
          <w:szCs w:val="17"/>
          <w:color w:val="auto"/>
        </w:rPr>
        <w:t>to be paid in cash will equal the Fair Market Value (as defined below) of a share of Common Stock as of the date the Committee determines the extent to which the applicable RPSR performance criteria have been achieved. Vested RPSRs will be paid within 60 days of the vesting date, but in no event later than March 15 of the year following the last day of the Performance Period.</w:t>
      </w:r>
    </w:p>
    <w:p>
      <w:pPr>
        <w:spacing w:after="0" w:line="120" w:lineRule="exact"/>
        <w:rPr>
          <w:sz w:val="20"/>
          <w:szCs w:val="20"/>
          <w:color w:val="auto"/>
        </w:rPr>
      </w:pPr>
    </w:p>
    <w:p>
      <w:pPr>
        <w:ind w:left="2" w:right="120" w:firstLine="324"/>
        <w:spacing w:after="0" w:line="233"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Grantee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for Dividend Equivalents (if any) with respect to any Vested RPSRs and any RPSRs that vest and become payable pursuant to Section 2 or 6. For purposes of this Agreement, “Dividend Equivalents” means the aggregate amount of dividends paid by the Company on a number of shares of Common Stock equivalent to the number of Vested RPSRs (or the number of RPSRs that vest and become payable pursuant to Section 2 or 6) during the period from the beginning of the Performance Period until the date the Vested RPSRs (or the RPSRs that vest and become payable pursuant to Section 2 or 6) are paid, without interest or other adjustments to reflect the time value of money. For these purposes, any Vested RPSRs or RPSRs that vest and become payable pursuant to Section 2 or 6 in excess of the target number of RPSRs subject to the award shall be considered to have been granted at the beginning of the Performance Period. Dividend Equivalents (if any) will be paid at the same time as the Vested RPSRs (or the RPSRs that vest and become payable pursuant to Section 2 or 6) to which they relate are paid. Dividend Equivalents will be paid in cash.</w:t>
      </w:r>
    </w:p>
    <w:p>
      <w:pPr>
        <w:spacing w:after="0" w:line="119" w:lineRule="exact"/>
        <w:rPr>
          <w:sz w:val="20"/>
          <w:szCs w:val="20"/>
          <w:color w:val="auto"/>
        </w:rPr>
      </w:pPr>
    </w:p>
    <w:p>
      <w:pPr>
        <w:ind w:left="322" w:hanging="322"/>
        <w:spacing w:after="0"/>
        <w:tabs>
          <w:tab w:leader="none" w:pos="322"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Early Termination of Award; Termination of Employment</w:t>
      </w:r>
      <w:r>
        <w:rPr>
          <w:rFonts w:ascii="Arial" w:cs="Arial" w:eastAsia="Arial" w:hAnsi="Arial"/>
          <w:sz w:val="17"/>
          <w:szCs w:val="17"/>
          <w:color w:val="auto"/>
        </w:rPr>
        <w:t>.</w:t>
      </w:r>
    </w:p>
    <w:p>
      <w:pPr>
        <w:spacing w:after="0" w:line="169" w:lineRule="exact"/>
        <w:rPr>
          <w:sz w:val="20"/>
          <w:szCs w:val="20"/>
          <w:color w:val="auto"/>
        </w:rPr>
      </w:pPr>
    </w:p>
    <w:p>
      <w:pPr>
        <w:ind w:left="2" w:right="280" w:firstLine="324"/>
        <w:spacing w:after="0" w:line="250"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RPSRs (and related Dividend Equivalents)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award shall terminate and become null and void prior to the conclusion of the Performance Period if and when (a) the award terminates in connection with a Change in Control pursuant to</w:t>
      </w:r>
    </w:p>
    <w:p>
      <w:pPr>
        <w:spacing w:after="0" w:line="217" w:lineRule="exact"/>
        <w:rPr>
          <w:sz w:val="20"/>
          <w:szCs w:val="20"/>
          <w:color w:val="auto"/>
        </w:rPr>
      </w:pPr>
    </w:p>
    <w:p>
      <w:pPr>
        <w:sectPr>
          <w:pgSz w:w="11900" w:h="16838" w:orient="portrait"/>
          <w:cols w:equalWidth="0" w:num="2">
            <w:col w:w="5200" w:space="718"/>
            <w:col w:w="5322"/>
          </w:cols>
          <w:pgMar w:left="320" w:top="1126" w:right="33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color w:val="auto"/>
        </w:rPr>
        <w:t>ELT (2022 RPSR Agreement)</w:t>
      </w:r>
      <w:r>
        <w:rPr>
          <w:sz w:val="20"/>
          <w:szCs w:val="20"/>
          <w:color w:val="auto"/>
        </w:rPr>
        <w:tab/>
      </w:r>
      <w:r>
        <w:rPr>
          <w:rFonts w:ascii="Arial" w:cs="Arial" w:eastAsia="Arial" w:hAnsi="Arial"/>
          <w:sz w:val="13"/>
          <w:szCs w:val="13"/>
          <w:color w:val="auto"/>
        </w:rPr>
        <w:t>1</w:t>
      </w:r>
    </w:p>
    <w:p>
      <w:pPr>
        <w:sectPr>
          <w:pgSz w:w="11900" w:h="16838" w:orient="portrait"/>
          <w:cols w:equalWidth="0" w:num="1">
            <w:col w:w="11240"/>
          </w:cols>
          <w:pgMar w:left="320" w:top="1126" w:right="339" w:bottom="1440" w:gutter="0" w:footer="0" w:header="0"/>
          <w:type w:val="continuous"/>
        </w:sectPr>
      </w:pPr>
    </w:p>
    <w:bookmarkStart w:id="62" w:name="page63"/>
    <w:bookmarkEnd w:id="62"/>
    <w:p>
      <w:pPr>
        <w:ind w:right="20"/>
        <w:spacing w:after="0" w:line="224" w:lineRule="auto"/>
        <w:rPr>
          <w:sz w:val="20"/>
          <w:szCs w:val="20"/>
          <w:color w:val="auto"/>
        </w:rPr>
      </w:pPr>
      <w:r>
        <w:rPr>
          <w:rFonts w:ascii="Arial" w:cs="Arial" w:eastAsia="Arial" w:hAnsi="Arial"/>
          <w:sz w:val="18"/>
          <w:szCs w:val="18"/>
          <w:color w:val="auto"/>
        </w:rPr>
        <w:t>Section 6 below, or (b) except as provided below in this Section 2 and in Section 6, the Grantee ceases for any reason to be an employee of the Company or one of its subsidiaries.</w:t>
      </w:r>
    </w:p>
    <w:p>
      <w:pPr>
        <w:spacing w:after="0" w:line="118" w:lineRule="exact"/>
        <w:rPr>
          <w:sz w:val="20"/>
          <w:szCs w:val="20"/>
          <w:color w:val="auto"/>
        </w:rPr>
      </w:pPr>
    </w:p>
    <w:p>
      <w:pPr>
        <w:ind w:firstLine="324"/>
        <w:spacing w:after="0" w:line="232"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Termination of Employment Due to Retirement, Death or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The number of RPSRs (and related Dividend Equivalents)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the award shall vest on a prorated basis as provided herein if the Grantee’s employment by the Company and its subsidiaries terminates due to the Grantee’s Early Retirement, death, or Disability </w:t>
      </w:r>
      <w:r>
        <w:rPr>
          <w:rFonts w:ascii="Arial" w:cs="Arial" w:eastAsia="Arial" w:hAnsi="Arial"/>
          <w:sz w:val="16"/>
          <w:szCs w:val="16"/>
          <w:u w:val="single" w:color="auto"/>
          <w:color w:val="auto"/>
        </w:rPr>
        <w:t>and</w:t>
      </w:r>
      <w:r>
        <w:rPr>
          <w:rFonts w:ascii="Arial" w:cs="Arial" w:eastAsia="Arial" w:hAnsi="Arial"/>
          <w:sz w:val="16"/>
          <w:szCs w:val="16"/>
          <w:color w:val="auto"/>
        </w:rPr>
        <w:t>, in each case, only if the Grantee has completed at least six (6) consecutive calendar months of employment with the Company or a subsidiary during the three-year Performance Period. Such prorating of RPSRs (and related Dividend Equivalents) shall be based on the number of calendar days the Grantee was actually employed by the Company or one of its subsidiaries over the number of calendar days in the Performance Period (the number of prorated RPSRs, the “Prorated RPSRs”). If the Grantee ceases to be employed by the Company or one of its subsidiaries due to the Grantee’s Normal Retirement and such Normal Retirement occurs more than six (6) months after the Grant Date, the RPSRs will vest as if the employee had remained an employee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for the full Performance Period. Any RPSRs (and related Dividend</w:t>
      </w:r>
    </w:p>
    <w:p>
      <w:pPr>
        <w:ind w:right="40"/>
        <w:spacing w:after="0" w:line="212" w:lineRule="auto"/>
        <w:rPr>
          <w:sz w:val="20"/>
          <w:szCs w:val="20"/>
          <w:color w:val="auto"/>
        </w:rPr>
      </w:pPr>
      <w:r>
        <w:rPr>
          <w:rFonts w:ascii="Arial" w:cs="Arial" w:eastAsia="Arial" w:hAnsi="Arial"/>
          <w:sz w:val="18"/>
          <w:szCs w:val="18"/>
          <w:color w:val="auto"/>
        </w:rPr>
        <w:t>Equivalents) subject to the award that do not vest in accordance with this Section 2.2 upon a termination of the Grantee’s employment due to Early Retirement or Normal Retirement (collectively “Retirement”), death or Disability shall terminate immediately upon such termination of employment.</w:t>
      </w:r>
    </w:p>
    <w:p>
      <w:pPr>
        <w:spacing w:after="0" w:line="123" w:lineRule="exact"/>
        <w:rPr>
          <w:sz w:val="20"/>
          <w:szCs w:val="20"/>
          <w:color w:val="auto"/>
        </w:rPr>
      </w:pPr>
    </w:p>
    <w:p>
      <w:pPr>
        <w:ind w:right="60" w:firstLine="180"/>
        <w:spacing w:after="0" w:line="211"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case of death or Disability (a) the Earnout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Grantee’s Prorated RPSRs (and related Dividend Equivalents) will be deemed to be 100% (target), regardless of actual performance, and (b) payment of the Prorated RPSRs (and related Dividend Equivalents) that vest pursuant to this Section 2.2 will be made within 60 days of the Grantee’s death or Disability, but in no event later than March 15 of the year following the date of the death or Disability.</w:t>
      </w:r>
    </w:p>
    <w:p>
      <w:pPr>
        <w:spacing w:after="0" w:line="164" w:lineRule="exact"/>
        <w:rPr>
          <w:sz w:val="20"/>
          <w:szCs w:val="20"/>
          <w:color w:val="auto"/>
        </w:rPr>
      </w:pPr>
    </w:p>
    <w:p>
      <w:pPr>
        <w:ind w:right="200" w:firstLine="180"/>
        <w:spacing w:after="0" w:line="228" w:lineRule="auto"/>
        <w:rPr>
          <w:sz w:val="20"/>
          <w:szCs w:val="20"/>
          <w:color w:val="auto"/>
        </w:rPr>
      </w:pPr>
      <w:r>
        <w:rPr>
          <w:rFonts w:ascii="Arial" w:cs="Arial" w:eastAsia="Arial" w:hAnsi="Arial"/>
          <w:sz w:val="17"/>
          <w:szCs w:val="17"/>
          <w:i w:val="1"/>
          <w:iCs w:val="1"/>
          <w:color w:val="auto"/>
        </w:rPr>
        <w:t>Retirement in General</w:t>
      </w:r>
      <w:r>
        <w:rPr>
          <w:rFonts w:ascii="Arial" w:cs="Arial" w:eastAsia="Arial" w:hAnsi="Arial"/>
          <w:sz w:val="17"/>
          <w:szCs w:val="17"/>
          <w:color w:val="auto"/>
        </w:rPr>
        <w:t>. Subject to the following provisions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2.2, in the case of Retirement, the Earnout Percentage will be used to calculate the Grantee’s Vested RPSRs, and payment of the Vested RPSRs (and related Dividend Equivalents) will be made in accordance with Section 1.2 above.</w:t>
      </w:r>
    </w:p>
    <w:p>
      <w:pPr>
        <w:spacing w:after="0" w:line="165" w:lineRule="exact"/>
        <w:rPr>
          <w:sz w:val="20"/>
          <w:szCs w:val="20"/>
          <w:color w:val="auto"/>
        </w:rPr>
      </w:pPr>
    </w:p>
    <w:p>
      <w:pPr>
        <w:ind w:firstLine="180"/>
        <w:spacing w:after="0" w:line="235" w:lineRule="auto"/>
        <w:rPr>
          <w:sz w:val="20"/>
          <w:szCs w:val="20"/>
          <w:color w:val="auto"/>
        </w:rPr>
      </w:pPr>
      <w:r>
        <w:rPr>
          <w:rFonts w:ascii="Arial" w:cs="Arial" w:eastAsia="Arial" w:hAnsi="Arial"/>
          <w:sz w:val="16"/>
          <w:szCs w:val="16"/>
          <w:color w:val="auto"/>
        </w:rPr>
        <w:t>In determining the Grantee’s eligibility for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right="20"/>
        <w:spacing w:after="0" w:line="221" w:lineRule="auto"/>
        <w:rPr>
          <w:sz w:val="20"/>
          <w:szCs w:val="20"/>
          <w:color w:val="auto"/>
        </w:rPr>
      </w:pPr>
      <w:r>
        <w:rPr>
          <w:rFonts w:ascii="Arial" w:cs="Arial" w:eastAsia="Arial" w:hAnsi="Arial"/>
          <w:sz w:val="17"/>
          <w:szCs w:val="17"/>
          <w:color w:val="auto"/>
        </w:rPr>
        <w:t>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62" w:lineRule="exact"/>
        <w:rPr>
          <w:sz w:val="20"/>
          <w:szCs w:val="20"/>
          <w:color w:val="auto"/>
        </w:rPr>
      </w:pPr>
    </w:p>
    <w:p>
      <w:pPr>
        <w:ind w:firstLine="180"/>
        <w:spacing w:after="0" w:line="221" w:lineRule="auto"/>
        <w:rPr>
          <w:sz w:val="20"/>
          <w:szCs w:val="20"/>
          <w:color w:val="auto"/>
        </w:rPr>
      </w:pPr>
      <w:r>
        <w:rPr>
          <w:rFonts w:ascii="Arial" w:cs="Arial" w:eastAsia="Arial" w:hAnsi="Arial"/>
          <w:sz w:val="17"/>
          <w:szCs w:val="17"/>
          <w:i w:val="1"/>
          <w:iCs w:val="1"/>
          <w:color w:val="auto"/>
        </w:rPr>
        <w:t xml:space="preserve">Retirement Due to Government Service. </w:t>
      </w:r>
      <w:r>
        <w:rPr>
          <w:rFonts w:ascii="Arial" w:cs="Arial" w:eastAsia="Arial" w:hAnsi="Arial"/>
          <w:sz w:val="17"/>
          <w:szCs w:val="17"/>
          <w:color w:val="auto"/>
        </w:rPr>
        <w:t>In the case of a</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Service Retirement by the Grantee (a) the Performance Period used to calculate the Grantee’s Vested RPSRs will be deemed to have ended as of the most recent date that performance has been measured by the Company with respect to the RPSRs prior to the Grantee’s Retirement (but in no event shall such date be more than one year before the Grantee’s Retirement), (b) the Earnout Percentage of the Grantee’s Prorated RPSRs (and related Dividend Equivalents) will be determined based on actual performance for that short Performance Period, and (c) payment of the Prorated RPSRs that become Vested RPSRs (and Dividend Equivalents thereon) will be made within 20 days after Retirement.</w:t>
      </w:r>
    </w:p>
    <w:p>
      <w:pPr>
        <w:spacing w:after="0" w:line="158" w:lineRule="exact"/>
        <w:rPr>
          <w:sz w:val="20"/>
          <w:szCs w:val="20"/>
          <w:color w:val="auto"/>
        </w:rPr>
      </w:pPr>
    </w:p>
    <w:p>
      <w:pPr>
        <w:ind w:right="20" w:firstLine="405"/>
        <w:spacing w:after="0" w:line="225" w:lineRule="auto"/>
        <w:rPr>
          <w:sz w:val="20"/>
          <w:szCs w:val="20"/>
          <w:color w:val="auto"/>
        </w:rPr>
      </w:pPr>
      <w:r>
        <w:rPr>
          <w:rFonts w:ascii="Arial" w:cs="Arial" w:eastAsia="Arial" w:hAnsi="Arial"/>
          <w:sz w:val="17"/>
          <w:szCs w:val="17"/>
          <w:b w:val="1"/>
          <w:bCs w:val="1"/>
          <w:color w:val="auto"/>
        </w:rPr>
        <w:t>2.3</w:t>
      </w:r>
      <w:r>
        <w:rPr>
          <w:rFonts w:ascii="Arial" w:cs="Arial" w:eastAsia="Arial" w:hAnsi="Arial"/>
          <w:sz w:val="17"/>
          <w:szCs w:val="17"/>
          <w:b w:val="1"/>
          <w:bCs w:val="1"/>
          <w:i w:val="1"/>
          <w:iCs w:val="1"/>
          <w:color w:val="auto"/>
        </w:rPr>
        <w:t>Other Terminations of Employment</w:t>
      </w:r>
      <w:r>
        <w:rPr>
          <w:rFonts w:ascii="Arial" w:cs="Arial" w:eastAsia="Arial" w:hAnsi="Arial"/>
          <w:sz w:val="17"/>
          <w:szCs w:val="17"/>
          <w:color w:val="auto"/>
        </w:rPr>
        <w:t>. Subject to Section 6.2,</w:t>
      </w:r>
      <w:r>
        <w:rPr>
          <w:rFonts w:ascii="Arial" w:cs="Arial" w:eastAsia="Arial" w:hAnsi="Arial"/>
          <w:sz w:val="17"/>
          <w:szCs w:val="17"/>
          <w:b w:val="1"/>
          <w:bCs w:val="1"/>
          <w:color w:val="auto"/>
        </w:rPr>
        <w:t xml:space="preserve"> </w:t>
      </w:r>
      <w:r>
        <w:rPr>
          <w:rFonts w:ascii="Arial" w:cs="Arial" w:eastAsia="Arial" w:hAnsi="Arial"/>
          <w:sz w:val="17"/>
          <w:szCs w:val="17"/>
          <w:color w:val="auto"/>
        </w:rPr>
        <w:t>all RPSRs (and related Dividend Equivalents) subject to the award shall terminate immediately upon a termination of the Grantee’s employment: (a) for any reason other than due to the Grantee’s Retirement, death or Disability; or (b) for Retirement, death or Disability, if the six-month employment requirement under Section 2.2 above is not satisfied.</w:t>
      </w:r>
    </w:p>
    <w:p>
      <w:pPr>
        <w:spacing w:after="0" w:line="121" w:lineRule="exact"/>
        <w:rPr>
          <w:sz w:val="20"/>
          <w:szCs w:val="20"/>
          <w:color w:val="auto"/>
        </w:rPr>
      </w:pPr>
    </w:p>
    <w:p>
      <w:pPr>
        <w:ind w:firstLine="405"/>
        <w:spacing w:after="0" w:line="236" w:lineRule="auto"/>
        <w:rPr>
          <w:sz w:val="20"/>
          <w:szCs w:val="20"/>
          <w:color w:val="auto"/>
        </w:rPr>
      </w:pPr>
      <w:r>
        <w:rPr>
          <w:rFonts w:ascii="Arial" w:cs="Arial" w:eastAsia="Arial" w:hAnsi="Arial"/>
          <w:sz w:val="16"/>
          <w:szCs w:val="16"/>
          <w:b w:val="1"/>
          <w:bCs w:val="1"/>
          <w:color w:val="auto"/>
        </w:rPr>
        <w:t>2.4</w:t>
      </w:r>
      <w:r>
        <w:rPr>
          <w:rFonts w:ascii="Arial" w:cs="Arial" w:eastAsia="Arial" w:hAnsi="Arial"/>
          <w:sz w:val="16"/>
          <w:szCs w:val="16"/>
          <w:b w:val="1"/>
          <w:bCs w:val="1"/>
          <w:i w:val="1"/>
          <w:iCs w:val="1"/>
          <w:color w:val="auto"/>
        </w:rPr>
        <w:t>Leave of Absence</w:t>
      </w:r>
      <w:r>
        <w:rPr>
          <w:rFonts w:ascii="Arial" w:cs="Arial" w:eastAsia="Arial" w:hAnsi="Arial"/>
          <w:sz w:val="16"/>
          <w:szCs w:val="16"/>
          <w:color w:val="auto"/>
        </w:rPr>
        <w:t>. Unless the Committee otherwise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21" w:lineRule="exact"/>
        <w:rPr>
          <w:sz w:val="20"/>
          <w:szCs w:val="20"/>
          <w:color w:val="auto"/>
        </w:rPr>
      </w:pPr>
    </w:p>
    <w:p>
      <w:pPr>
        <w:ind w:right="100" w:firstLine="405"/>
        <w:spacing w:after="0" w:line="237" w:lineRule="auto"/>
        <w:rPr>
          <w:sz w:val="20"/>
          <w:szCs w:val="20"/>
          <w:color w:val="auto"/>
        </w:rPr>
      </w:pPr>
      <w:r>
        <w:rPr>
          <w:rFonts w:ascii="Arial" w:cs="Arial" w:eastAsia="Arial" w:hAnsi="Arial"/>
          <w:sz w:val="16"/>
          <w:szCs w:val="16"/>
          <w:b w:val="1"/>
          <w:bCs w:val="1"/>
          <w:color w:val="auto"/>
        </w:rPr>
        <w:t>2.5</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2.4 above,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as used herein means active employment by the Company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w:t>
      </w:r>
    </w:p>
    <w:p>
      <w:pPr>
        <w:sectPr>
          <w:pgSz w:w="11900" w:h="16838" w:orient="portrait"/>
          <w:cols w:equalWidth="0" w:num="2">
            <w:col w:w="5200" w:space="720"/>
            <w:col w:w="5200"/>
          </w:cols>
          <w:pgMar w:left="320" w:top="1151" w:right="459" w:bottom="1440" w:gutter="0" w:footer="0" w:header="0"/>
        </w:sectPr>
      </w:pPr>
    </w:p>
    <w:bookmarkStart w:id="63" w:name="page64"/>
    <w:bookmarkEnd w:id="63"/>
    <w:p>
      <w:pPr>
        <w:ind w:right="420"/>
        <w:spacing w:after="0" w:line="258" w:lineRule="auto"/>
        <w:rPr>
          <w:sz w:val="20"/>
          <w:szCs w:val="20"/>
          <w:color w:val="auto"/>
        </w:rPr>
      </w:pPr>
      <w:r>
        <w:rPr>
          <w:rFonts w:ascii="Arial" w:cs="Arial" w:eastAsia="Arial" w:hAnsi="Arial"/>
          <w:sz w:val="17"/>
          <w:szCs w:val="17"/>
          <w:color w:val="auto"/>
        </w:rPr>
        <w:t>continuation will not, in and of itself, constitute a leave of absence approved by the Company for purposes of the award.</w:t>
      </w:r>
    </w:p>
    <w:p>
      <w:pPr>
        <w:spacing w:after="0" w:line="102" w:lineRule="exact"/>
        <w:rPr>
          <w:sz w:val="20"/>
          <w:szCs w:val="20"/>
          <w:color w:val="auto"/>
        </w:rPr>
      </w:pPr>
    </w:p>
    <w:p>
      <w:pPr>
        <w:ind w:firstLine="405"/>
        <w:spacing w:after="0" w:line="221" w:lineRule="auto"/>
        <w:rPr>
          <w:sz w:val="20"/>
          <w:szCs w:val="20"/>
          <w:color w:val="auto"/>
        </w:rPr>
      </w:pPr>
      <w:r>
        <w:rPr>
          <w:rFonts w:ascii="Arial" w:cs="Arial" w:eastAsia="Arial" w:hAnsi="Arial"/>
          <w:sz w:val="17"/>
          <w:szCs w:val="17"/>
          <w:b w:val="1"/>
          <w:bCs w:val="1"/>
          <w:color w:val="auto"/>
        </w:rPr>
        <w:t>2.6</w:t>
      </w:r>
      <w:r>
        <w:rPr>
          <w:rFonts w:ascii="Arial" w:cs="Arial" w:eastAsia="Arial" w:hAnsi="Arial"/>
          <w:sz w:val="17"/>
          <w:szCs w:val="17"/>
          <w:b w:val="1"/>
          <w:bCs w:val="1"/>
          <w:i w:val="1"/>
          <w:iCs w:val="1"/>
          <w:color w:val="auto"/>
        </w:rPr>
        <w:t>Sale or Spinoff of Subsidiary or Business Unit</w:t>
      </w:r>
      <w:r>
        <w:rPr>
          <w:rFonts w:ascii="Arial" w:cs="Arial" w:eastAsia="Arial" w:hAnsi="Arial"/>
          <w:sz w:val="17"/>
          <w:szCs w:val="17"/>
          <w:color w:val="auto"/>
        </w:rPr>
        <w:t>. For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RPSRs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 Retirement treated as provided for in Section 2.2 (subject to Section 6).</w:t>
      </w:r>
    </w:p>
    <w:p>
      <w:pPr>
        <w:spacing w:after="0" w:line="122" w:lineRule="exact"/>
        <w:rPr>
          <w:sz w:val="20"/>
          <w:szCs w:val="20"/>
          <w:color w:val="auto"/>
        </w:rPr>
      </w:pPr>
    </w:p>
    <w:p>
      <w:pPr>
        <w:ind w:firstLine="405"/>
        <w:spacing w:after="0" w:line="234"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2.2, Section 2.4 and in Section 6, the vesting of the RPSRs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this Agreement, the Grant Letter, the Stock Plan System, or the Plan constitutes an employment commitment by the Company or any subsidiary, affects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Grantee’s status (if the Grantee is otherwise an at-will employee) as an</w:t>
      </w:r>
    </w:p>
    <w:p>
      <w:pPr>
        <w:spacing w:after="0" w:line="5" w:lineRule="exact"/>
        <w:rPr>
          <w:sz w:val="20"/>
          <w:szCs w:val="20"/>
          <w:color w:val="auto"/>
        </w:rPr>
      </w:pPr>
    </w:p>
    <w:p>
      <w:pPr>
        <w:ind w:right="180"/>
        <w:spacing w:after="0" w:line="212" w:lineRule="auto"/>
        <w:rPr>
          <w:sz w:val="20"/>
          <w:szCs w:val="20"/>
          <w:color w:val="auto"/>
        </w:rPr>
      </w:pPr>
      <w:r>
        <w:rPr>
          <w:rFonts w:ascii="Arial" w:cs="Arial" w:eastAsia="Arial" w:hAnsi="Arial"/>
          <w:sz w:val="18"/>
          <w:szCs w:val="18"/>
          <w:color w:val="auto"/>
        </w:rPr>
        <w:t>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32" w:lineRule="exact"/>
        <w:rPr>
          <w:sz w:val="20"/>
          <w:szCs w:val="20"/>
          <w:color w:val="auto"/>
        </w:rPr>
      </w:pPr>
    </w:p>
    <w:p>
      <w:pPr>
        <w:ind w:right="60" w:firstLine="405"/>
        <w:spacing w:after="0" w:line="214" w:lineRule="auto"/>
        <w:rPr>
          <w:sz w:val="20"/>
          <w:szCs w:val="20"/>
          <w:color w:val="auto"/>
        </w:rPr>
      </w:pPr>
      <w:r>
        <w:rPr>
          <w:rFonts w:ascii="Arial" w:cs="Arial" w:eastAsia="Arial" w:hAnsi="Arial"/>
          <w:sz w:val="18"/>
          <w:szCs w:val="18"/>
          <w:b w:val="1"/>
          <w:bCs w:val="1"/>
          <w:color w:val="auto"/>
        </w:rPr>
        <w:t>2.8</w:t>
      </w:r>
      <w:r>
        <w:rPr>
          <w:rFonts w:ascii="Arial" w:cs="Arial" w:eastAsia="Arial" w:hAnsi="Arial"/>
          <w:sz w:val="18"/>
          <w:szCs w:val="18"/>
          <w:b w:val="1"/>
          <w:bCs w:val="1"/>
          <w:i w:val="1"/>
          <w:iCs w:val="1"/>
          <w:color w:val="auto"/>
        </w:rPr>
        <w:t>Death</w:t>
      </w:r>
      <w:r>
        <w:rPr>
          <w:rFonts w:ascii="Arial" w:cs="Arial" w:eastAsia="Arial" w:hAnsi="Arial"/>
          <w:sz w:val="18"/>
          <w:szCs w:val="18"/>
          <w:color w:val="auto"/>
        </w:rPr>
        <w:t>. In the event of the Grantee’s death subsequent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RPSRs but prior to the delivery of shares or other payment with respect to such RPSRs (and related Dividend Equivalents), the Grantee’s Successor shall be entitled to any payments to which the Grantee would have been entitled under this Agreement with respect to such RPSRs.</w:t>
      </w:r>
    </w:p>
    <w:p>
      <w:pPr>
        <w:spacing w:after="0" w:line="121"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44" w:lineRule="exact"/>
        <w:rPr>
          <w:sz w:val="20"/>
          <w:szCs w:val="20"/>
          <w:color w:val="auto"/>
        </w:rPr>
      </w:pPr>
    </w:p>
    <w:p>
      <w:pPr>
        <w:ind w:right="20" w:firstLine="405"/>
        <w:spacing w:after="0" w:line="222" w:lineRule="auto"/>
        <w:rPr>
          <w:sz w:val="20"/>
          <w:szCs w:val="20"/>
          <w:color w:val="auto"/>
        </w:rPr>
      </w:pPr>
      <w:r>
        <w:rPr>
          <w:rFonts w:ascii="Arial" w:cs="Arial" w:eastAsia="Arial" w:hAnsi="Arial"/>
          <w:sz w:val="17"/>
          <w:szCs w:val="17"/>
          <w:b w:val="1"/>
          <w:bCs w:val="1"/>
          <w:color w:val="auto"/>
        </w:rPr>
        <w:t>3.1</w:t>
      </w:r>
      <w:r>
        <w:rPr>
          <w:rFonts w:ascii="Arial" w:cs="Arial" w:eastAsia="Arial" w:hAnsi="Arial"/>
          <w:sz w:val="17"/>
          <w:szCs w:val="17"/>
          <w:b w:val="1"/>
          <w:bCs w:val="1"/>
          <w:i w:val="1"/>
          <w:iCs w:val="1"/>
          <w:color w:val="auto"/>
        </w:rPr>
        <w:t>Non-Transferability</w:t>
      </w:r>
      <w:r>
        <w:rPr>
          <w:rFonts w:ascii="Arial" w:cs="Arial" w:eastAsia="Arial" w:hAnsi="Arial"/>
          <w:sz w:val="17"/>
          <w:szCs w:val="17"/>
          <w:color w:val="auto"/>
        </w:rPr>
        <w:t>. The award, as well as the RPSRs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left="2" w:right="40"/>
        <w:spacing w:after="0" w:line="235" w:lineRule="auto"/>
        <w:rPr>
          <w:sz w:val="20"/>
          <w:szCs w:val="20"/>
          <w:color w:val="auto"/>
        </w:rPr>
      </w:pPr>
      <w:r>
        <w:rPr>
          <w:rFonts w:ascii="Arial" w:cs="Arial" w:eastAsia="Arial" w:hAnsi="Arial"/>
          <w:sz w:val="18"/>
          <w:szCs w:val="18"/>
          <w:color w:val="auto"/>
        </w:rPr>
        <w:t>otherwise in compliance with all applicable legal, regulatory and listing requirements.</w:t>
      </w:r>
    </w:p>
    <w:p>
      <w:pPr>
        <w:spacing w:after="0" w:line="158" w:lineRule="exact"/>
        <w:rPr>
          <w:sz w:val="20"/>
          <w:szCs w:val="20"/>
          <w:color w:val="auto"/>
        </w:rPr>
      </w:pPr>
    </w:p>
    <w:p>
      <w:pPr>
        <w:ind w:left="2" w:right="20" w:firstLine="405"/>
        <w:spacing w:after="0" w:line="233"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i w:val="1"/>
          <w:iCs w:val="1"/>
          <w:color w:val="auto"/>
        </w:rPr>
        <w:t>Forfeiture or Recoupment of Awards</w:t>
      </w:r>
      <w:r>
        <w:rPr>
          <w:rFonts w:ascii="Arial" w:cs="Arial" w:eastAsia="Arial" w:hAnsi="Arial"/>
          <w:sz w:val="16"/>
          <w:szCs w:val="16"/>
          <w:color w:val="auto"/>
        </w:rPr>
        <w:t>. If, prior to payment or</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60" w:lineRule="exact"/>
        <w:rPr>
          <w:sz w:val="20"/>
          <w:szCs w:val="20"/>
          <w:color w:val="auto"/>
        </w:rPr>
      </w:pPr>
    </w:p>
    <w:p>
      <w:pPr>
        <w:ind w:left="642" w:hanging="642"/>
        <w:spacing w:after="0"/>
        <w:tabs>
          <w:tab w:leader="none" w:pos="64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144" w:lineRule="exact"/>
        <w:rPr>
          <w:sz w:val="20"/>
          <w:szCs w:val="20"/>
          <w:color w:val="auto"/>
        </w:rPr>
      </w:pPr>
    </w:p>
    <w:p>
      <w:pPr>
        <w:ind w:left="2" w:right="20" w:firstLine="405"/>
        <w:spacing w:after="0" w:line="232" w:lineRule="auto"/>
        <w:rPr>
          <w:sz w:val="20"/>
          <w:szCs w:val="20"/>
          <w:color w:val="auto"/>
        </w:rPr>
      </w:pPr>
      <w:r>
        <w:rPr>
          <w:rFonts w:ascii="Arial" w:cs="Arial" w:eastAsia="Arial" w:hAnsi="Arial"/>
          <w:sz w:val="16"/>
          <w:szCs w:val="16"/>
          <w:b w:val="1"/>
          <w:bCs w:val="1"/>
          <w:color w:val="auto"/>
        </w:rPr>
        <w:t>4.1</w:t>
      </w:r>
      <w:r>
        <w:rPr>
          <w:rFonts w:ascii="Arial" w:cs="Arial" w:eastAsia="Arial" w:hAnsi="Arial"/>
          <w:sz w:val="16"/>
          <w:szCs w:val="16"/>
          <w:b w:val="1"/>
          <w:bCs w:val="1"/>
          <w:i w:val="1"/>
          <w:iCs w:val="1"/>
          <w:color w:val="auto"/>
        </w:rPr>
        <w:t>Executive Leadership Team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w:t>
      </w:r>
    </w:p>
    <w:p>
      <w:pPr>
        <w:spacing w:after="0" w:line="187" w:lineRule="exact"/>
        <w:rPr>
          <w:sz w:val="20"/>
          <w:szCs w:val="20"/>
          <w:color w:val="auto"/>
        </w:rPr>
      </w:pPr>
    </w:p>
    <w:p>
      <w:pPr>
        <w:ind w:left="2" w:firstLine="324"/>
        <w:spacing w:after="0" w:line="233"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i w:val="1"/>
          <w:iCs w:val="1"/>
          <w:color w:val="auto"/>
        </w:rPr>
        <w:t>Non-Competition</w:t>
      </w:r>
      <w:r>
        <w:rPr>
          <w:rFonts w:ascii="Arial" w:cs="Arial" w:eastAsia="Arial" w:hAnsi="Arial"/>
          <w:sz w:val="17"/>
          <w:szCs w:val="17"/>
          <w:color w:val="auto"/>
        </w:rPr>
        <w:t>. For a period of twelve (12) months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the termination of Grantee’s employment for any reason (other than a Reduction-in-Force as determined at the Company’s sole discretion) (“Termination”), you will not, directly or indirectly,</w:t>
      </w:r>
    </w:p>
    <w:p>
      <w:pPr>
        <w:sectPr>
          <w:pgSz w:w="11900" w:h="16838" w:orient="portrait"/>
          <w:cols w:equalWidth="0" w:num="2">
            <w:col w:w="5200" w:space="718"/>
            <w:col w:w="5202"/>
          </w:cols>
          <w:pgMar w:left="320" w:top="1151" w:right="459" w:bottom="1440" w:gutter="0" w:footer="0" w:header="0"/>
        </w:sectPr>
      </w:pPr>
    </w:p>
    <w:bookmarkStart w:id="64" w:name="page65"/>
    <w:bookmarkEnd w:id="64"/>
    <w:p>
      <w:pPr>
        <w:ind w:right="20"/>
        <w:spacing w:after="0" w:line="222" w:lineRule="auto"/>
        <w:rPr>
          <w:sz w:val="20"/>
          <w:szCs w:val="20"/>
          <w:color w:val="auto"/>
        </w:rPr>
      </w:pPr>
      <w:r>
        <w:rPr>
          <w:rFonts w:ascii="Arial" w:cs="Arial" w:eastAsia="Arial" w:hAnsi="Arial"/>
          <w:sz w:val="17"/>
          <w:szCs w:val="17"/>
          <w:color w:val="auto"/>
        </w:rPr>
        <w:t>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spacing w:after="0" w:line="191" w:lineRule="exact"/>
        <w:rPr>
          <w:sz w:val="20"/>
          <w:szCs w:val="20"/>
          <w:color w:val="auto"/>
        </w:rPr>
      </w:pPr>
    </w:p>
    <w:p>
      <w:pPr>
        <w:ind w:right="80" w:firstLine="405"/>
        <w:spacing w:after="0" w:line="235" w:lineRule="auto"/>
        <w:rPr>
          <w:sz w:val="20"/>
          <w:szCs w:val="20"/>
          <w:color w:val="auto"/>
        </w:rPr>
      </w:pPr>
      <w:r>
        <w:rPr>
          <w:rFonts w:ascii="Arial" w:cs="Arial" w:eastAsia="Arial" w:hAnsi="Arial"/>
          <w:sz w:val="16"/>
          <w:szCs w:val="16"/>
          <w:b w:val="1"/>
          <w:bCs w:val="1"/>
          <w:color w:val="auto"/>
        </w:rPr>
        <w:t>4.3</w:t>
      </w:r>
      <w:r>
        <w:rPr>
          <w:rFonts w:ascii="Arial" w:cs="Arial" w:eastAsia="Arial" w:hAnsi="Arial"/>
          <w:sz w:val="16"/>
          <w:szCs w:val="16"/>
          <w:b w:val="1"/>
          <w:bCs w:val="1"/>
          <w:i w:val="1"/>
          <w:iCs w:val="1"/>
          <w:color w:val="auto"/>
        </w:rPr>
        <w:t>Non-Solicitation of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For a period of eighteen (18)</w:t>
      </w:r>
      <w:r>
        <w:rPr>
          <w:rFonts w:ascii="Arial" w:cs="Arial" w:eastAsia="Arial" w:hAnsi="Arial"/>
          <w:sz w:val="16"/>
          <w:szCs w:val="16"/>
          <w:b w:val="1"/>
          <w:bCs w:val="1"/>
          <w:color w:val="auto"/>
        </w:rPr>
        <w:t xml:space="preserve"> </w:t>
      </w:r>
      <w:r>
        <w:rPr>
          <w:rFonts w:ascii="Arial" w:cs="Arial" w:eastAsia="Arial" w:hAnsi="Arial"/>
          <w:sz w:val="16"/>
          <w:szCs w:val="16"/>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4.4</w:t>
      </w:r>
      <w:r>
        <w:rPr>
          <w:rFonts w:ascii="Arial" w:cs="Arial" w:eastAsia="Arial" w:hAnsi="Arial"/>
          <w:sz w:val="17"/>
          <w:szCs w:val="17"/>
          <w:b w:val="1"/>
          <w:bCs w:val="1"/>
          <w:i w:val="1"/>
          <w:iCs w:val="1"/>
          <w:color w:val="auto"/>
        </w:rPr>
        <w:t>Non-Solicitation of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twenty-four</w:t>
      </w:r>
    </w:p>
    <w:p>
      <w:pPr>
        <w:ind w:right="20" w:firstLine="8"/>
        <w:spacing w:after="0" w:line="239" w:lineRule="auto"/>
        <w:tabs>
          <w:tab w:leader="none" w:pos="345" w:val="left"/>
        </w:tabs>
        <w:numPr>
          <w:ilvl w:val="0"/>
          <w:numId w:val="82"/>
        </w:numPr>
        <w:rPr>
          <w:rFonts w:ascii="Arial" w:cs="Arial" w:eastAsia="Arial" w:hAnsi="Arial"/>
          <w:sz w:val="16"/>
          <w:szCs w:val="16"/>
          <w:color w:val="auto"/>
        </w:rPr>
      </w:pPr>
      <w:r>
        <w:rPr>
          <w:rFonts w:ascii="Arial" w:cs="Arial" w:eastAsia="Arial" w:hAnsi="Arial"/>
          <w:sz w:val="16"/>
          <w:szCs w:val="16"/>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84" w:lineRule="exact"/>
        <w:rPr>
          <w:sz w:val="20"/>
          <w:szCs w:val="20"/>
          <w:color w:val="auto"/>
        </w:rPr>
      </w:pPr>
    </w:p>
    <w:p>
      <w:pPr>
        <w:ind w:firstLine="405"/>
        <w:spacing w:after="0" w:line="213" w:lineRule="auto"/>
        <w:rPr>
          <w:sz w:val="20"/>
          <w:szCs w:val="20"/>
          <w:color w:val="auto"/>
        </w:rPr>
      </w:pPr>
      <w:r>
        <w:rPr>
          <w:rFonts w:ascii="Arial" w:cs="Arial" w:eastAsia="Arial" w:hAnsi="Arial"/>
          <w:sz w:val="18"/>
          <w:szCs w:val="18"/>
          <w:b w:val="1"/>
          <w:bCs w:val="1"/>
          <w:color w:val="auto"/>
        </w:rPr>
        <w:t>4.5</w:t>
      </w:r>
      <w:r>
        <w:rPr>
          <w:rFonts w:ascii="Arial" w:cs="Arial" w:eastAsia="Arial" w:hAnsi="Arial"/>
          <w:sz w:val="18"/>
          <w:szCs w:val="18"/>
          <w:b w:val="1"/>
          <w:bCs w:val="1"/>
          <w:i w:val="1"/>
          <w:iCs w:val="1"/>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issue or communicate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w:t>
      </w:r>
    </w:p>
    <w:p>
      <w:pPr>
        <w:spacing w:after="0" w:line="186" w:lineRule="exact"/>
        <w:rPr>
          <w:sz w:val="20"/>
          <w:szCs w:val="20"/>
          <w:color w:val="auto"/>
        </w:rPr>
      </w:pPr>
    </w:p>
    <w:p>
      <w:pPr>
        <w:ind w:right="40" w:firstLine="405"/>
        <w:spacing w:after="0" w:line="217"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i w:val="1"/>
          <w:iCs w:val="1"/>
          <w:color w:val="auto"/>
        </w:rPr>
        <w:t>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request an exception to the covenants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4.2, 4.3, or 4.4 by making a written request to the Company’s Chief Human Resources Officer, with such exceptions being considered at the sole discretion of the Company and communicated in writing to you.</w:t>
      </w:r>
    </w:p>
    <w:p>
      <w:pPr>
        <w:spacing w:after="0" w:line="185" w:lineRule="exact"/>
        <w:rPr>
          <w:sz w:val="20"/>
          <w:szCs w:val="20"/>
          <w:color w:val="auto"/>
        </w:rPr>
      </w:pPr>
    </w:p>
    <w:p>
      <w:pPr>
        <w:ind w:right="100" w:firstLine="405"/>
        <w:spacing w:after="0" w:line="233"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i w:val="1"/>
          <w:iCs w:val="1"/>
          <w:color w:val="auto"/>
        </w:rPr>
        <w:t>Reasonableness.</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that the restrictions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w:t>
      </w:r>
    </w:p>
    <w:p>
      <w:pPr>
        <w:spacing w:after="0" w:line="1" w:lineRule="exact"/>
        <w:rPr>
          <w:sz w:val="20"/>
          <w:szCs w:val="20"/>
          <w:color w:val="auto"/>
        </w:rPr>
      </w:pPr>
    </w:p>
    <w:p>
      <w:pPr>
        <w:ind w:right="440" w:firstLine="8"/>
        <w:spacing w:after="0" w:line="227" w:lineRule="auto"/>
        <w:tabs>
          <w:tab w:leader="none" w:pos="31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ind w:left="2" w:right="40"/>
        <w:spacing w:after="0" w:line="216" w:lineRule="auto"/>
        <w:rPr>
          <w:sz w:val="20"/>
          <w:szCs w:val="20"/>
          <w:color w:val="auto"/>
        </w:rPr>
      </w:pPr>
      <w:r>
        <w:rPr>
          <w:rFonts w:ascii="Arial" w:cs="Arial" w:eastAsia="Arial" w:hAnsi="Arial"/>
          <w:sz w:val="18"/>
          <w:szCs w:val="18"/>
          <w:color w:val="auto"/>
        </w:rPr>
        <w:t>portion of Section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185" w:lineRule="exact"/>
        <w:rPr>
          <w:sz w:val="20"/>
          <w:szCs w:val="20"/>
          <w:color w:val="auto"/>
        </w:rPr>
      </w:pPr>
    </w:p>
    <w:p>
      <w:pPr>
        <w:ind w:left="2" w:right="40" w:firstLine="405"/>
        <w:spacing w:after="0" w:line="220" w:lineRule="auto"/>
        <w:rPr>
          <w:sz w:val="20"/>
          <w:szCs w:val="20"/>
          <w:color w:val="auto"/>
        </w:rPr>
      </w:pPr>
      <w:r>
        <w:rPr>
          <w:rFonts w:ascii="Arial" w:cs="Arial" w:eastAsia="Arial" w:hAnsi="Arial"/>
          <w:sz w:val="17"/>
          <w:szCs w:val="17"/>
          <w:b w:val="1"/>
          <w:bCs w:val="1"/>
          <w:color w:val="auto"/>
        </w:rPr>
        <w:t>4.8</w:t>
      </w:r>
      <w:r>
        <w:rPr>
          <w:rFonts w:ascii="Arial" w:cs="Arial" w:eastAsia="Arial" w:hAnsi="Arial"/>
          <w:sz w:val="17"/>
          <w:szCs w:val="17"/>
          <w:b w:val="1"/>
          <w:bCs w:val="1"/>
          <w:i w:val="1"/>
          <w:iCs w:val="1"/>
          <w:color w:val="auto"/>
        </w:rPr>
        <w:t>Remedies</w:t>
      </w:r>
      <w:r>
        <w:rPr>
          <w:rFonts w:ascii="Arial" w:cs="Arial" w:eastAsia="Arial" w:hAnsi="Arial"/>
          <w:sz w:val="17"/>
          <w:szCs w:val="17"/>
          <w:color w:val="auto"/>
        </w:rPr>
        <w:t>. If you violate any provision in Section 4.2, 4.3, 4.4,</w:t>
      </w:r>
      <w:r>
        <w:rPr>
          <w:rFonts w:ascii="Arial" w:cs="Arial" w:eastAsia="Arial" w:hAnsi="Arial"/>
          <w:sz w:val="17"/>
          <w:szCs w:val="17"/>
          <w:b w:val="1"/>
          <w:bCs w:val="1"/>
          <w:color w:val="auto"/>
        </w:rPr>
        <w:t xml:space="preserve"> </w:t>
      </w:r>
      <w:r>
        <w:rPr>
          <w:rFonts w:ascii="Arial" w:cs="Arial" w:eastAsia="Arial" w:hAnsi="Arial"/>
          <w:sz w:val="17"/>
          <w:szCs w:val="17"/>
          <w:color w:val="auto"/>
        </w:rPr>
        <w:t>and/or 4.5 of this section, the Company shall have the right to terminate without payment to you any unvested and/or unpaid RPSRs (and associated Dividend Equivalents) and require that you immediately deliver to the Company an amount in cash equal to the aggregate Fair Market Value, determined as of the vesting and/or payment date of all RPSRs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91" w:lineRule="exact"/>
        <w:rPr>
          <w:sz w:val="20"/>
          <w:szCs w:val="20"/>
          <w:color w:val="auto"/>
        </w:rPr>
      </w:pPr>
    </w:p>
    <w:p>
      <w:pPr>
        <w:ind w:left="322" w:right="620" w:hanging="322"/>
        <w:spacing w:after="0" w:line="237" w:lineRule="auto"/>
        <w:tabs>
          <w:tab w:leader="none" w:pos="32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color w:val="auto"/>
        </w:rPr>
        <w:t>.</w:t>
      </w:r>
    </w:p>
    <w:p>
      <w:pPr>
        <w:spacing w:after="0" w:line="122" w:lineRule="exact"/>
        <w:rPr>
          <w:sz w:val="20"/>
          <w:szCs w:val="20"/>
          <w:color w:val="auto"/>
        </w:rPr>
      </w:pPr>
    </w:p>
    <w:p>
      <w:pPr>
        <w:ind w:left="2" w:firstLine="405"/>
        <w:spacing w:after="0" w:line="234" w:lineRule="auto"/>
        <w:rPr>
          <w:sz w:val="20"/>
          <w:szCs w:val="20"/>
          <w:color w:val="auto"/>
        </w:rPr>
      </w:pPr>
      <w:r>
        <w:rPr>
          <w:rFonts w:ascii="Arial" w:cs="Arial" w:eastAsia="Arial" w:hAnsi="Arial"/>
          <w:sz w:val="16"/>
          <w:szCs w:val="16"/>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RPSRs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61" w:lineRule="exact"/>
        <w:rPr>
          <w:sz w:val="20"/>
          <w:szCs w:val="20"/>
          <w:color w:val="auto"/>
        </w:rPr>
      </w:pPr>
    </w:p>
    <w:p>
      <w:pPr>
        <w:ind w:left="642" w:hanging="642"/>
        <w:spacing w:after="0"/>
        <w:tabs>
          <w:tab w:leader="none" w:pos="64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44" w:lineRule="exact"/>
        <w:rPr>
          <w:sz w:val="20"/>
          <w:szCs w:val="20"/>
          <w:color w:val="auto"/>
        </w:rPr>
      </w:pPr>
    </w:p>
    <w:p>
      <w:pPr>
        <w:ind w:left="2" w:right="20" w:firstLine="405"/>
        <w:spacing w:after="0" w:line="223" w:lineRule="auto"/>
        <w:rPr>
          <w:sz w:val="20"/>
          <w:szCs w:val="20"/>
          <w:color w:val="auto"/>
        </w:rPr>
      </w:pPr>
      <w:r>
        <w:rPr>
          <w:rFonts w:ascii="Arial" w:cs="Arial" w:eastAsia="Arial" w:hAnsi="Arial"/>
          <w:sz w:val="17"/>
          <w:szCs w:val="17"/>
          <w:b w:val="1"/>
          <w:bCs w:val="1"/>
          <w:color w:val="auto"/>
        </w:rPr>
        <w:t>6.1</w:t>
      </w: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RPSRs and the shares subject to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are subject to adjustment upon the occurrence of events such as stock splits, stock dividends and other changes in capitalization in accordance with Section 6(a) of the Plan. In addition, for RPSRs that do not use a relative total shareholder return metric as the applicable performance criterion, the applicable performance criteria and goals are subject to adjustment pursuant to Section 8 of the Plan. Any such adjustment or determination not to make any adjustment shall be conclusive and binding.</w:t>
      </w:r>
    </w:p>
    <w:p>
      <w:pPr>
        <w:spacing w:after="0" w:line="134" w:lineRule="exact"/>
        <w:rPr>
          <w:sz w:val="20"/>
          <w:szCs w:val="20"/>
          <w:color w:val="auto"/>
        </w:rPr>
      </w:pPr>
    </w:p>
    <w:p>
      <w:pPr>
        <w:ind w:left="2" w:firstLine="405"/>
        <w:spacing w:after="0" w:line="229" w:lineRule="auto"/>
        <w:rPr>
          <w:sz w:val="20"/>
          <w:szCs w:val="20"/>
          <w:color w:val="auto"/>
        </w:rPr>
      </w:pPr>
      <w:r>
        <w:rPr>
          <w:rFonts w:ascii="Arial" w:cs="Arial" w:eastAsia="Arial" w:hAnsi="Arial"/>
          <w:sz w:val="17"/>
          <w:szCs w:val="17"/>
          <w:b w:val="1"/>
          <w:bCs w:val="1"/>
          <w:color w:val="auto"/>
        </w:rPr>
        <w:t>6.2</w:t>
      </w:r>
      <w:r>
        <w:rPr>
          <w:rFonts w:ascii="Arial" w:cs="Arial" w:eastAsia="Arial" w:hAnsi="Arial"/>
          <w:sz w:val="17"/>
          <w:szCs w:val="17"/>
          <w:b w:val="1"/>
          <w:bCs w:val="1"/>
          <w:i w:val="1"/>
          <w:iCs w:val="1"/>
          <w:color w:val="auto"/>
        </w:rPr>
        <w:t>Possible Acceleration on Change in Control</w:t>
      </w:r>
      <w:r>
        <w:rPr>
          <w:rFonts w:ascii="Arial" w:cs="Arial" w:eastAsia="Arial" w:hAnsi="Arial"/>
          <w:sz w:val="17"/>
          <w:szCs w:val="17"/>
          <w:color w:val="auto"/>
        </w:rPr>
        <w:t>. Notwithstanding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 2 hereof, and further subject to the Company’s ability to terminate the award as provided in Section 6.3 below, the Grantee shall be entitled to vesting of the award as provided below in the event of the Grantee’s termination of</w:t>
      </w:r>
    </w:p>
    <w:p>
      <w:pPr>
        <w:sectPr>
          <w:pgSz w:w="11900" w:h="16838" w:orient="portrait"/>
          <w:cols w:equalWidth="0" w:num="2">
            <w:col w:w="5220" w:space="698"/>
            <w:col w:w="5202"/>
          </w:cols>
          <w:pgMar w:left="320" w:top="1151" w:right="459" w:bottom="1440" w:gutter="0" w:footer="0" w:header="0"/>
        </w:sectPr>
      </w:pPr>
    </w:p>
    <w:bookmarkStart w:id="65" w:name="page66"/>
    <w:bookmarkEnd w:id="65"/>
    <w:p>
      <w:pPr>
        <w:ind w:right="20"/>
        <w:spacing w:after="0" w:line="225" w:lineRule="auto"/>
        <w:rPr>
          <w:sz w:val="20"/>
          <w:szCs w:val="20"/>
          <w:color w:val="auto"/>
        </w:rPr>
      </w:pPr>
      <w:r>
        <w:rPr>
          <w:rFonts w:ascii="Arial" w:cs="Arial" w:eastAsia="Arial" w:hAnsi="Arial"/>
          <w:sz w:val="17"/>
          <w:szCs w:val="17"/>
          <w:color w:val="auto"/>
        </w:rPr>
        <w:t>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21" w:lineRule="exact"/>
        <w:rPr>
          <w:sz w:val="20"/>
          <w:szCs w:val="20"/>
          <w:color w:val="auto"/>
        </w:rPr>
      </w:pPr>
    </w:p>
    <w:p>
      <w:pPr>
        <w:ind w:firstLine="405"/>
        <w:spacing w:after="0" w:line="222" w:lineRule="auto"/>
        <w:rPr>
          <w:sz w:val="20"/>
          <w:szCs w:val="20"/>
          <w:color w:val="auto"/>
        </w:rPr>
      </w:pPr>
      <w:r>
        <w:rPr>
          <w:rFonts w:ascii="Arial" w:cs="Arial" w:eastAsia="Arial" w:hAnsi="Arial"/>
          <w:sz w:val="17"/>
          <w:szCs w:val="17"/>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2" w:lineRule="exact"/>
        <w:rPr>
          <w:sz w:val="20"/>
          <w:szCs w:val="20"/>
          <w:color w:val="auto"/>
        </w:rPr>
      </w:pPr>
    </w:p>
    <w:p>
      <w:pPr>
        <w:ind w:firstLine="405"/>
        <w:spacing w:after="0" w:line="215" w:lineRule="auto"/>
        <w:rPr>
          <w:sz w:val="20"/>
          <w:szCs w:val="20"/>
          <w:color w:val="auto"/>
        </w:rPr>
      </w:pPr>
      <w:r>
        <w:rPr>
          <w:rFonts w:ascii="Arial" w:cs="Arial" w:eastAsia="Arial" w:hAnsi="Arial"/>
          <w:sz w:val="17"/>
          <w:szCs w:val="17"/>
          <w:color w:val="auto"/>
        </w:rPr>
        <w:t>In the event the Grantee is entitled to payment in accordance with the foregoing provisions of this Section 6.2,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Payment of any amount due under this Section 6.2 will be made within 60 days of the date of the termination of Grantee’s employment, but in no event later than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year following the Grantee’s termination of employment.</w:t>
      </w:r>
    </w:p>
    <w:p>
      <w:pPr>
        <w:spacing w:after="0" w:line="139" w:lineRule="exact"/>
        <w:rPr>
          <w:sz w:val="20"/>
          <w:szCs w:val="20"/>
          <w:color w:val="auto"/>
        </w:rPr>
      </w:pPr>
    </w:p>
    <w:p>
      <w:pPr>
        <w:ind w:right="60" w:firstLine="405"/>
        <w:spacing w:after="0" w:line="230" w:lineRule="auto"/>
        <w:rPr>
          <w:sz w:val="20"/>
          <w:szCs w:val="20"/>
          <w:color w:val="auto"/>
        </w:rPr>
      </w:pPr>
      <w:r>
        <w:rPr>
          <w:rFonts w:ascii="Arial" w:cs="Arial" w:eastAsia="Arial" w:hAnsi="Arial"/>
          <w:sz w:val="16"/>
          <w:szCs w:val="16"/>
          <w:b w:val="1"/>
          <w:bCs w:val="1"/>
          <w:color w:val="auto"/>
        </w:rPr>
        <w:t>6.3</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color w:val="auto"/>
        </w:rPr>
        <w:t>. If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RPSRs (and related Dividend Equivalents) as provided below and the award shall terminate. Unless the Committee expressly provides otherwise in the circumstances, no acceleration of vesting of the award shall occur pursuant to this Section 6.3 in connection with a Change in Control if either (a) the Company is the surviving entity, or</w:t>
      </w:r>
    </w:p>
    <w:p>
      <w:pPr>
        <w:spacing w:after="0" w:line="9" w:lineRule="exact"/>
        <w:rPr>
          <w:sz w:val="20"/>
          <w:szCs w:val="20"/>
          <w:color w:val="auto"/>
        </w:rPr>
      </w:pPr>
    </w:p>
    <w:p>
      <w:pPr>
        <w:ind w:right="20" w:firstLine="8"/>
        <w:spacing w:after="0" w:line="221" w:lineRule="auto"/>
        <w:tabs>
          <w:tab w:leader="none" w:pos="2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left="2" w:right="180"/>
        <w:spacing w:after="0" w:line="235" w:lineRule="auto"/>
        <w:rPr>
          <w:sz w:val="20"/>
          <w:szCs w:val="20"/>
          <w:color w:val="auto"/>
        </w:rPr>
      </w:pPr>
      <w:r>
        <w:rPr>
          <w:rFonts w:ascii="Arial" w:cs="Arial" w:eastAsia="Arial" w:hAnsi="Arial"/>
          <w:sz w:val="18"/>
          <w:szCs w:val="18"/>
          <w:color w:val="auto"/>
        </w:rPr>
        <w:t>Committee may reinstate the original terms of the award if the related event does not actually occur.</w:t>
      </w:r>
    </w:p>
    <w:p>
      <w:pPr>
        <w:spacing w:after="0" w:line="121" w:lineRule="exact"/>
        <w:rPr>
          <w:sz w:val="20"/>
          <w:szCs w:val="20"/>
          <w:color w:val="auto"/>
        </w:rPr>
      </w:pPr>
    </w:p>
    <w:p>
      <w:pPr>
        <w:ind w:left="2" w:right="40" w:firstLine="405"/>
        <w:spacing w:after="0" w:line="232" w:lineRule="auto"/>
        <w:rPr>
          <w:sz w:val="20"/>
          <w:szCs w:val="20"/>
          <w:color w:val="auto"/>
        </w:rPr>
      </w:pPr>
      <w:r>
        <w:rPr>
          <w:rFonts w:ascii="Arial" w:cs="Arial" w:eastAsia="Arial" w:hAnsi="Arial"/>
          <w:sz w:val="16"/>
          <w:szCs w:val="16"/>
          <w:color w:val="auto"/>
        </w:rPr>
        <w:t>In the event the Grantee is entitled to a payment in accordance with the foregoing provisions of this Section 6.3,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date of the Change in Control of the Company, multiplied by (b) the target number of RPSRs subject to the award. Payment of any amount due under this Section 6.3 will be made within 60 days of the Change of Control, but in no event later than March 15 of the year following the Change in Control. In the event the Grantee is employed by the Company or a subsidiary immediately prior to the Change in Control and is entitled to payment in accordance with the foregoing provisions of this Section 6.3, then this Section 6.3 shall control as to the amount and timing of the payment of the award notwithstanding anything in Section 2.2 or 6.2 to the contrary. In the event of the Grantee’s Retirement pursuant to Section 2.2 prior to a Change in Control described in the first paragraph of this Section 6.3 in which the award is to be terminated, the Earnout Percentage shall no longer be based on the portion of the Performance Period otherwise considered for purposes of Section 2.2 but shall instead be calculated based on performance for the portion of the three-year Performance Period ending on the date of the Change in Control of the Company.</w:t>
      </w:r>
    </w:p>
    <w:p>
      <w:pPr>
        <w:spacing w:after="0" w:line="117" w:lineRule="exact"/>
        <w:rPr>
          <w:sz w:val="20"/>
          <w:szCs w:val="20"/>
          <w:color w:val="auto"/>
        </w:rPr>
      </w:pPr>
    </w:p>
    <w:p>
      <w:pPr>
        <w:ind w:left="382" w:hanging="382"/>
        <w:spacing w:after="0"/>
        <w:tabs>
          <w:tab w:leader="none" w:pos="38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58" w:lineRule="exact"/>
        <w:rPr>
          <w:sz w:val="20"/>
          <w:szCs w:val="20"/>
          <w:color w:val="auto"/>
        </w:rPr>
      </w:pPr>
    </w:p>
    <w:p>
      <w:pPr>
        <w:ind w:left="2" w:right="60" w:firstLine="405"/>
        <w:spacing w:after="0" w:line="234"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the Grantee shall be entitled to require, as a condition of making any payments or issuing any shares upon vesting of the RPSRs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21" w:lineRule="exact"/>
        <w:rPr>
          <w:sz w:val="20"/>
          <w:szCs w:val="20"/>
          <w:color w:val="auto"/>
        </w:rPr>
      </w:pPr>
    </w:p>
    <w:p>
      <w:pPr>
        <w:ind w:left="2" w:firstLine="405"/>
        <w:spacing w:after="0" w:line="261" w:lineRule="auto"/>
        <w:rPr>
          <w:sz w:val="20"/>
          <w:szCs w:val="20"/>
          <w:color w:val="auto"/>
        </w:rPr>
      </w:pPr>
      <w:r>
        <w:rPr>
          <w:rFonts w:ascii="Arial" w:cs="Arial" w:eastAsia="Arial" w:hAnsi="Arial"/>
          <w:sz w:val="16"/>
          <w:szCs w:val="16"/>
          <w:b w:val="1"/>
          <w:bCs w:val="1"/>
          <w:color w:val="auto"/>
        </w:rPr>
        <w:t>7.2</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The Company will pay all federal and state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taxes, if any, and other fees and expenses in connection with the issuance of shares in connection with the vesting of the RPSRs.</w:t>
      </w:r>
    </w:p>
    <w:p>
      <w:pPr>
        <w:spacing w:after="0" w:line="102" w:lineRule="exact"/>
        <w:rPr>
          <w:sz w:val="20"/>
          <w:szCs w:val="20"/>
          <w:color w:val="auto"/>
        </w:rPr>
      </w:pPr>
    </w:p>
    <w:p>
      <w:pPr>
        <w:jc w:val="both"/>
        <w:ind w:left="2" w:right="120" w:firstLine="405"/>
        <w:spacing w:after="0" w:line="233" w:lineRule="auto"/>
        <w:rPr>
          <w:sz w:val="20"/>
          <w:szCs w:val="20"/>
          <w:color w:val="auto"/>
        </w:rPr>
      </w:pPr>
      <w:r>
        <w:rPr>
          <w:rFonts w:ascii="Arial" w:cs="Arial" w:eastAsia="Arial" w:hAnsi="Arial"/>
          <w:sz w:val="17"/>
          <w:szCs w:val="17"/>
          <w:b w:val="1"/>
          <w:bCs w:val="1"/>
          <w:color w:val="auto"/>
        </w:rPr>
        <w:t>7.3</w:t>
      </w:r>
      <w:r>
        <w:rPr>
          <w:rFonts w:ascii="Arial" w:cs="Arial" w:eastAsia="Arial" w:hAnsi="Arial"/>
          <w:sz w:val="17"/>
          <w:szCs w:val="17"/>
          <w:b w:val="1"/>
          <w:bCs w:val="1"/>
          <w:i w:val="1"/>
          <w:iCs w:val="1"/>
          <w:color w:val="auto"/>
        </w:rPr>
        <w:t>Compliance</w:t>
      </w:r>
      <w:r>
        <w:rPr>
          <w:rFonts w:ascii="Arial" w:cs="Arial" w:eastAsia="Arial" w:hAnsi="Arial"/>
          <w:sz w:val="17"/>
          <w:szCs w:val="17"/>
          <w:color w:val="auto"/>
        </w:rPr>
        <w:t>. This Agreement is designed to be exempt from</w:t>
      </w:r>
      <w:r>
        <w:rPr>
          <w:rFonts w:ascii="Arial" w:cs="Arial" w:eastAsia="Arial" w:hAnsi="Arial"/>
          <w:sz w:val="17"/>
          <w:szCs w:val="17"/>
          <w:b w:val="1"/>
          <w:bCs w:val="1"/>
          <w:color w:val="auto"/>
        </w:rPr>
        <w:t xml:space="preserve"> </w:t>
      </w:r>
      <w:r>
        <w:rPr>
          <w:rFonts w:ascii="Arial" w:cs="Arial" w:eastAsia="Arial" w:hAnsi="Arial"/>
          <w:sz w:val="17"/>
          <w:szCs w:val="17"/>
          <w:color w:val="auto"/>
        </w:rPr>
        <w:t>Code Section 409A, and the Committee shall administer and construe the award in such a way as to be exempt from and to avoid adverse tax consequences under Code Section 409A.</w:t>
      </w:r>
    </w:p>
    <w:p>
      <w:pPr>
        <w:sectPr>
          <w:pgSz w:w="11900" w:h="16838" w:orient="portrait"/>
          <w:cols w:equalWidth="0" w:num="2">
            <w:col w:w="5200" w:space="718"/>
            <w:col w:w="5202"/>
          </w:cols>
          <w:pgMar w:left="320" w:top="1151" w:right="459" w:bottom="1440" w:gutter="0" w:footer="0" w:header="0"/>
        </w:sectPr>
      </w:pPr>
    </w:p>
    <w:bookmarkStart w:id="66" w:name="page67"/>
    <w:bookmarkEnd w:id="66"/>
    <w:p>
      <w:pPr>
        <w:ind w:right="200" w:firstLine="405"/>
        <w:spacing w:after="0" w:line="227"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i w:val="1"/>
          <w:iCs w:val="1"/>
          <w:color w:val="auto"/>
        </w:rPr>
        <w:t>Unfunded Arrangement</w:t>
      </w:r>
      <w:r>
        <w:rPr>
          <w:rFonts w:ascii="Arial" w:cs="Arial" w:eastAsia="Arial" w:hAnsi="Arial"/>
          <w:sz w:val="17"/>
          <w:szCs w:val="17"/>
          <w:color w:val="auto"/>
        </w:rPr>
        <w:t>. The right of the Grantee to receive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19" w:lineRule="exact"/>
        <w:rPr>
          <w:sz w:val="20"/>
          <w:szCs w:val="20"/>
          <w:color w:val="auto"/>
        </w:rPr>
      </w:pPr>
    </w:p>
    <w:p>
      <w:pPr>
        <w:ind w:right="40" w:firstLine="405"/>
        <w:spacing w:after="0" w:line="235" w:lineRule="auto"/>
        <w:rPr>
          <w:sz w:val="20"/>
          <w:szCs w:val="20"/>
          <w:color w:val="auto"/>
        </w:rPr>
      </w:pPr>
      <w:r>
        <w:rPr>
          <w:rFonts w:ascii="Arial" w:cs="Arial" w:eastAsia="Arial" w:hAnsi="Arial"/>
          <w:sz w:val="16"/>
          <w:szCs w:val="16"/>
          <w:b w:val="1"/>
          <w:bCs w:val="1"/>
          <w:color w:val="auto"/>
        </w:rPr>
        <w:t>7.5</w:t>
      </w: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the contrary, in the event that any amounts payable to you as a result of Section 6.2 or 6.3 hereof, either alone or together with amounts payable pursuant to any other plan, program or arrangement</w:t>
      </w:r>
    </w:p>
    <w:p>
      <w:pPr>
        <w:spacing w:after="0" w:line="1" w:lineRule="exact"/>
        <w:rPr>
          <w:sz w:val="20"/>
          <w:szCs w:val="20"/>
          <w:color w:val="auto"/>
        </w:rPr>
      </w:pPr>
    </w:p>
    <w:p>
      <w:pPr>
        <w:ind w:right="20" w:firstLine="8"/>
        <w:spacing w:after="0" w:line="231" w:lineRule="auto"/>
        <w:tabs>
          <w:tab w:leader="none" w:pos="245"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17"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162" w:lineRule="exact"/>
        <w:rPr>
          <w:sz w:val="20"/>
          <w:szCs w:val="20"/>
          <w:color w:val="auto"/>
        </w:rPr>
      </w:pPr>
    </w:p>
    <w:p>
      <w:pPr>
        <w:ind w:firstLine="177"/>
        <w:spacing w:after="0" w:line="233" w:lineRule="auto"/>
        <w:rPr>
          <w:sz w:val="20"/>
          <w:szCs w:val="20"/>
          <w:color w:val="auto"/>
        </w:rPr>
      </w:pPr>
      <w:r>
        <w:rPr>
          <w:rFonts w:ascii="Arial" w:cs="Arial" w:eastAsia="Arial" w:hAnsi="Arial"/>
          <w:sz w:val="16"/>
          <w:szCs w:val="16"/>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Manual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jc w:val="both"/>
        <w:ind w:left="2" w:right="320"/>
        <w:spacing w:after="0" w:line="237" w:lineRule="auto"/>
        <w:rPr>
          <w:sz w:val="20"/>
          <w:szCs w:val="20"/>
          <w:color w:val="auto"/>
        </w:rPr>
      </w:pPr>
      <w:r>
        <w:rPr>
          <w:rFonts w:ascii="Arial" w:cs="Arial" w:eastAsia="Arial" w:hAnsi="Arial"/>
          <w:sz w:val="17"/>
          <w:szCs w:val="17"/>
          <w:color w:val="auto"/>
        </w:rPr>
        <w:t>jurisdiction of the state and federal courts in the Commonwealth of Virginia and waive any right to object to such actions on grounds of venue, jurisdiction or convenience.</w:t>
      </w:r>
    </w:p>
    <w:p>
      <w:pPr>
        <w:spacing w:after="0" w:line="119" w:lineRule="exact"/>
        <w:rPr>
          <w:sz w:val="20"/>
          <w:szCs w:val="20"/>
          <w:color w:val="auto"/>
        </w:rPr>
      </w:pPr>
    </w:p>
    <w:p>
      <w:pPr>
        <w:ind w:left="382" w:hanging="382"/>
        <w:spacing w:after="0"/>
        <w:tabs>
          <w:tab w:leader="none" w:pos="38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48" w:lineRule="exact"/>
        <w:rPr>
          <w:sz w:val="20"/>
          <w:szCs w:val="20"/>
          <w:color w:val="auto"/>
        </w:rPr>
      </w:pPr>
    </w:p>
    <w:p>
      <w:pPr>
        <w:ind w:left="2" w:right="40" w:firstLine="405"/>
        <w:spacing w:after="0" w:line="222" w:lineRule="auto"/>
        <w:rPr>
          <w:sz w:val="20"/>
          <w:szCs w:val="20"/>
          <w:color w:val="auto"/>
        </w:rPr>
      </w:pPr>
      <w:r>
        <w:rPr>
          <w:rFonts w:ascii="Arial" w:cs="Arial" w:eastAsia="Arial" w:hAnsi="Arial"/>
          <w:sz w:val="17"/>
          <w:szCs w:val="17"/>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37" w:lineRule="exact"/>
        <w:rPr>
          <w:sz w:val="20"/>
          <w:szCs w:val="20"/>
          <w:color w:val="auto"/>
        </w:rPr>
      </w:pPr>
    </w:p>
    <w:p>
      <w:pPr>
        <w:ind w:left="402" w:hanging="402"/>
        <w:spacing w:after="0"/>
        <w:tabs>
          <w:tab w:leader="none" w:pos="40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48" w:lineRule="exact"/>
        <w:rPr>
          <w:sz w:val="20"/>
          <w:szCs w:val="20"/>
          <w:color w:val="auto"/>
        </w:rPr>
      </w:pPr>
    </w:p>
    <w:p>
      <w:pPr>
        <w:ind w:left="2" w:right="40" w:firstLine="405"/>
        <w:spacing w:after="0" w:line="209" w:lineRule="auto"/>
        <w:rPr>
          <w:sz w:val="20"/>
          <w:szCs w:val="20"/>
          <w:color w:val="auto"/>
        </w:rPr>
      </w:pPr>
      <w:r>
        <w:rPr>
          <w:rFonts w:ascii="Arial" w:cs="Arial" w:eastAsia="Arial" w:hAnsi="Arial"/>
          <w:sz w:val="18"/>
          <w:szCs w:val="18"/>
          <w:color w:val="auto"/>
        </w:rPr>
        <w:t>The RPSRs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19" w:lineRule="exact"/>
        <w:rPr>
          <w:sz w:val="20"/>
          <w:szCs w:val="20"/>
          <w:color w:val="auto"/>
        </w:rPr>
      </w:pPr>
    </w:p>
    <w:p>
      <w:pPr>
        <w:ind w:left="382" w:hanging="382"/>
        <w:spacing w:after="0"/>
        <w:tabs>
          <w:tab w:leader="none" w:pos="38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62" w:lineRule="exact"/>
        <w:rPr>
          <w:sz w:val="20"/>
          <w:szCs w:val="20"/>
          <w:color w:val="auto"/>
        </w:rPr>
      </w:pPr>
    </w:p>
    <w:p>
      <w:pPr>
        <w:ind w:left="2" w:firstLine="180"/>
        <w:spacing w:after="0" w:line="232"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on the date any RPSRs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RPSRs (net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Should the Grantee’s employment by the Company and its subsidiaries terminate (regardless of the reason for such termination, but other than due to the Grantee’s death or Disability or a Change in Control related termination under Section 6.2 or entering a U.S. federal government position), such holding period requirement shall not apply as to any shares acquired</w:t>
      </w:r>
    </w:p>
    <w:p>
      <w:pPr>
        <w:sectPr>
          <w:pgSz w:w="11900" w:h="16838" w:orient="portrait"/>
          <w:cols w:equalWidth="0" w:num="2">
            <w:col w:w="5220" w:space="698"/>
            <w:col w:w="5202"/>
          </w:cols>
          <w:pgMar w:left="320" w:top="1147" w:right="459" w:bottom="1440" w:gutter="0" w:footer="0" w:header="0"/>
        </w:sectPr>
      </w:pPr>
    </w:p>
    <w:bookmarkStart w:id="67" w:name="page68"/>
    <w:bookmarkEnd w:id="67"/>
    <w:p>
      <w:pPr>
        <w:spacing w:after="0" w:line="242" w:lineRule="auto"/>
        <w:rPr>
          <w:sz w:val="20"/>
          <w:szCs w:val="20"/>
          <w:color w:val="auto"/>
        </w:rPr>
      </w:pPr>
      <w:r>
        <w:rPr>
          <w:rFonts w:ascii="Arial" w:cs="Arial" w:eastAsia="Arial" w:hAnsi="Arial"/>
          <w:sz w:val="16"/>
          <w:szCs w:val="16"/>
          <w:color w:val="auto"/>
        </w:rPr>
        <w:t>upon payment of RPSRs to the extent such payment is made more than one year after such termination of employment. (For purposes of clarity, in such circumstances the holding period requirement will apply as to any shares acquired upon payment of RPSRs within one year after such</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 termination of employment.) For purposes of this Section 11, the total</w:t>
      </w:r>
    </w:p>
    <w:p>
      <w:pPr>
        <w:spacing w:after="0" w:line="5" w:lineRule="exact"/>
        <w:rPr>
          <w:sz w:val="20"/>
          <w:szCs w:val="20"/>
          <w:color w:val="auto"/>
        </w:rPr>
      </w:pPr>
    </w:p>
    <w:p>
      <w:pPr>
        <w:ind w:right="60"/>
        <w:spacing w:after="0" w:line="219" w:lineRule="auto"/>
        <w:rPr>
          <w:sz w:val="20"/>
          <w:szCs w:val="20"/>
          <w:color w:val="auto"/>
        </w:rPr>
      </w:pPr>
      <w:r>
        <w:rPr>
          <w:rFonts w:ascii="Arial" w:cs="Arial" w:eastAsia="Arial" w:hAnsi="Arial"/>
          <w:sz w:val="17"/>
          <w:szCs w:val="17"/>
          <w:color w:val="auto"/>
        </w:rPr>
        <w:t>payout of Vested RPSRs shall be determined on a net basis after taking into account any shares otherwise deliverable with respect to the award that the Company withholds to satisfy tax obligations pursuant to Section 7.1. If Grantee is paid less than 50% of the total payout of Vested RPSRs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24" w:lineRule="exact"/>
        <w:rPr>
          <w:sz w:val="20"/>
          <w:szCs w:val="20"/>
          <w:color w:val="auto"/>
        </w:rPr>
      </w:pPr>
    </w:p>
    <w:p>
      <w:pPr>
        <w:ind w:left="400" w:hanging="392"/>
        <w:spacing w:after="0"/>
        <w:tabs>
          <w:tab w:leader="none" w:pos="4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48" w:lineRule="exact"/>
        <w:rPr>
          <w:sz w:val="20"/>
          <w:szCs w:val="20"/>
          <w:color w:val="auto"/>
        </w:rPr>
      </w:pPr>
    </w:p>
    <w:p>
      <w:pPr>
        <w:ind w:right="80" w:firstLine="405"/>
        <w:spacing w:after="0" w:line="224"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occurrence of either or both of the following:</w:t>
      </w:r>
    </w:p>
    <w:p>
      <w:pPr>
        <w:spacing w:after="0" w:line="171" w:lineRule="exact"/>
        <w:rPr>
          <w:sz w:val="20"/>
          <w:szCs w:val="20"/>
          <w:color w:val="auto"/>
        </w:rPr>
      </w:pPr>
    </w:p>
    <w:p>
      <w:pPr>
        <w:ind w:left="580" w:right="120" w:hanging="329"/>
        <w:spacing w:after="0" w:line="216" w:lineRule="auto"/>
        <w:tabs>
          <w:tab w:leader="none" w:pos="60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35" w:lineRule="exact"/>
        <w:rPr>
          <w:rFonts w:ascii="Arial" w:cs="Arial" w:eastAsia="Arial" w:hAnsi="Arial"/>
          <w:sz w:val="18"/>
          <w:szCs w:val="18"/>
          <w:color w:val="auto"/>
        </w:rPr>
      </w:pPr>
    </w:p>
    <w:p>
      <w:pPr>
        <w:ind w:left="580" w:right="40" w:hanging="329"/>
        <w:spacing w:after="0" w:line="226" w:lineRule="auto"/>
        <w:tabs>
          <w:tab w:leader="none" w:pos="652" w:val="left"/>
        </w:tabs>
        <w:numPr>
          <w:ilvl w:val="0"/>
          <w:numId w:val="94"/>
        </w:numPr>
        <w:rPr>
          <w:rFonts w:ascii="Arial" w:cs="Arial" w:eastAsia="Arial" w:hAnsi="Arial"/>
          <w:sz w:val="17"/>
          <w:szCs w:val="17"/>
          <w:color w:val="auto"/>
        </w:rPr>
      </w:pPr>
      <w:r>
        <w:rPr>
          <w:rFonts w:ascii="Arial" w:cs="Arial" w:eastAsia="Arial" w:hAnsi="Arial"/>
          <w:sz w:val="17"/>
          <w:szCs w:val="17"/>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44" w:lineRule="exact"/>
        <w:rPr>
          <w:sz w:val="20"/>
          <w:szCs w:val="20"/>
          <w:color w:val="auto"/>
        </w:rPr>
      </w:pPr>
    </w:p>
    <w:p>
      <w:pPr>
        <w:ind w:right="100" w:firstLine="405"/>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3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44" w:lineRule="exact"/>
        <w:rPr>
          <w:sz w:val="20"/>
          <w:szCs w:val="20"/>
          <w:color w:val="auto"/>
        </w:rPr>
      </w:pPr>
    </w:p>
    <w:p>
      <w:pPr>
        <w:ind w:firstLine="405"/>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with respect to a Grantee, that the Grantee: (i) is unable to engage in any substantial gainful activity by reason of any medically determinable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23" w:lineRule="auto"/>
        <w:rPr>
          <w:sz w:val="20"/>
          <w:szCs w:val="20"/>
          <w:color w:val="auto"/>
        </w:rPr>
      </w:pPr>
      <w:r>
        <w:rPr>
          <w:rFonts w:ascii="Arial" w:cs="Arial" w:eastAsia="Arial" w:hAnsi="Arial"/>
          <w:sz w:val="17"/>
          <w:szCs w:val="17"/>
          <w:color w:val="auto"/>
        </w:rPr>
        <w:t>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22" w:lineRule="exact"/>
        <w:rPr>
          <w:sz w:val="20"/>
          <w:szCs w:val="20"/>
          <w:color w:val="auto"/>
        </w:rPr>
      </w:pPr>
    </w:p>
    <w:p>
      <w:pPr>
        <w:ind w:firstLine="180"/>
        <w:spacing w:after="0" w:line="20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Retirement</w:t>
      </w:r>
      <w:r>
        <w:rPr>
          <w:rFonts w:ascii="Arial" w:cs="Arial" w:eastAsia="Arial" w:hAnsi="Arial"/>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1" w:lineRule="exact"/>
        <w:rPr>
          <w:sz w:val="20"/>
          <w:szCs w:val="20"/>
          <w:color w:val="auto"/>
        </w:rPr>
      </w:pPr>
    </w:p>
    <w:p>
      <w:pPr>
        <w:ind w:right="80" w:firstLine="178"/>
        <w:spacing w:after="0" w:line="203" w:lineRule="auto"/>
        <w:tabs>
          <w:tab w:leader="none" w:pos="5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termination of employment after the Grantee has attained age 55 with at least 10 years of service.</w:t>
      </w:r>
    </w:p>
    <w:p>
      <w:pPr>
        <w:ind w:firstLine="178"/>
        <w:spacing w:after="0" w:line="215" w:lineRule="auto"/>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termination of employment by the Company or a subsidiary as part of a reduction in force and, at the time of such termination, the Grantee has attained age 53 with at least 10 years of service.</w:t>
      </w:r>
    </w:p>
    <w:p>
      <w:pPr>
        <w:spacing w:after="0" w:line="1" w:lineRule="exact"/>
        <w:rPr>
          <w:rFonts w:ascii="Arial" w:cs="Arial" w:eastAsia="Arial" w:hAnsi="Arial"/>
          <w:sz w:val="17"/>
          <w:szCs w:val="17"/>
          <w:color w:val="auto"/>
        </w:rPr>
      </w:pPr>
    </w:p>
    <w:p>
      <w:pPr>
        <w:ind w:right="40" w:firstLine="403"/>
        <w:spacing w:after="0" w:line="214" w:lineRule="auto"/>
        <w:tabs>
          <w:tab w:leader="none" w:pos="85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termination of employment by the Company or a subsidiary as part of a reduction in force and, at the time of such termination, the sum of the Grantee’s age and years of service is at least 75.</w:t>
      </w:r>
    </w:p>
    <w:p>
      <w:pPr>
        <w:spacing w:after="0" w:line="119" w:lineRule="exact"/>
        <w:rPr>
          <w:sz w:val="20"/>
          <w:szCs w:val="20"/>
          <w:color w:val="auto"/>
        </w:rPr>
      </w:pPr>
    </w:p>
    <w:p>
      <w:pPr>
        <w:ind w:right="300" w:firstLine="405"/>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2" w:lineRule="exact"/>
        <w:rPr>
          <w:sz w:val="20"/>
          <w:szCs w:val="20"/>
          <w:color w:val="auto"/>
        </w:rPr>
      </w:pPr>
    </w:p>
    <w:p>
      <w:pPr>
        <w:ind w:right="320" w:firstLine="405"/>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80" w:lineRule="exact"/>
        <w:rPr>
          <w:sz w:val="20"/>
          <w:szCs w:val="20"/>
          <w:color w:val="auto"/>
        </w:rPr>
      </w:pPr>
    </w:p>
    <w:p>
      <w:pPr>
        <w:ind w:left="560" w:right="140" w:hanging="319"/>
        <w:spacing w:after="0" w:line="232" w:lineRule="auto"/>
        <w:tabs>
          <w:tab w:leader="none" w:pos="576"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ectPr>
          <w:pgSz w:w="11900" w:h="16838" w:orient="portrait"/>
          <w:cols w:equalWidth="0" w:num="2">
            <w:col w:w="5200" w:space="720"/>
            <w:col w:w="5200"/>
          </w:cols>
          <w:pgMar w:left="320" w:top="1151" w:right="459" w:bottom="1440" w:gutter="0" w:footer="0" w:header="0"/>
        </w:sectPr>
      </w:pPr>
    </w:p>
    <w:bookmarkStart w:id="68" w:name="page69"/>
    <w:bookmarkEnd w:id="68"/>
    <w:p>
      <w:pPr>
        <w:ind w:left="360" w:right="20" w:hanging="143"/>
        <w:spacing w:after="0" w:line="234" w:lineRule="auto"/>
        <w:rPr>
          <w:sz w:val="20"/>
          <w:szCs w:val="20"/>
          <w:color w:val="auto"/>
        </w:rPr>
      </w:pPr>
      <w:r>
        <w:rPr>
          <w:rFonts w:ascii="Arial" w:cs="Arial" w:eastAsia="Arial" w:hAnsi="Arial"/>
          <w:sz w:val="16"/>
          <w:szCs w:val="16"/>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21" w:lineRule="exact"/>
        <w:rPr>
          <w:sz w:val="20"/>
          <w:szCs w:val="20"/>
          <w:color w:val="auto"/>
        </w:rPr>
      </w:pPr>
    </w:p>
    <w:p>
      <w:pPr>
        <w:ind w:left="360" w:right="40" w:hanging="329"/>
        <w:spacing w:after="0" w:line="249" w:lineRule="auto"/>
        <w:tabs>
          <w:tab w:leader="none" w:pos="426"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13" w:lineRule="exact"/>
        <w:rPr>
          <w:rFonts w:ascii="Arial" w:cs="Arial" w:eastAsia="Arial" w:hAnsi="Arial"/>
          <w:sz w:val="16"/>
          <w:szCs w:val="16"/>
          <w:color w:val="auto"/>
        </w:rPr>
      </w:pPr>
    </w:p>
    <w:p>
      <w:pPr>
        <w:ind w:left="360" w:right="40" w:hanging="329"/>
        <w:spacing w:after="0" w:line="234" w:lineRule="auto"/>
        <w:tabs>
          <w:tab w:leader="none" w:pos="476"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42" w:lineRule="exact"/>
        <w:rPr>
          <w:rFonts w:ascii="Arial" w:cs="Arial" w:eastAsia="Arial" w:hAnsi="Arial"/>
          <w:sz w:val="16"/>
          <w:szCs w:val="16"/>
          <w:color w:val="auto"/>
        </w:rPr>
      </w:pPr>
    </w:p>
    <w:p>
      <w:pPr>
        <w:ind w:left="360" w:hanging="329"/>
        <w:spacing w:after="0" w:line="222" w:lineRule="auto"/>
        <w:tabs>
          <w:tab w:leader="none" w:pos="466"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22" w:lineRule="exact"/>
        <w:rPr>
          <w:rFonts w:ascii="Arial" w:cs="Arial" w:eastAsia="Arial" w:hAnsi="Arial"/>
          <w:sz w:val="17"/>
          <w:szCs w:val="17"/>
          <w:color w:val="auto"/>
        </w:rPr>
      </w:pPr>
    </w:p>
    <w:p>
      <w:pPr>
        <w:ind w:left="360" w:right="120" w:hanging="329"/>
        <w:spacing w:after="0" w:line="212" w:lineRule="auto"/>
        <w:tabs>
          <w:tab w:leader="none" w:pos="42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ind w:left="560" w:right="80"/>
        <w:spacing w:after="0" w:line="224" w:lineRule="auto"/>
        <w:rPr>
          <w:sz w:val="20"/>
          <w:szCs w:val="20"/>
          <w:color w:val="auto"/>
        </w:rPr>
      </w:pPr>
      <w:r>
        <w:rPr>
          <w:rFonts w:ascii="Arial" w:cs="Arial" w:eastAsia="Arial" w:hAnsi="Arial"/>
          <w:sz w:val="18"/>
          <w:szCs w:val="18"/>
          <w:color w:val="auto"/>
        </w:rPr>
        <w:t>relocation, in no event shall Good Reason exist pursuant to this clause (v) more than ninety (90) days before such intended effective date.</w:t>
      </w:r>
    </w:p>
    <w:p>
      <w:pPr>
        <w:spacing w:after="0" w:line="122" w:lineRule="exact"/>
        <w:rPr>
          <w:sz w:val="20"/>
          <w:szCs w:val="20"/>
          <w:color w:val="auto"/>
        </w:rPr>
      </w:pPr>
    </w:p>
    <w:p>
      <w:pPr>
        <w:ind w:firstLine="405"/>
        <w:spacing w:after="0" w:line="216"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18" w:lineRule="exact"/>
        <w:rPr>
          <w:sz w:val="20"/>
          <w:szCs w:val="20"/>
          <w:color w:val="auto"/>
        </w:rPr>
      </w:pPr>
    </w:p>
    <w:p>
      <w:pPr>
        <w:ind w:firstLine="405"/>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Service Retirement</w:t>
      </w:r>
      <w:r>
        <w:rPr>
          <w:rFonts w:ascii="Arial" w:cs="Arial" w:eastAsia="Arial" w:hAnsi="Arial"/>
          <w:sz w:val="17"/>
          <w:szCs w:val="17"/>
          <w:color w:val="auto"/>
        </w:rPr>
        <w:t>” means a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34" w:lineRule="exact"/>
        <w:rPr>
          <w:sz w:val="20"/>
          <w:szCs w:val="20"/>
          <w:color w:val="auto"/>
        </w:rPr>
      </w:pPr>
    </w:p>
    <w:p>
      <w:pPr>
        <w:ind w:right="80" w:firstLine="405"/>
        <w:spacing w:after="0" w:line="235" w:lineRule="auto"/>
        <w:rPr>
          <w:sz w:val="20"/>
          <w:szCs w:val="20"/>
          <w:color w:val="auto"/>
        </w:rPr>
      </w:pPr>
      <w:r>
        <w:rPr>
          <w:rFonts w:ascii="Arial" w:cs="Arial" w:eastAsia="Arial" w:hAnsi="Arial"/>
          <w:sz w:val="16"/>
          <w:szCs w:val="16"/>
          <w:b w:val="1"/>
          <w:bCs w:val="1"/>
          <w:color w:val="auto"/>
        </w:rPr>
        <w:t>“Normal Retirement</w:t>
      </w:r>
      <w:r>
        <w:rPr>
          <w:rFonts w:ascii="Arial" w:cs="Arial" w:eastAsia="Arial" w:hAnsi="Arial"/>
          <w:sz w:val="16"/>
          <w:szCs w:val="16"/>
          <w:color w:val="auto"/>
        </w:rPr>
        <w:t>” means that the Grantee terminates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44" w:lineRule="exact"/>
        <w:rPr>
          <w:sz w:val="20"/>
          <w:szCs w:val="20"/>
          <w:color w:val="auto"/>
        </w:rPr>
      </w:pPr>
    </w:p>
    <w:p>
      <w:pPr>
        <w:ind w:right="60" w:firstLine="405"/>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31" w:lineRule="exact"/>
        <w:rPr>
          <w:sz w:val="20"/>
          <w:szCs w:val="20"/>
          <w:color w:val="auto"/>
        </w:rPr>
      </w:pPr>
    </w:p>
    <w:p>
      <w:pPr>
        <w:ind w:right="60" w:firstLine="405"/>
        <w:spacing w:after="0" w:line="22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21" w:lineRule="exact"/>
        <w:rPr>
          <w:sz w:val="20"/>
          <w:szCs w:val="20"/>
          <w:color w:val="auto"/>
        </w:rPr>
      </w:pPr>
    </w:p>
    <w:p>
      <w:pPr>
        <w:ind w:left="560" w:hanging="319"/>
        <w:spacing w:after="0" w:line="211" w:lineRule="auto"/>
        <w:tabs>
          <w:tab w:leader="none" w:pos="586"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23" w:lineRule="exact"/>
        <w:rPr>
          <w:rFonts w:ascii="Arial" w:cs="Arial" w:eastAsia="Arial" w:hAnsi="Arial"/>
          <w:sz w:val="18"/>
          <w:szCs w:val="18"/>
          <w:color w:val="auto"/>
        </w:rPr>
      </w:pPr>
    </w:p>
    <w:p>
      <w:pPr>
        <w:ind w:left="560" w:hanging="319"/>
        <w:spacing w:after="0" w:line="222" w:lineRule="auto"/>
        <w:tabs>
          <w:tab w:leader="none" w:pos="636"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ectPr>
          <w:pgSz w:w="11900" w:h="16838" w:orient="portrait"/>
          <w:cols w:equalWidth="0" w:num="2">
            <w:col w:w="5000" w:space="700"/>
            <w:col w:w="5200"/>
          </w:cols>
          <w:pgMar w:left="540" w:top="1151" w:right="459" w:bottom="1440" w:gutter="0" w:footer="0" w:header="0"/>
        </w:sectPr>
      </w:pPr>
    </w:p>
    <w:bookmarkStart w:id="69" w:name="page70"/>
    <w:bookmarkEnd w:id="69"/>
    <w:p>
      <w:pPr>
        <w:ind w:left="700" w:hanging="449"/>
        <w:spacing w:after="0"/>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w:t>
      </w:r>
    </w:p>
    <w:p>
      <w:pPr>
        <w:spacing w:after="0" w:line="7" w:lineRule="exact"/>
        <w:rPr>
          <w:rFonts w:ascii="Arial" w:cs="Arial" w:eastAsia="Arial" w:hAnsi="Arial"/>
          <w:sz w:val="16"/>
          <w:szCs w:val="16"/>
          <w:color w:val="auto"/>
        </w:rPr>
      </w:pPr>
    </w:p>
    <w:p>
      <w:pPr>
        <w:jc w:val="both"/>
        <w:ind w:left="580" w:right="5179" w:hanging="5"/>
        <w:spacing w:after="0" w:line="214" w:lineRule="auto"/>
        <w:tabs>
          <w:tab w:leader="none" w:pos="795" w:val="left"/>
        </w:tabs>
        <w:numPr>
          <w:ilvl w:val="1"/>
          <w:numId w:val="99"/>
        </w:numPr>
        <w:rPr>
          <w:rFonts w:ascii="Arial" w:cs="Arial" w:eastAsia="Arial" w:hAnsi="Arial"/>
          <w:sz w:val="18"/>
          <w:szCs w:val="18"/>
          <w:color w:val="auto"/>
        </w:rPr>
      </w:pPr>
      <w:r>
        <w:rPr>
          <w:rFonts w:ascii="Arial" w:cs="Arial" w:eastAsia="Arial" w:hAnsi="Arial"/>
          <w:sz w:val="18"/>
          <w:szCs w:val="18"/>
          <w:color w:val="auto"/>
        </w:rPr>
        <w:t>or (ii) above, the Protected Period shall commence on the date that is six (6) months prior to the Change in Control and shall continue through and include the date of the Change in Control.</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w:t>
      </w:r>
      <w:r>
        <w:rPr>
          <w:rFonts w:ascii="Arial" w:cs="Arial" w:eastAsia="Arial" w:hAnsi="Arial"/>
          <w:sz w:val="16"/>
          <w:szCs w:val="16"/>
          <w:color w:val="auto"/>
        </w:rPr>
        <w:t>” means the person acquiring a Grantee’s rights to 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grant under the Plan by will or by the laws of descent or distribution.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1151" w:right="1440"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April 27,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 22042</w:t>
      </w:r>
    </w:p>
    <w:p>
      <w:pPr>
        <w:spacing w:after="0" w:line="200" w:lineRule="exact"/>
        <w:rPr>
          <w:sz w:val="20"/>
          <w:szCs w:val="20"/>
          <w:color w:val="auto"/>
        </w:rPr>
      </w:pPr>
    </w:p>
    <w:p>
      <w:pPr>
        <w:spacing w:after="0" w:line="2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aware that our report dated April 27, 2022, on our review of the interim financial information of Northrop Grumman Corporation and subsidiaries appearing in this Quarterly Report on Form 10-Q for the quarter ended March 31, 2022, is incorporated by reference in Registration Statement Nos. 033-59815, 033-59853, 333-67266, 333-100179, 333-107734, 333-121104, 333-125120, 333-127317, and 333-175798 on Form S-8; and Registration Statement No. 333-237504 on Form S-3.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ectPr>
          <w:pgSz w:w="11900" w:h="16838" w:orient="portrait"/>
          <w:cols w:equalWidth="0" w:num="1">
            <w:col w:w="11240"/>
          </w:cols>
          <w:pgMar w:left="320" w:top="89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Kathy J. Warden, certify that:</w:t>
      </w:r>
    </w:p>
    <w:p>
      <w:pPr>
        <w:spacing w:after="0" w:line="104"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2022</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Chair, Chief Executive Officer and President</w:t>
      </w:r>
    </w:p>
    <w:p>
      <w:pPr>
        <w:sectPr>
          <w:pgSz w:w="11900" w:h="16838" w:orient="portrait"/>
          <w:cols w:equalWidth="0" w:num="1">
            <w:col w:w="11240"/>
          </w:cols>
          <w:pgMar w:left="320" w:top="89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F. Keffer, certify that:</w:t>
      </w:r>
    </w:p>
    <w:p>
      <w:pPr>
        <w:spacing w:after="0" w:line="104"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2022</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89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March 31, 2022,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2022</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Chair, Chief Executive Officer and President</w:t>
      </w:r>
    </w:p>
    <w:p>
      <w:pPr>
        <w:sectPr>
          <w:pgSz w:w="11900" w:h="16838" w:orient="portrait"/>
          <w:cols w:equalWidth="0" w:num="1">
            <w:col w:w="11240"/>
          </w:cols>
          <w:pgMar w:left="320" w:top="89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March 31, 2022,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2022</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1)"/>
      <w:numFmt w:val="decimal"/>
      <w:start w:val="1"/>
    </w:lvl>
  </w:abstractNum>
  <w:abstractNum w:abstractNumId="5">
    <w:nsid w:val="4F4EF005"/>
    <w:multiLevelType w:val="hybridMultilevel"/>
    <w:lvl w:ilvl="0">
      <w:lvlJc w:val="left"/>
      <w:lvlText w:val="(%1)"/>
      <w:numFmt w:val="decimal"/>
      <w:start w:val="1"/>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1)"/>
      <w:numFmt w:val="decimal"/>
      <w:start w:val="1"/>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lvl w:ilvl="1">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lvl w:ilvl="1">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lvl w:ilvl="1">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lvl w:ilvl="1">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decimal"/>
      <w:start w:val="1"/>
    </w:lvl>
  </w:abstractNum>
  <w:abstractNum w:abstractNumId="54">
    <w:nsid w:val="1A32234B"/>
    <w:multiLevelType w:val="hybridMultilevel"/>
    <w:lvl w:ilvl="0">
      <w:lvlJc w:val="left"/>
      <w:lvlText w:val="%1."/>
      <w:numFmt w:val="decimal"/>
      <w:start w:val="2"/>
    </w:lvl>
  </w:abstractNum>
  <w:abstractNum w:abstractNumId="55">
    <w:nsid w:val="3B0FD379"/>
    <w:multiLevelType w:val="hybridMultilevel"/>
    <w:lvl w:ilvl="0">
      <w:lvlJc w:val="left"/>
      <w:lvlText w:val="(%1)"/>
      <w:numFmt w:val="decimal"/>
      <w:start w:val="30"/>
    </w:lvl>
  </w:abstractNum>
  <w:abstractNum w:abstractNumId="56">
    <w:nsid w:val="68EB2F63"/>
    <w:multiLevelType w:val="hybridMultilevel"/>
    <w:lvl w:ilvl="0">
      <w:lvlJc w:val="left"/>
      <w:lvlText w:val="%1."/>
      <w:numFmt w:val="decimal"/>
      <w:start w:val="3"/>
    </w:lvl>
  </w:abstractNum>
  <w:abstractNum w:abstractNumId="57">
    <w:nsid w:val="4962813B"/>
    <w:multiLevelType w:val="hybridMultilevel"/>
    <w:lvl w:ilvl="0">
      <w:lvlJc w:val="left"/>
      <w:lvlText w:val="%1."/>
      <w:numFmt w:val="decimal"/>
      <w:start w:val="4"/>
    </w:lvl>
  </w:abstractNum>
  <w:abstractNum w:abstractNumId="58">
    <w:nsid w:val="60B6DF70"/>
    <w:multiLevelType w:val="hybridMultilevel"/>
    <w:lvl w:ilvl="0">
      <w:lvlJc w:val="left"/>
      <w:lvlText w:val="(%1)"/>
      <w:numFmt w:val="decimal"/>
      <w:start w:val="24"/>
    </w:lvl>
  </w:abstractNum>
  <w:abstractNum w:abstractNumId="59">
    <w:nsid w:val="6A5EE64"/>
    <w:multiLevelType w:val="hybridMultilevel"/>
    <w:lvl w:ilvl="0">
      <w:lvlJc w:val="left"/>
      <w:lvlText w:val="(%1)"/>
      <w:numFmt w:val="lowerRoman"/>
      <w:start w:val="3"/>
    </w:lvl>
  </w:abstractNum>
  <w:abstractNum w:abstractNumId="60">
    <w:nsid w:val="14330624"/>
    <w:multiLevelType w:val="hybridMultilevel"/>
    <w:lvl w:ilvl="0">
      <w:lvlJc w:val="left"/>
      <w:lvlText w:val="%1."/>
      <w:numFmt w:val="decimal"/>
      <w:start w:val="5"/>
    </w:lvl>
  </w:abstractNum>
  <w:abstractNum w:abstractNumId="61">
    <w:nsid w:val="7FFFCA11"/>
    <w:multiLevelType w:val="hybridMultilevel"/>
    <w:lvl w:ilvl="0">
      <w:lvlJc w:val="left"/>
      <w:lvlText w:val="%1."/>
      <w:numFmt w:val="decimal"/>
      <w:start w:val="6"/>
    </w:lvl>
  </w:abstractNum>
  <w:abstractNum w:abstractNumId="62">
    <w:nsid w:val="1A27709E"/>
    <w:multiLevelType w:val="hybridMultilevel"/>
    <w:lvl w:ilvl="0">
      <w:lvlJc w:val="left"/>
      <w:lvlText w:val="(%1)"/>
      <w:numFmt w:val="lowerLetter"/>
      <w:start w:val="2"/>
    </w:lvl>
  </w:abstractNum>
  <w:abstractNum w:abstractNumId="63">
    <w:nsid w:val="71EA1109"/>
    <w:multiLevelType w:val="hybridMultilevel"/>
    <w:lvl w:ilvl="0">
      <w:lvlJc w:val="left"/>
      <w:lvlText w:val="%1."/>
      <w:numFmt w:val="decimal"/>
      <w:start w:val="7"/>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1."/>
      <w:numFmt w:val="decimal"/>
      <w:start w:val="8"/>
    </w:lvl>
  </w:abstractNum>
  <w:abstractNum w:abstractNumId="66">
    <w:nsid w:val="6EB5BD4"/>
    <w:multiLevelType w:val="hybridMultilevel"/>
    <w:lvl w:ilvl="0">
      <w:lvlJc w:val="left"/>
      <w:lvlText w:val="%1."/>
      <w:numFmt w:val="decimal"/>
      <w:start w:val="9"/>
    </w:lvl>
  </w:abstractNum>
  <w:abstractNum w:abstractNumId="67">
    <w:nsid w:val="6F6DD9AC"/>
    <w:multiLevelType w:val="hybridMultilevel"/>
    <w:lvl w:ilvl="0">
      <w:lvlJc w:val="left"/>
      <w:lvlText w:val="%1."/>
      <w:numFmt w:val="decimal"/>
      <w:start w:val="10"/>
    </w:lvl>
  </w:abstractNum>
  <w:abstractNum w:abstractNumId="68">
    <w:nsid w:val="94211F2"/>
    <w:multiLevelType w:val="hybridMultilevel"/>
    <w:lvl w:ilvl="0">
      <w:lvlJc w:val="left"/>
      <w:lvlText w:val="%1."/>
      <w:numFmt w:val="decimal"/>
      <w:start w:val="11"/>
    </w:lvl>
  </w:abstractNum>
  <w:abstractNum w:abstractNumId="69">
    <w:nsid w:val="885E1B"/>
    <w:multiLevelType w:val="hybridMultilevel"/>
    <w:lvl w:ilvl="0">
      <w:lvlJc w:val="left"/>
      <w:lvlText w:val="%1."/>
      <w:numFmt w:val="decimal"/>
      <w:start w:val="12"/>
    </w:lvl>
  </w:abstractNum>
  <w:abstractNum w:abstractNumId="70">
    <w:nsid w:val="76272110"/>
    <w:multiLevelType w:val="hybridMultilevel"/>
    <w:lvl w:ilvl="0">
      <w:lvlJc w:val="left"/>
      <w:lvlText w:val="(%1)"/>
      <w:numFmt w:val="lowerRoman"/>
      <w:start w:val="1"/>
    </w:lvl>
  </w:abstractNum>
  <w:abstractNum w:abstractNumId="71">
    <w:nsid w:val="4C04A8AF"/>
    <w:multiLevelType w:val="hybridMultilevel"/>
    <w:lvl w:ilvl="0">
      <w:lvlJc w:val="left"/>
      <w:lvlText w:val="(%1)"/>
      <w:numFmt w:val="lowerRoman"/>
      <w:start w:val="2"/>
    </w:lvl>
  </w:abstractNum>
  <w:abstractNum w:abstractNumId="72">
    <w:nsid w:val="1716703B"/>
    <w:multiLevelType w:val="hybridMultilevel"/>
    <w:lvl w:ilvl="0">
      <w:lvlJc w:val="left"/>
      <w:lvlText w:val="(%1)"/>
      <w:numFmt w:val="lowerRoman"/>
      <w:start w:val="1"/>
    </w:lvl>
  </w:abstractNum>
  <w:abstractNum w:abstractNumId="73">
    <w:nsid w:val="14E17E33"/>
    <w:multiLevelType w:val="hybridMultilevel"/>
    <w:lvl w:ilvl="0">
      <w:lvlJc w:val="left"/>
      <w:lvlText w:val="(%1)"/>
      <w:numFmt w:val="lowerRoman"/>
      <w:start w:val="1"/>
    </w:lvl>
  </w:abstractNum>
  <w:abstractNum w:abstractNumId="74">
    <w:nsid w:val="3222E7CD"/>
    <w:multiLevelType w:val="hybridMultilevel"/>
    <w:lvl w:ilvl="0">
      <w:lvlJc w:val="left"/>
      <w:lvlText w:val="(%1)"/>
      <w:numFmt w:val="lowerRoman"/>
      <w:start w:val="2"/>
    </w:lvl>
  </w:abstractNum>
  <w:abstractNum w:abstractNumId="75">
    <w:nsid w:val="74DE0EE3"/>
    <w:multiLevelType w:val="hybridMultilevel"/>
    <w:lvl w:ilvl="0">
      <w:lvlJc w:val="left"/>
      <w:lvlText w:val="(%1)"/>
      <w:numFmt w:val="lowerRoman"/>
      <w:start w:val="4"/>
    </w:lvl>
  </w:abstractNum>
  <w:abstractNum w:abstractNumId="76">
    <w:nsid w:val="68EBC550"/>
    <w:multiLevelType w:val="hybridMultilevel"/>
    <w:lvl w:ilvl="0">
      <w:lvlJc w:val="left"/>
      <w:lvlText w:val="(%1)"/>
      <w:numFmt w:val="lowerRoman"/>
      <w:start w:val="1"/>
    </w:lvl>
    <w:lvl w:ilvl="1">
      <w:lvlJc w:val="left"/>
      <w:lvlText w:val="(%2)"/>
      <w:numFmt w:val="lowerRoman"/>
      <w:start w:val="1"/>
    </w:lvl>
  </w:abstractNum>
  <w:abstractNum w:abstractNumId="77">
    <w:nsid w:val="2DF6D648"/>
    <w:multiLevelType w:val="hybridMultilevel"/>
    <w:lvl w:ilvl="0">
      <w:lvlJc w:val="left"/>
      <w:lvlText w:val="%1."/>
      <w:numFmt w:val="decimal"/>
      <w:start w:val="1"/>
    </w:lvl>
  </w:abstractNum>
  <w:abstractNum w:abstractNumId="78">
    <w:nsid w:val="46B7D447"/>
    <w:multiLevelType w:val="hybridMultilevel"/>
    <w:lvl w:ilvl="0">
      <w:lvlJc w:val="left"/>
      <w:lvlText w:val="%1."/>
      <w:numFmt w:val="decimal"/>
      <w:start w:val="2"/>
    </w:lvl>
  </w:abstractNum>
  <w:abstractNum w:abstractNumId="79">
    <w:nsid w:val="4A2AC315"/>
    <w:multiLevelType w:val="hybridMultilevel"/>
    <w:lvl w:ilvl="0">
      <w:lvlJc w:val="left"/>
      <w:lvlText w:val="%1."/>
      <w:numFmt w:val="decimal"/>
      <w:start w:val="3"/>
    </w:lvl>
  </w:abstractNum>
  <w:abstractNum w:abstractNumId="80">
    <w:nsid w:val="39EE015C"/>
    <w:multiLevelType w:val="hybridMultilevel"/>
    <w:lvl w:ilvl="0">
      <w:lvlJc w:val="left"/>
      <w:lvlText w:val="%1."/>
      <w:numFmt w:val="decimal"/>
      <w:start w:val="4"/>
    </w:lvl>
  </w:abstractNum>
  <w:abstractNum w:abstractNumId="81">
    <w:nsid w:val="57FC4FBB"/>
    <w:multiLevelType w:val="hybridMultilevel"/>
    <w:lvl w:ilvl="0">
      <w:lvlJc w:val="left"/>
      <w:lvlText w:val="(%1)"/>
      <w:numFmt w:val="decimal"/>
      <w:start w:val="24"/>
    </w:lvl>
  </w:abstractNum>
  <w:abstractNum w:abstractNumId="82">
    <w:nsid w:val="CC1016F"/>
    <w:multiLevelType w:val="hybridMultilevel"/>
    <w:lvl w:ilvl="0">
      <w:lvlJc w:val="left"/>
      <w:lvlText w:val="(%1)"/>
      <w:numFmt w:val="lowerRoman"/>
      <w:start w:val="3"/>
    </w:lvl>
  </w:abstractNum>
  <w:abstractNum w:abstractNumId="83">
    <w:nsid w:val="43F18422"/>
    <w:multiLevelType w:val="hybridMultilevel"/>
    <w:lvl w:ilvl="0">
      <w:lvlJc w:val="left"/>
      <w:lvlText w:val="%1."/>
      <w:numFmt w:val="decimal"/>
      <w:start w:val="5"/>
    </w:lvl>
  </w:abstractNum>
  <w:abstractNum w:abstractNumId="84">
    <w:nsid w:val="60EF0119"/>
    <w:multiLevelType w:val="hybridMultilevel"/>
    <w:lvl w:ilvl="0">
      <w:lvlJc w:val="left"/>
      <w:lvlText w:val="%1."/>
      <w:numFmt w:val="decimal"/>
      <w:start w:val="6"/>
    </w:lvl>
  </w:abstractNum>
  <w:abstractNum w:abstractNumId="85">
    <w:nsid w:val="26F324BA"/>
    <w:multiLevelType w:val="hybridMultilevel"/>
    <w:lvl w:ilvl="0">
      <w:lvlJc w:val="left"/>
      <w:lvlText w:val="(%1)"/>
      <w:numFmt w:val="lowerLetter"/>
      <w:start w:val="2"/>
    </w:lvl>
  </w:abstractNum>
  <w:abstractNum w:abstractNumId="86">
    <w:nsid w:val="7F01579B"/>
    <w:multiLevelType w:val="hybridMultilevel"/>
    <w:lvl w:ilvl="0">
      <w:lvlJc w:val="left"/>
      <w:lvlText w:val="%1."/>
      <w:numFmt w:val="decimal"/>
      <w:start w:val="7"/>
    </w:lvl>
  </w:abstractNum>
  <w:abstractNum w:abstractNumId="87">
    <w:nsid w:val="49DA307D"/>
    <w:multiLevelType w:val="hybridMultilevel"/>
    <w:lvl w:ilvl="0">
      <w:lvlJc w:val="left"/>
      <w:lvlText w:val="(%1)"/>
      <w:numFmt w:val="lowerLetter"/>
      <w:start w:val="1"/>
    </w:lvl>
  </w:abstractNum>
  <w:abstractNum w:abstractNumId="88">
    <w:nsid w:val="7055A5F5"/>
    <w:multiLevelType w:val="hybridMultilevel"/>
    <w:lvl w:ilvl="0">
      <w:lvlJc w:val="left"/>
      <w:lvlText w:val="%1."/>
      <w:numFmt w:val="decimal"/>
      <w:start w:val="8"/>
    </w:lvl>
  </w:abstractNum>
  <w:abstractNum w:abstractNumId="89">
    <w:nsid w:val="5FB8370B"/>
    <w:multiLevelType w:val="hybridMultilevel"/>
    <w:lvl w:ilvl="0">
      <w:lvlJc w:val="left"/>
      <w:lvlText w:val="%1."/>
      <w:numFmt w:val="decimal"/>
      <w:start w:val="9"/>
    </w:lvl>
  </w:abstractNum>
  <w:abstractNum w:abstractNumId="90">
    <w:nsid w:val="50801EE1"/>
    <w:multiLevelType w:val="hybridMultilevel"/>
    <w:lvl w:ilvl="0">
      <w:lvlJc w:val="left"/>
      <w:lvlText w:val="%1."/>
      <w:numFmt w:val="decimal"/>
      <w:start w:val="10"/>
    </w:lvl>
  </w:abstractNum>
  <w:abstractNum w:abstractNumId="91">
    <w:nsid w:val="488AC1A"/>
    <w:multiLevelType w:val="hybridMultilevel"/>
    <w:lvl w:ilvl="0">
      <w:lvlJc w:val="left"/>
      <w:lvlText w:val="%1."/>
      <w:numFmt w:val="decimal"/>
      <w:start w:val="11"/>
    </w:lvl>
  </w:abstractNum>
  <w:abstractNum w:abstractNumId="92">
    <w:nsid w:val="5FB8011C"/>
    <w:multiLevelType w:val="hybridMultilevel"/>
    <w:lvl w:ilvl="0">
      <w:lvlJc w:val="left"/>
      <w:lvlText w:val="%1."/>
      <w:numFmt w:val="decimal"/>
      <w:start w:val="12"/>
    </w:lvl>
  </w:abstractNum>
  <w:abstractNum w:abstractNumId="93">
    <w:nsid w:val="6AA78F7F"/>
    <w:multiLevelType w:val="hybridMultilevel"/>
    <w:lvl w:ilvl="0">
      <w:lvlJc w:val="left"/>
      <w:lvlText w:val="(%1)"/>
      <w:numFmt w:val="lowerRoman"/>
      <w:start w:val="1"/>
    </w:lvl>
  </w:abstractNum>
  <w:abstractNum w:abstractNumId="94">
    <w:nsid w:val="7672BD23"/>
    <w:multiLevelType w:val="hybridMultilevel"/>
    <w:lvl w:ilvl="0">
      <w:lvlJc w:val="left"/>
      <w:lvlText w:val="(%1)"/>
      <w:numFmt w:val="lowerRoman"/>
      <w:start w:val="1"/>
    </w:lvl>
    <w:lvl w:ilvl="1">
      <w:lvlJc w:val="left"/>
      <w:lvlText w:val="(%2)"/>
      <w:numFmt w:val="lowerRoman"/>
      <w:start w:val="3"/>
    </w:lvl>
  </w:abstractNum>
  <w:abstractNum w:abstractNumId="95">
    <w:nsid w:val="6FC75AF8"/>
    <w:multiLevelType w:val="hybridMultilevel"/>
    <w:lvl w:ilvl="0">
      <w:lvlJc w:val="left"/>
      <w:lvlText w:val="(%1)"/>
      <w:numFmt w:val="lowerRoman"/>
      <w:start w:val="1"/>
    </w:lvl>
  </w:abstractNum>
  <w:abstractNum w:abstractNumId="96">
    <w:nsid w:val="6A5F7029"/>
    <w:multiLevelType w:val="hybridMultilevel"/>
    <w:lvl w:ilvl="0">
      <w:lvlJc w:val="left"/>
      <w:lvlText w:val="(%1)"/>
      <w:numFmt w:val="lowerRoman"/>
      <w:start w:val="2"/>
    </w:lvl>
  </w:abstractNum>
  <w:abstractNum w:abstractNumId="97">
    <w:nsid w:val="7D5E18F8"/>
    <w:multiLevelType w:val="hybridMultilevel"/>
    <w:lvl w:ilvl="0">
      <w:lvlJc w:val="left"/>
      <w:lvlText w:val="(%1)"/>
      <w:numFmt w:val="lowerRoman"/>
      <w:start w:val="1"/>
    </w:lvl>
  </w:abstractNum>
  <w:abstractNum w:abstractNumId="98">
    <w:nsid w:val="5F3534A4"/>
    <w:multiLevelType w:val="hybridMultilevel"/>
    <w:lvl w:ilvl="0">
      <w:lvlJc w:val="left"/>
      <w:lvlText w:val="(%1)"/>
      <w:numFmt w:val="lowerRoman"/>
      <w:start w:val="3"/>
    </w:lvl>
    <w:lvl w:ilvl="1">
      <w:lvlJc w:val="left"/>
      <w:lvlText w:val="(%2)"/>
      <w:numFmt w:val="lowerRoman"/>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2022-04-28T06:12:56Z</dcterms:created>
  <dcterms:modified xsi:type="dcterms:W3CDTF">2022-04-28T06:12:56Z</dcterms:modified>
</cp:coreProperties>
</file>