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86360</wp:posOffset>
            </wp:positionV>
            <wp:extent cx="25558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34290</wp:posOffset>
            </wp:positionV>
            <wp:extent cx="25558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89" w:lineRule="exact"/>
        <w:rPr>
          <w:sz w:val="24"/>
          <w:szCs w:val="24"/>
          <w:color w:val="auto"/>
        </w:rPr>
      </w:pPr>
    </w:p>
    <w:p>
      <w:pPr>
        <w:ind w:left="1420" w:right="3440" w:hanging="865"/>
        <w:spacing w:after="0" w:line="251" w:lineRule="auto"/>
        <w:tabs>
          <w:tab w:leader="none" w:pos="1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color w:val="auto"/>
        </w:rPr>
        <w:t>QUARTERLY REPORT PURSUANT TO SECTION 13 OR 15(d) OF THE SECURITIES EXCHANGE ACT OF 1934</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September 30, 2019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420" w:right="3420" w:hanging="865"/>
        <w:spacing w:after="0" w:line="251" w:lineRule="auto"/>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227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1500" w:type="dxa"/>
            <w:vAlign w:val="bottom"/>
          </w:tcPr>
          <w:p>
            <w:pPr>
              <w:spacing w:after="0"/>
              <w:rPr>
                <w:sz w:val="22"/>
                <w:szCs w:val="22"/>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tcPr>
          <w:p>
            <w:pPr>
              <w:jc w:val="center"/>
              <w:ind w:right="1290"/>
              <w:spacing w:after="0"/>
              <w:rPr>
                <w:sz w:val="20"/>
                <w:szCs w:val="20"/>
                <w:color w:val="auto"/>
              </w:rPr>
            </w:pPr>
            <w:r>
              <w:rPr>
                <w:rFonts w:ascii="Arial" w:cs="Arial" w:eastAsia="Arial" w:hAnsi="Arial"/>
                <w:sz w:val="18"/>
                <w:szCs w:val="18"/>
                <w:color w:val="auto"/>
                <w:w w:val="93"/>
              </w:rPr>
              <w:t>(I.R.S. Employer</w:t>
            </w:r>
          </w:p>
        </w:tc>
      </w:tr>
      <w:tr>
        <w:trPr>
          <w:trHeight w:val="230"/>
        </w:trPr>
        <w:tc>
          <w:tcPr>
            <w:tcW w:w="1500" w:type="dxa"/>
            <w:vAlign w:val="bottom"/>
          </w:tcPr>
          <w:p>
            <w:pPr>
              <w:spacing w:after="0"/>
              <w:rPr>
                <w:sz w:val="20"/>
                <w:szCs w:val="20"/>
                <w:color w:val="auto"/>
              </w:rPr>
            </w:pPr>
          </w:p>
        </w:tc>
        <w:tc>
          <w:tcPr>
            <w:tcW w:w="5720" w:type="dxa"/>
            <w:vAlign w:val="bottom"/>
            <w:gridSpan w:val="2"/>
          </w:tcPr>
          <w:p>
            <w:pPr>
              <w:jc w:val="center"/>
              <w:ind w:right="3150"/>
              <w:spacing w:after="0"/>
              <w:rPr>
                <w:sz w:val="20"/>
                <w:szCs w:val="20"/>
                <w:color w:val="auto"/>
              </w:rPr>
            </w:pPr>
            <w:r>
              <w:rPr>
                <w:rFonts w:ascii="Arial" w:cs="Arial" w:eastAsia="Arial" w:hAnsi="Arial"/>
                <w:sz w:val="18"/>
                <w:szCs w:val="18"/>
                <w:color w:val="auto"/>
                <w:w w:val="92"/>
              </w:rPr>
              <w:t>incorporation or organization)</w:t>
            </w:r>
          </w:p>
        </w:tc>
        <w:tc>
          <w:tcPr>
            <w:tcW w:w="422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1500" w:type="dxa"/>
            <w:vAlign w:val="bottom"/>
          </w:tcPr>
          <w:p>
            <w:pPr>
              <w:spacing w:after="0"/>
              <w:rPr>
                <w:sz w:val="24"/>
                <w:szCs w:val="24"/>
                <w:color w:val="auto"/>
              </w:rPr>
            </w:pPr>
          </w:p>
        </w:tc>
        <w:tc>
          <w:tcPr>
            <w:tcW w:w="572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3"/>
              </w:rPr>
              <w:t>2980 Fairview Park Drive</w:t>
            </w:r>
          </w:p>
        </w:tc>
        <w:tc>
          <w:tcPr>
            <w:tcW w:w="4220" w:type="dxa"/>
            <w:vAlign w:val="bottom"/>
          </w:tcPr>
          <w:p>
            <w:pPr>
              <w:spacing w:after="0"/>
              <w:rPr>
                <w:sz w:val="24"/>
                <w:szCs w:val="24"/>
                <w:color w:val="auto"/>
              </w:rPr>
            </w:pPr>
          </w:p>
        </w:tc>
      </w:tr>
      <w:tr>
        <w:trPr>
          <w:trHeight w:val="270"/>
        </w:trPr>
        <w:tc>
          <w:tcPr>
            <w:tcW w:w="1500" w:type="dxa"/>
            <w:vAlign w:val="bottom"/>
          </w:tcPr>
          <w:p>
            <w:pPr>
              <w:spacing w:after="0"/>
              <w:rPr>
                <w:sz w:val="23"/>
                <w:szCs w:val="23"/>
                <w:color w:val="auto"/>
              </w:rPr>
            </w:pPr>
          </w:p>
        </w:tc>
        <w:tc>
          <w:tcPr>
            <w:tcW w:w="572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2"/>
              </w:rPr>
              <w:t>Falls Church, Virginia</w:t>
            </w:r>
          </w:p>
        </w:tc>
        <w:tc>
          <w:tcPr>
            <w:tcW w:w="4220" w:type="dxa"/>
            <w:vAlign w:val="bottom"/>
          </w:tcPr>
          <w:p>
            <w:pPr>
              <w:jc w:val="right"/>
              <w:ind w:right="2490"/>
              <w:spacing w:after="0"/>
              <w:rPr>
                <w:sz w:val="20"/>
                <w:szCs w:val="20"/>
                <w:color w:val="auto"/>
              </w:rPr>
            </w:pPr>
            <w:r>
              <w:rPr>
                <w:rFonts w:ascii="Arial" w:cs="Arial" w:eastAsia="Arial" w:hAnsi="Arial"/>
                <w:sz w:val="18"/>
                <w:szCs w:val="18"/>
                <w:b w:val="1"/>
                <w:bCs w:val="1"/>
                <w:color w:val="auto"/>
              </w:rPr>
              <w:t>22042</w:t>
            </w:r>
          </w:p>
        </w:tc>
      </w:tr>
      <w:tr>
        <w:trPr>
          <w:trHeight w:val="270"/>
        </w:trPr>
        <w:tc>
          <w:tcPr>
            <w:tcW w:w="72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29"/>
        </w:trPr>
        <w:tc>
          <w:tcPr>
            <w:tcW w:w="1500" w:type="dxa"/>
            <w:vAlign w:val="bottom"/>
          </w:tcPr>
          <w:p>
            <w:pPr>
              <w:spacing w:after="0"/>
              <w:rPr>
                <w:sz w:val="19"/>
                <w:szCs w:val="19"/>
                <w:color w:val="auto"/>
              </w:rPr>
            </w:pPr>
          </w:p>
        </w:tc>
        <w:tc>
          <w:tcPr>
            <w:tcW w:w="57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22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p>
        </w:tc>
        <w:tc>
          <w:tcPr>
            <w:tcW w:w="9940" w:type="dxa"/>
            <w:vAlign w:val="bottom"/>
            <w:gridSpan w:val="3"/>
          </w:tcPr>
          <w:p>
            <w:pPr>
              <w:jc w:val="center"/>
              <w:ind w:right="143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297"/>
        </w:trPr>
        <w:tc>
          <w:tcPr>
            <w:tcW w:w="72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20" w:type="dxa"/>
            <w:vAlign w:val="bottom"/>
          </w:tcPr>
          <w:p>
            <w:pPr>
              <w:spacing w:after="0"/>
              <w:rPr>
                <w:sz w:val="24"/>
                <w:szCs w:val="24"/>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4220" w:type="dxa"/>
            <w:vAlign w:val="bottom"/>
            <w:tcBorders>
              <w:bottom w:val="single" w:sz="8" w:color="auto"/>
            </w:tcBorders>
          </w:tcPr>
          <w:p>
            <w:pPr>
              <w:spacing w:after="0"/>
              <w:rPr>
                <w:sz w:val="11"/>
                <w:szCs w:val="11"/>
                <w:color w:val="auto"/>
              </w:rPr>
            </w:pPr>
          </w:p>
        </w:tc>
      </w:tr>
      <w:tr>
        <w:trPr>
          <w:trHeight w:val="237"/>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Title of each class</w:t>
            </w:r>
          </w:p>
        </w:tc>
        <w:tc>
          <w:tcPr>
            <w:tcW w:w="26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15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4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1500" w:type="dxa"/>
            <w:vAlign w:val="bottom"/>
            <w:tcBorders>
              <w:left w:val="single" w:sz="8" w:color="auto"/>
              <w:bottom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32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21, 2019, 168,532,761 shares of common stock were outstanding.</w:t>
      </w:r>
    </w:p>
    <w:p>
      <w:pPr>
        <w:sectPr>
          <w:pgSz w:w="11900" w:h="16838" w:orient="portrait"/>
          <w:cols w:equalWidth="0" w:num="1">
            <w:col w:w="11440"/>
          </w:cols>
          <w:pgMar w:left="240" w:top="216" w:right="2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Borders>
              <w:bottom w:val="single" w:sz="8" w:color="0000EE"/>
            </w:tcBorders>
            <w:gridSpan w:val="15"/>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80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3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Borders>
              <w:top w:val="single" w:sz="8" w:color="0000EE"/>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Financial Position</w:t>
              </w:r>
            </w:hyperlink>
          </w:p>
        </w:tc>
        <w:tc>
          <w:tcPr>
            <w:tcW w:w="4000" w:type="dxa"/>
            <w:vAlign w:val="bottom"/>
            <w:gridSpan w:val="5"/>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160" w:type="dxa"/>
            <w:vAlign w:val="bottom"/>
            <w:tcBorders>
              <w:top w:val="single" w:sz="8" w:color="0000FF"/>
            </w:tcBorders>
            <w:gridSpan w:val="2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5400" w:type="dxa"/>
            <w:vAlign w:val="bottom"/>
            <w:gridSpan w:val="9"/>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tcBorders>
              <w:bottom w:val="single" w:sz="8" w:color="0000FF"/>
            </w:tcBorders>
            <w:gridSpan w:val="3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Shareholders’ Equity</w:t>
              </w:r>
            </w:hyperlink>
          </w:p>
        </w:tc>
        <w:tc>
          <w:tcPr>
            <w:tcW w:w="4320" w:type="dxa"/>
            <w:vAlign w:val="bottom"/>
            <w:gridSpan w:val="7"/>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Borders>
              <w:top w:val="single" w:sz="8" w:color="0000FF"/>
            </w:tcBorders>
            <w:gridSpan w:val="4"/>
          </w:tcPr>
          <w:p>
            <w:pPr>
              <w:ind w:left="320"/>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1.</w:t>
              </w:r>
            </w:hyperlink>
          </w:p>
        </w:tc>
        <w:tc>
          <w:tcPr>
            <w:tcW w:w="3520" w:type="dxa"/>
            <w:vAlign w:val="bottom"/>
            <w:tcBorders>
              <w:top w:val="single" w:sz="8" w:color="0000FF"/>
            </w:tcBorders>
            <w:gridSpan w:val="23"/>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Basis of Presentation</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9080" w:type="dxa"/>
            <w:vAlign w:val="bottom"/>
            <w:gridSpan w:val="33"/>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Acquisition of Orbital ATK</w:t>
              </w:r>
            </w:hyperlink>
          </w:p>
        </w:tc>
        <w:tc>
          <w:tcPr>
            <w:tcW w:w="30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3.</w:t>
              </w:r>
            </w:hyperlink>
          </w:p>
        </w:tc>
        <w:tc>
          <w:tcPr>
            <w:tcW w:w="9080" w:type="dxa"/>
            <w:vAlign w:val="bottom"/>
            <w:gridSpan w:val="33"/>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Earnings Per Share, Share Repurchases and Dividends on Common Stock</w:t>
              </w:r>
            </w:hyperlink>
          </w:p>
        </w:tc>
        <w:tc>
          <w:tcPr>
            <w:tcW w:w="30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4.</w:t>
              </w:r>
            </w:hyperlink>
          </w:p>
        </w:tc>
        <w:tc>
          <w:tcPr>
            <w:tcW w:w="9080" w:type="dxa"/>
            <w:vAlign w:val="bottom"/>
            <w:gridSpan w:val="33"/>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Income Taxes</w:t>
              </w:r>
            </w:hyperlink>
          </w:p>
        </w:tc>
        <w:tc>
          <w:tcPr>
            <w:tcW w:w="30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5.</w:t>
              </w:r>
            </w:hyperlink>
          </w:p>
        </w:tc>
        <w:tc>
          <w:tcPr>
            <w:tcW w:w="9080" w:type="dxa"/>
            <w:vAlign w:val="bottom"/>
            <w:gridSpan w:val="33"/>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Fair Value of Financial Instruments</w:t>
              </w:r>
            </w:hyperlink>
          </w:p>
        </w:tc>
        <w:tc>
          <w:tcPr>
            <w:tcW w:w="30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9080" w:type="dxa"/>
            <w:vAlign w:val="bottom"/>
            <w:gridSpan w:val="33"/>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Investigations, Claims and Litigation</w:t>
              </w:r>
            </w:hyperlink>
          </w:p>
        </w:tc>
        <w:tc>
          <w:tcPr>
            <w:tcW w:w="30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9080" w:type="dxa"/>
            <w:vAlign w:val="bottom"/>
            <w:gridSpan w:val="33"/>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Commitments and Contingencies</w:t>
              </w:r>
            </w:hyperlink>
          </w:p>
        </w:tc>
        <w:tc>
          <w:tcPr>
            <w:tcW w:w="30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8.</w:t>
              </w:r>
            </w:hyperlink>
          </w:p>
        </w:tc>
        <w:tc>
          <w:tcPr>
            <w:tcW w:w="9080" w:type="dxa"/>
            <w:vAlign w:val="bottom"/>
            <w:gridSpan w:val="3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Retirement Benefits</w:t>
              </w:r>
            </w:hyperlink>
          </w:p>
        </w:tc>
        <w:tc>
          <w:tcPr>
            <w:tcW w:w="30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ind w:left="680"/>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9.</w:t>
              </w:r>
            </w:hyperlink>
          </w:p>
        </w:tc>
        <w:tc>
          <w:tcPr>
            <w:tcW w:w="9080" w:type="dxa"/>
            <w:vAlign w:val="bottom"/>
            <w:gridSpan w:val="3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Stock Compensation Plans and Other Compensation Arrangements</w:t>
              </w:r>
            </w:hyperlink>
          </w:p>
        </w:tc>
        <w:tc>
          <w:tcPr>
            <w:tcW w:w="30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6"/>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10. Leases</w:t>
              </w:r>
            </w:hyperlink>
          </w:p>
        </w:tc>
        <w:tc>
          <w:tcPr>
            <w:tcW w:w="4260" w:type="dxa"/>
            <w:vAlign w:val="bottom"/>
            <w:gridSpan w:val="23"/>
          </w:tcPr>
          <w:p>
            <w:pPr>
              <w:spacing w:after="0"/>
              <w:rPr>
                <w:sz w:val="21"/>
                <w:szCs w:val="21"/>
                <w:color w:val="auto"/>
              </w:rPr>
            </w:pPr>
          </w:p>
        </w:tc>
        <w:tc>
          <w:tcPr>
            <w:tcW w:w="4220" w:type="dxa"/>
            <w:vAlign w:val="bottom"/>
            <w:gridSpan w:val="6"/>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1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11. Segment Information</w:t>
              </w:r>
            </w:hyperlink>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20" w:type="dxa"/>
            <w:vAlign w:val="bottom"/>
            <w:gridSpan w:val="29"/>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Report of Independent Registered Public Accounting Firm</w:t>
              </w:r>
            </w:hyperlink>
          </w:p>
        </w:tc>
        <w:tc>
          <w:tcPr>
            <w:tcW w:w="5340" w:type="dxa"/>
            <w:vAlign w:val="bottom"/>
            <w:gridSpan w:val="8"/>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24</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3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6100" w:type="dxa"/>
            <w:vAlign w:val="bottom"/>
            <w:tcBorders>
              <w:top w:val="single" w:sz="8" w:color="0000EE"/>
            </w:tcBorders>
            <w:gridSpan w:val="3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Overview</w:t>
              </w:r>
            </w:hyperlink>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Consolidated Operating Results</w:t>
              </w:r>
            </w:hyperlink>
          </w:p>
        </w:tc>
        <w:tc>
          <w:tcPr>
            <w:tcW w:w="300" w:type="dxa"/>
            <w:vAlign w:val="bottom"/>
            <w:gridSpan w:val="3"/>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6"/>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Segment Operating Results</w:t>
              </w:r>
            </w:hyperlink>
          </w:p>
        </w:tc>
        <w:tc>
          <w:tcPr>
            <w:tcW w:w="7340" w:type="dxa"/>
            <w:vAlign w:val="bottom"/>
            <w:gridSpan w:val="21"/>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gridSpan w:val="1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Product and Service Analysis</w:t>
              </w:r>
            </w:hyperlink>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gridSpan w:val="5"/>
          </w:tcPr>
          <w:p>
            <w:pPr>
              <w:spacing w:after="0"/>
              <w:rPr>
                <w:rFonts w:ascii="Arial" w:cs="Arial" w:eastAsia="Arial" w:hAnsi="Arial"/>
                <w:sz w:val="18"/>
                <w:szCs w:val="18"/>
                <w:color w:val="0000EE"/>
                <w:w w:val="78"/>
              </w:rPr>
            </w:pPr>
            <w:hyperlink w:anchor="page35">
              <w:r>
                <w:rPr>
                  <w:rFonts w:ascii="Arial" w:cs="Arial" w:eastAsia="Arial" w:hAnsi="Arial"/>
                  <w:sz w:val="18"/>
                  <w:szCs w:val="18"/>
                  <w:color w:val="0000EE"/>
                  <w:w w:val="78"/>
                </w:rPr>
                <w:t>Backlog</w:t>
              </w:r>
            </w:hyperlink>
          </w:p>
        </w:tc>
        <w:tc>
          <w:tcPr>
            <w:tcW w:w="1580" w:type="dxa"/>
            <w:vAlign w:val="bottom"/>
            <w:gridSpan w:val="10"/>
          </w:tcPr>
          <w:p>
            <w:pPr>
              <w:spacing w:after="0"/>
              <w:rPr>
                <w:sz w:val="21"/>
                <w:szCs w:val="21"/>
                <w:color w:val="auto"/>
              </w:rPr>
            </w:pPr>
          </w:p>
        </w:tc>
        <w:tc>
          <w:tcPr>
            <w:tcW w:w="7440" w:type="dxa"/>
            <w:vAlign w:val="bottom"/>
            <w:gridSpan w:val="22"/>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20" w:type="dxa"/>
            <w:vAlign w:val="bottom"/>
            <w:gridSpan w:val="17"/>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Liquidity and Capital Resources</w:t>
              </w:r>
            </w:hyperlink>
          </w:p>
        </w:tc>
        <w:tc>
          <w:tcPr>
            <w:tcW w:w="7240" w:type="dxa"/>
            <w:vAlign w:val="bottom"/>
            <w:gridSpan w:val="2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94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Accounting Standards Updates</w:t>
              </w:r>
            </w:hyperlink>
          </w:p>
        </w:tc>
        <w:tc>
          <w:tcPr>
            <w:tcW w:w="5620" w:type="dxa"/>
            <w:vAlign w:val="bottom"/>
            <w:gridSpan w:val="11"/>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60" w:type="dxa"/>
            <w:vAlign w:val="bottom"/>
            <w:gridSpan w:val="3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gridSpan w:val="9"/>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11"/>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Contractual Obligations</w:t>
              </w:r>
            </w:hyperlink>
          </w:p>
        </w:tc>
        <w:tc>
          <w:tcPr>
            <w:tcW w:w="1540" w:type="dxa"/>
            <w:vAlign w:val="bottom"/>
            <w:gridSpan w:val="13"/>
          </w:tcPr>
          <w:p>
            <w:pPr>
              <w:spacing w:after="0"/>
              <w:rPr>
                <w:sz w:val="21"/>
                <w:szCs w:val="21"/>
                <w:color w:val="auto"/>
              </w:rPr>
            </w:pPr>
          </w:p>
        </w:tc>
        <w:tc>
          <w:tcPr>
            <w:tcW w:w="6300" w:type="dxa"/>
            <w:vAlign w:val="bottom"/>
            <w:gridSpan w:val="13"/>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3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240" w:type="dxa"/>
            <w:vAlign w:val="bottom"/>
            <w:tcBorders>
              <w:right w:val="single" w:sz="8" w:color="0000EE"/>
            </w:tcBorders>
            <w:gridSpan w:val="7"/>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574"/>
        </w:trPr>
        <w:tc>
          <w:tcPr>
            <w:tcW w:w="1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gridSpan w:val="17"/>
          </w:tcPr>
          <w:p>
            <w:pPr>
              <w:jc w:val="center"/>
              <w:ind w:right="396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gridSpan w:val="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Legal Proceedings</w:t>
              </w:r>
            </w:hyperlink>
          </w:p>
        </w:tc>
        <w:tc>
          <w:tcPr>
            <w:tcW w:w="1780" w:type="dxa"/>
            <w:vAlign w:val="bottom"/>
            <w:gridSpan w:val="13"/>
          </w:tcPr>
          <w:p>
            <w:pPr>
              <w:spacing w:after="0"/>
              <w:rPr>
                <w:sz w:val="21"/>
                <w:szCs w:val="21"/>
                <w:color w:val="auto"/>
              </w:rPr>
            </w:pPr>
          </w:p>
        </w:tc>
        <w:tc>
          <w:tcPr>
            <w:tcW w:w="2840" w:type="dxa"/>
            <w:vAlign w:val="bottom"/>
            <w:tcBorders>
              <w:top w:val="single" w:sz="8" w:color="0000EE"/>
            </w:tcBorders>
            <w:gridSpan w:val="13"/>
          </w:tcPr>
          <w:p>
            <w:pPr>
              <w:spacing w:after="0"/>
              <w:rPr>
                <w:sz w:val="21"/>
                <w:szCs w:val="21"/>
                <w:color w:val="auto"/>
              </w:rPr>
            </w:pPr>
          </w:p>
        </w:tc>
        <w:tc>
          <w:tcPr>
            <w:tcW w:w="3960" w:type="dxa"/>
            <w:vAlign w:val="bottom"/>
            <w:gridSpan w:val="4"/>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020" w:type="dxa"/>
            <w:vAlign w:val="bottom"/>
            <w:gridSpan w:val="20"/>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8580" w:type="dxa"/>
            <w:vAlign w:val="bottom"/>
            <w:gridSpan w:val="3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60" w:type="dxa"/>
            <w:vAlign w:val="bottom"/>
            <w:gridSpan w:val="22"/>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28"/>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560" w:type="dxa"/>
            <w:vAlign w:val="bottom"/>
            <w:gridSpan w:val="10"/>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4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40" w:type="dxa"/>
            <w:vAlign w:val="bottom"/>
            <w:gridSpan w:val="5"/>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Signatures</w:t>
              </w:r>
            </w:hyperlink>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39</w:t>
              </w:r>
            </w:hyperlink>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71" w:lineRule="exact"/>
        <w:rPr>
          <w:sz w:val="20"/>
          <w:szCs w:val="20"/>
          <w:color w:val="auto"/>
        </w:rPr>
      </w:pPr>
    </w:p>
    <w:p>
      <w:pPr>
        <w:ind w:right="3360"/>
        <w:spacing w:after="0" w:line="282"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80" w:type="dxa"/>
            <w:vAlign w:val="bottom"/>
            <w:gridSpan w:val="4"/>
          </w:tcPr>
          <w:p>
            <w:pPr>
              <w:ind w:left="200"/>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6080" w:type="dxa"/>
            <w:vAlign w:val="bottom"/>
          </w:tcPr>
          <w:p>
            <w:pPr>
              <w:spacing w:after="0"/>
              <w:rPr>
                <w:sz w:val="20"/>
                <w:szCs w:val="20"/>
                <w:color w:val="auto"/>
              </w:rPr>
            </w:pPr>
          </w:p>
        </w:tc>
        <w:tc>
          <w:tcPr>
            <w:tcW w:w="2860" w:type="dxa"/>
            <w:vAlign w:val="bottom"/>
            <w:gridSpan w:val="4"/>
          </w:tcPr>
          <w:p>
            <w:pPr>
              <w:jc w:val="right"/>
              <w:ind w:right="110"/>
              <w:spacing w:after="0"/>
              <w:rPr>
                <w:sz w:val="20"/>
                <w:szCs w:val="20"/>
                <w:color w:val="auto"/>
              </w:rPr>
            </w:pPr>
            <w:r>
              <w:rPr>
                <w:rFonts w:ascii="Arial" w:cs="Arial" w:eastAsia="Arial" w:hAnsi="Arial"/>
                <w:sz w:val="18"/>
                <w:szCs w:val="18"/>
                <w:color w:val="auto"/>
                <w:w w:val="92"/>
              </w:rPr>
              <w:t>Three Months Ended September 30</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30</w:t>
            </w:r>
          </w:p>
        </w:tc>
        <w:tc>
          <w:tcPr>
            <w:tcW w:w="8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5,997</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5,614</w:t>
            </w:r>
          </w:p>
        </w:tc>
        <w:tc>
          <w:tcPr>
            <w:tcW w:w="40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17,605</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14,693</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2,478</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2,471</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7,515</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7,246</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8,475</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8,085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25,120</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21,939</w:t>
            </w:r>
          </w:p>
        </w:tc>
      </w:tr>
      <w:tr>
        <w:trPr>
          <w:trHeight w:val="27"/>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4,777</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4,233</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13,955</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11,200</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1,971</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1,863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5,635</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776</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817</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2,267</w:t>
            </w:r>
          </w:p>
        </w:tc>
      </w:tr>
      <w:tr>
        <w:trPr>
          <w:trHeight w:val="27"/>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951</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(123)</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FAS (non-service) pension benefit</w:t>
            </w:r>
          </w:p>
        </w:tc>
        <w:tc>
          <w:tcPr>
            <w:tcW w:w="24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200</w:t>
            </w:r>
          </w:p>
        </w:tc>
        <w:tc>
          <w:tcPr>
            <w:tcW w:w="5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782</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27</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1,055</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1,364</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3,117</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3,339</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122</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933</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1,244</w:t>
            </w:r>
          </w:p>
        </w:tc>
        <w:tc>
          <w:tcPr>
            <w:tcW w:w="4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2,657</w:t>
            </w:r>
          </w:p>
        </w:tc>
        <w:tc>
          <w:tcPr>
            <w:tcW w:w="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2,873</w:t>
            </w:r>
          </w:p>
        </w:tc>
      </w:tr>
      <w:tr>
        <w:trPr>
          <w:trHeight w:val="34"/>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6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5.52</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7.15</w:t>
            </w:r>
          </w:p>
        </w:tc>
        <w:tc>
          <w:tcPr>
            <w:tcW w:w="40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15.67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16.48</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169.1</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174.1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5.49</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7.11</w:t>
            </w:r>
          </w:p>
        </w:tc>
        <w:tc>
          <w:tcPr>
            <w:tcW w:w="40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15.60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16.40</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2"/>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169.9</w:t>
            </w: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174.9</w:t>
            </w:r>
          </w:p>
        </w:tc>
        <w:tc>
          <w:tcPr>
            <w:tcW w:w="4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170.3</w:t>
            </w:r>
          </w:p>
        </w:tc>
        <w:tc>
          <w:tcPr>
            <w:tcW w:w="4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w:t>
            </w:r>
          </w:p>
        </w:tc>
      </w:tr>
      <w:tr>
        <w:trPr>
          <w:trHeight w:val="270"/>
        </w:trPr>
        <w:tc>
          <w:tcPr>
            <w:tcW w:w="60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above)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933</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1,244</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unamortized prior service credit,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921</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1,226</w:t>
            </w:r>
          </w:p>
        </w:tc>
        <w:tc>
          <w:tcPr>
            <w:tcW w:w="4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2,622</w:t>
            </w:r>
          </w:p>
        </w:tc>
        <w:tc>
          <w:tcPr>
            <w:tcW w:w="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w:t>
            </w:r>
          </w:p>
        </w:tc>
      </w:tr>
      <w:tr>
        <w:trPr>
          <w:trHeight w:val="34"/>
        </w:trPr>
        <w:tc>
          <w:tcPr>
            <w:tcW w:w="6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526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September 30,</w:t>
            </w:r>
          </w:p>
        </w:tc>
        <w:tc>
          <w:tcPr>
            <w:tcW w:w="3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24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1,127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2,111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5,777</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810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1,011</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10,836</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37"/>
        </w:trPr>
        <w:tc>
          <w:tcPr>
            <w:tcW w:w="76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0"/>
              </w:rPr>
              <w:t>Property, plant and equipment, net of accumulated depreciation of $5,709 for 2019 and $5,369 for 2018</w:t>
            </w:r>
          </w:p>
        </w:tc>
        <w:tc>
          <w:tcPr>
            <w:tcW w:w="2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6,611</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1,511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18,707</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18,672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1,123</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40,553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1,744</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2,127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2,524</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8,416</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37"/>
        </w:trPr>
        <w:tc>
          <w:tcPr>
            <w:tcW w:w="76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$45 for 2019 and $517 for 2018</w:t>
            </w:r>
          </w:p>
        </w:tc>
        <w:tc>
          <w:tcPr>
            <w:tcW w:w="2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13,826</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5,431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1,304</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1,734</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30,822</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29,466</w:t>
            </w:r>
          </w:p>
        </w:tc>
        <w:tc>
          <w:tcPr>
            <w:tcW w:w="0" w:type="dxa"/>
            <w:vAlign w:val="bottom"/>
          </w:tcPr>
          <w:p>
            <w:pPr>
              <w:spacing w:after="0"/>
              <w:rPr>
                <w:sz w:val="1"/>
                <w:szCs w:val="1"/>
                <w:color w:val="auto"/>
              </w:rPr>
            </w:pPr>
          </w:p>
        </w:tc>
      </w:tr>
      <w:tr>
        <w:trPr>
          <w:trHeight w:val="318"/>
        </w:trPr>
        <w:tc>
          <w:tcPr>
            <w:tcW w:w="76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7)</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w w:val="98"/>
              </w:rPr>
              <w:t>Preferred stock, $1 par value; 10,000,000 shares authorized; no shares issued and outstanding</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stock, $1 par value; 800,000,000 shares authorized; issued and outstanding: 2019—</w:t>
            </w:r>
          </w:p>
        </w:tc>
        <w:tc>
          <w:tcPr>
            <w:tcW w:w="240" w:type="dxa"/>
            <w:vAlign w:val="bottom"/>
            <w:shd w:val="clear" w:color="auto" w:fill="CCEEFF"/>
          </w:tcPr>
          <w:p>
            <w:pPr>
              <w:spacing w:after="0"/>
              <w:rPr>
                <w:sz w:val="19"/>
                <w:szCs w:val="19"/>
                <w:color w:val="auto"/>
              </w:rPr>
            </w:pPr>
          </w:p>
        </w:tc>
        <w:tc>
          <w:tcPr>
            <w:tcW w:w="16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169</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168,701,653 and 2018—170,607,336</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vMerge w:val="continue"/>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9,649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9,731</w:t>
            </w:r>
          </w:p>
        </w:tc>
        <w:tc>
          <w:tcPr>
            <w:tcW w:w="3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40,553</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37,653</w:t>
            </w:r>
          </w:p>
        </w:tc>
        <w:tc>
          <w:tcPr>
            <w:tcW w:w="0" w:type="dxa"/>
            <w:vAlign w:val="bottom"/>
          </w:tcPr>
          <w:p>
            <w:pPr>
              <w:spacing w:after="0"/>
              <w:rPr>
                <w:sz w:val="1"/>
                <w:szCs w:val="1"/>
                <w:color w:val="auto"/>
              </w:rPr>
            </w:pPr>
          </w:p>
        </w:tc>
      </w:tr>
      <w:tr>
        <w:trPr>
          <w:trHeight w:val="34"/>
        </w:trPr>
        <w:tc>
          <w:tcPr>
            <w:tcW w:w="7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w w:val="93"/>
              </w:rPr>
              <w:t>Nine Months Ended September</w:t>
            </w:r>
          </w:p>
        </w:tc>
      </w:tr>
      <w:tr>
        <w:trPr>
          <w:trHeight w:val="230"/>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30</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2,657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737</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Inventoried costs,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Retiree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1,833</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91"/>
        </w:trPr>
        <w:tc>
          <w:tcPr>
            <w:tcW w:w="9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Acquisition of Orbital ATK, net of cash acquired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r>
      <w:tr>
        <w:trPr>
          <w:trHeight w:val="291"/>
        </w:trPr>
        <w:tc>
          <w:tcPr>
            <w:tcW w:w="9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payments to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borrowings on commercial paper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11,225</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1,127</w:t>
            </w:r>
          </w:p>
        </w:tc>
        <w:tc>
          <w:tcPr>
            <w:tcW w:w="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34"/>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ind w:right="370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w w:val="90"/>
              </w:rPr>
              <w:t>Three Months Ended September</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w w:val="94"/>
              </w:rPr>
              <w:t>Nine Months Ended September</w:t>
            </w:r>
          </w:p>
        </w:tc>
      </w:tr>
      <w:tr>
        <w:trPr>
          <w:trHeight w:val="230"/>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30</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30</w:t>
            </w:r>
          </w:p>
        </w:tc>
        <w:tc>
          <w:tcPr>
            <w:tcW w:w="84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174</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Shares issued for employee stock awards and options</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Paid-in capital</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9,120</w:t>
            </w:r>
          </w:p>
        </w:tc>
        <w:tc>
          <w:tcPr>
            <w:tcW w:w="4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8,066</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8,068</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6,913</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from adoption of ASU 2018-02 and ASU 2016-01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1,244</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(658)</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9,649</w:t>
            </w: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8,961</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9,649</w:t>
            </w: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8,961</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other 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4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from adoption of ASU 2018-02 and ASU 2016-01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9,731</w:t>
            </w:r>
          </w:p>
        </w:tc>
        <w:tc>
          <w:tcPr>
            <w:tcW w:w="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9,103</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9,731</w:t>
            </w:r>
          </w:p>
        </w:tc>
        <w:tc>
          <w:tcPr>
            <w:tcW w:w="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9,103</w:t>
            </w:r>
          </w:p>
        </w:tc>
      </w:tr>
      <w:tr>
        <w:trPr>
          <w:trHeight w:val="34"/>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6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Material intercompany accounts, transactions and profits are eliminated in consolidation. Investments in equity securities and joint ventures where the company has significant influence, but not control, are accounted for using the equity method.</w:t>
      </w:r>
    </w:p>
    <w:p>
      <w:pPr>
        <w:spacing w:after="0" w:line="4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On June 6, 2018 (the “Merger date”), </w:t>
      </w:r>
      <w:r>
        <w:rPr>
          <w:rFonts w:ascii="Arial" w:cs="Arial" w:eastAsia="Arial" w:hAnsi="Arial"/>
          <w:sz w:val="16"/>
          <w:szCs w:val="16"/>
          <w:color w:val="070808"/>
        </w:rPr>
        <w:t>the company completed its previously announced acquisition of Orbital ATK, Inc. (“Orbital ATK”) (the “Merger”)</w:t>
      </w:r>
      <w:r>
        <w:rPr>
          <w:rFonts w:ascii="Arial" w:cs="Arial" w:eastAsia="Arial" w:hAnsi="Arial"/>
          <w:sz w:val="16"/>
          <w:szCs w:val="16"/>
          <w:color w:val="auto"/>
        </w:rPr>
        <w:t xml:space="preserve">. On the Merger date, </w:t>
      </w:r>
      <w:r>
        <w:rPr>
          <w:rFonts w:ascii="Arial" w:cs="Arial" w:eastAsia="Arial" w:hAnsi="Arial"/>
          <w:sz w:val="16"/>
          <w:szCs w:val="16"/>
          <w:color w:val="070808"/>
        </w:rPr>
        <w:t>Orbital ATK became a wholly-owned subsidiary of the company and its name was changed to Northrop Grumman Innovation Systems, Inc.,</w:t>
      </w:r>
      <w:r>
        <w:rPr>
          <w:rFonts w:ascii="Arial" w:cs="Arial" w:eastAsia="Arial" w:hAnsi="Arial"/>
          <w:sz w:val="16"/>
          <w:szCs w:val="16"/>
          <w:color w:val="auto"/>
        </w:rPr>
        <w:t xml:space="preserve"> </w:t>
      </w:r>
      <w:r>
        <w:rPr>
          <w:rFonts w:ascii="Arial" w:cs="Arial" w:eastAsia="Arial" w:hAnsi="Arial"/>
          <w:sz w:val="16"/>
          <w:szCs w:val="16"/>
          <w:color w:val="070808"/>
        </w:rPr>
        <w:t xml:space="preserve">which we established as </w:t>
      </w:r>
      <w:r>
        <w:rPr>
          <w:rFonts w:ascii="Arial" w:cs="Arial" w:eastAsia="Arial" w:hAnsi="Arial"/>
          <w:sz w:val="16"/>
          <w:szCs w:val="16"/>
          <w:color w:val="000000"/>
        </w:rPr>
        <w:t>a new, fourth business sector</w:t>
      </w:r>
      <w:r>
        <w:rPr>
          <w:rFonts w:ascii="Arial" w:cs="Arial" w:eastAsia="Arial" w:hAnsi="Arial"/>
          <w:sz w:val="16"/>
          <w:szCs w:val="16"/>
          <w:color w:val="070808"/>
        </w:rPr>
        <w:t xml:space="preserve"> (“Innovation Systems”)</w:t>
      </w:r>
      <w:r>
        <w:rPr>
          <w:rFonts w:ascii="Arial" w:cs="Arial" w:eastAsia="Arial" w:hAnsi="Arial"/>
          <w:sz w:val="16"/>
          <w:szCs w:val="16"/>
          <w:color w:val="000000"/>
        </w:rPr>
        <w:t>. The operating results of Innovation Systems subsequent to the Merger date</w:t>
      </w:r>
      <w:r>
        <w:rPr>
          <w:rFonts w:ascii="Arial" w:cs="Arial" w:eastAsia="Arial" w:hAnsi="Arial"/>
          <w:sz w:val="16"/>
          <w:szCs w:val="16"/>
          <w:color w:val="070808"/>
        </w:rPr>
        <w:t xml:space="preserve"> </w:t>
      </w:r>
      <w:r>
        <w:rPr>
          <w:rFonts w:ascii="Arial" w:cs="Arial" w:eastAsia="Arial" w:hAnsi="Arial"/>
          <w:sz w:val="16"/>
          <w:szCs w:val="16"/>
          <w:color w:val="000000"/>
        </w:rPr>
        <w:t xml:space="preserve">have been included in the company’s unaudited condensed consolidated results of operations. </w:t>
      </w:r>
      <w:r>
        <w:rPr>
          <w:rFonts w:ascii="Arial" w:cs="Arial" w:eastAsia="Arial" w:hAnsi="Arial"/>
          <w:sz w:val="16"/>
          <w:szCs w:val="16"/>
          <w:color w:val="070808"/>
        </w:rPr>
        <w:t>See N</w:t>
      </w:r>
      <w:r>
        <w:rPr>
          <w:rFonts w:ascii="Arial" w:cs="Arial" w:eastAsia="Arial" w:hAnsi="Arial"/>
          <w:sz w:val="16"/>
          <w:szCs w:val="16"/>
          <w:color w:val="000000"/>
        </w:rPr>
        <w:t>ote 2 for further information regarding the Merger.</w:t>
      </w:r>
    </w:p>
    <w:p>
      <w:pPr>
        <w:spacing w:after="0" w:line="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2019, the company was aligned in four operating sectors: Aerospace Systems, Innovation Systems, Mission Systems and Technology Services. In September 2019, the company announced changes effective January 1, 2020, which are intended to better align the company’s broad portfolio to serve its customers’ needs. There will be four sectors: Aeronautics Systems, Defense Systems, Mission Systems and Space Systems. This realignment is not reflected in any of the accompanying financial information.</w:t>
      </w:r>
    </w:p>
    <w:p>
      <w:pPr>
        <w:spacing w:after="0" w:line="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2018 Annual Report on Form 10-K.</w:t>
      </w:r>
    </w:p>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As previously announced, effective January 1, 2019, we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using the optional transition method to apply the standard through a cumulative effect adjustment in the period of adoption. The adoption of this standard is reflected in the amounts and disclosures set forth in this Form 10-Q.</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The majority of our sales are derived from long-term contracts with the U.S. government for the production of goods, the provision of services, or a combination of both. The company classifies sales as product or service based on the predominant attributes of each performance obligation.</w:t>
      </w:r>
    </w:p>
    <w:p>
      <w:pPr>
        <w:spacing w:after="0" w:line="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recognizes revenue for each separately identifiable performance obligation in a contract representing a promise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a customer, most commonly when a contract covers multiple phases of the product lifecycle (e.g., development, production, sustainment, etc.). In those cases, the company accounts for the distinct contract deliverables as separate performance obligations and allocates the transaction price to each performance obligation based on its relative standalone selling price, which is generally estimated using a cost plus a reasonable margin approach. Warranties are provided on certain contracts, but do not typically provide for services beyond standard assurances and are therefore not considered to be separate performance obligations. Assets recognized from the costs to obtain or fulfill a contract are not material.</w:t>
      </w:r>
    </w:p>
    <w:p>
      <w:pPr>
        <w:spacing w:after="0" w:line="3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Contracts are often modified for changes in contract specifications or requirements, which may result in scope and/or price changes. Most of the company’s contract modifications are for goods or services that are not distinct in the context of the contract and are therefore accounted for as part of the original performance obligation through a cumulative estimate-at-completion (EAC) adjustment.</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recognizes revenue as control is transferred to the customer, either over time or at a point in time. In general, our U.S. government contracts contain termination for convenience and/or other clauses that generally provide the customer rights to goods produced and/or in-process. Similarly, our non-U.S. government contracts generally contain contractual termination clauses or entitle the company to payment for work performed to date for goods and services that do not have an alternative use. As control is effectively transferred while we perform on our contracts, we generally recognize revenue over time using the cost-to-cost method (cost incurred relative to total cost estimated at completion) as the company believes this represents the most appropriate measurement towards satisfaction of its performance obligations. Revenue for contracts in which the control of goods produced does not transfer until delivery to the customer is recognized at a point in time (i.e., typically upon delivery).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costs, is charged against income in the period the loss is identified. Each loss provision is first offset against costs included in Unbilled receivables or Inventoried costs; remaining amounts are reflected in Other current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88"/>
              </w:rPr>
              <w:t>Three Months Ended September</w:t>
            </w:r>
          </w:p>
        </w:tc>
        <w:tc>
          <w:tcPr>
            <w:tcW w:w="244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30</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70"/>
        </w:trPr>
        <w:tc>
          <w:tcPr>
            <w:tcW w:w="65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0.58</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0.67</w:t>
            </w: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r>
    </w:tbl>
    <w:p>
      <w:pPr>
        <w:spacing w:after="0" w:line="117"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5"/>
          <w:szCs w:val="15"/>
          <w:color w:val="auto"/>
        </w:rPr>
        <w:t>Based on a 21 percent statutory tax rate.</w:t>
      </w:r>
    </w:p>
    <w:p>
      <w:pPr>
        <w:spacing w:after="0" w:line="7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September 30, 2019 and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w:t>
      </w:r>
    </w:p>
    <w:p>
      <w:pPr>
        <w:spacing w:after="0" w:line="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Company backlog as of September 30, 2019 was $65.0 billion. We expect to recognize approximately 40 percent and 65 percent of our September 30, 2019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long-cycle nature of many of our contracts. Accumulated contract costs in unbilled receivables include costs such as direct production costs, factory and engineering overhead, production tooling costs, and allowable G&amp;A. Unbilled receivables also include certain estimates of variable consideration described above. These contract assets are not considered a significant financing component of the company’s contracts as the payment terms are intended to protect the customer in the event the company does not perform on its obligations under the contract.</w:t>
      </w:r>
    </w:p>
    <w:p>
      <w:pPr>
        <w:spacing w:after="0" w:line="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Contract liabilities are equivalent to and reflected as Advance payments and billings in excess of costs incurred in the unaudited condensed consolidated statements of financial position. Certain customers make advance payments prior to the company’s satisfaction of its obligations on the contract. These amounts are recorded as contract liabilities until such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5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amount of revenue recognized for the three and nine months ended September 30, 2019 that was included in the December 31, 2018 contract liability balance was $209 million and $1.2 billion, respectively. The amount of revenue recognized for the three and nine months ended September 30, 2018 that was included in the December 31, 2017 contract liability balance was $168 million and $1.2 billion, respectively.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See Note 11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b w:val="1"/>
                <w:bCs w:val="1"/>
                <w:color w:val="auto"/>
                <w:w w:val="95"/>
              </w:rPr>
              <w:t>September 30,</w:t>
            </w:r>
          </w:p>
        </w:tc>
        <w:tc>
          <w:tcPr>
            <w:tcW w:w="3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December 31,</w:t>
            </w:r>
          </w:p>
        </w:tc>
      </w:tr>
      <w:tr>
        <w:trPr>
          <w:trHeight w:val="234"/>
        </w:trPr>
        <w:tc>
          <w:tcPr>
            <w:tcW w:w="69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940" w:type="dxa"/>
            <w:vAlign w:val="bottom"/>
          </w:tcPr>
          <w:p>
            <w:pPr>
              <w:spacing w:after="0"/>
              <w:rPr>
                <w:sz w:val="20"/>
                <w:szCs w:val="20"/>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2018</w:t>
            </w:r>
          </w:p>
        </w:tc>
      </w:tr>
      <w:tr>
        <w:trPr>
          <w:trHeight w:val="27"/>
        </w:trPr>
        <w:tc>
          <w:tcPr>
            <w:tcW w:w="6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 net of tax expense of $21 for 2019 and $32 for 2018</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Cumulative translation adjustment</w:t>
            </w:r>
          </w:p>
        </w:tc>
        <w:tc>
          <w:tcPr>
            <w:tcW w:w="9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34"/>
        </w:trPr>
        <w:tc>
          <w:tcPr>
            <w:tcW w:w="6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Reclassifications from accumulated other comprehensive loss to net earnings related to the amortization of prior service credit were $12 million and $35 million, net of taxes, for the three and nine months ended September 30, 2019, respectively and were $15 million and $45 million, net of taxes, for the three and nine months ended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September 30, 2018, respectively. The reclassifications are included in the computation of net periodic pension cost (benefit). See Note 8 for further information.</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Reclassifications from accumulated other comprehensive loss to net earnings relating to cumulative translation adjustments and effective cash flow hedges were not material for the three and nine months ended September 30, 2019 and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company leases certain buildings, land and equipment. Under ASC 842, at contract inception we determine whether the contract is or contains a lease and whether the lease should be classified as an operating or a finance lease. Operating leases are included in Operating lease right-of-use assets, Other current liabilities, and Operating lease liabilities in our unaudited condensed consolidated statements of financial position.</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operating lease right-of-use assets and operating lease liabilities based on the present value of the future minimum lease payments over the lease term at commencement date. We use our incremental borrowing rate based on the information available at commencement date to determine the present value of future payments and the appropriate lease classification. Many of our leases include renewal options aligned with our contract terms. We define the initial lease term to include renewal options determined to be reasonably certain. In our adoption of ASC 842, we elected not to recognize a right-of-use asset and a lease liability for leases with an initial term of 12 months or less; we recognize lease expense for these leases on a straight-line basis over the lease term. We elected the practical expedient to not separate lease components from nonlease components and applied that practical expedient to all material classes of leased assets.</w:t>
      </w:r>
    </w:p>
    <w:p>
      <w:pPr>
        <w:spacing w:after="0" w:line="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company’s real property lease agreements contain incentives for tenant improvements, rent holidays or rent escalation clauses. For tenant improvement incentives, if the incentive is determined to be a leasehold improvement owned by the lessee, the company generally records a deferred rent liability and amortizes the deferred rent over the term of the lease as a reduction to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Finance leases are not material to our unaudited condensed consolidated financial statements and the company is not a lessor in any material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material restrictions or covenants in our lease agreements, sale-leaseback transactions, land easements or residual value guarantees.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material related party transactions in any period presented.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On February 25,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Topic 842 supersedes existing lease guidance, including ASC 840 - </w:t>
      </w:r>
      <w:r>
        <w:rPr>
          <w:rFonts w:ascii="Arial" w:cs="Arial" w:eastAsia="Arial" w:hAnsi="Arial"/>
          <w:sz w:val="18"/>
          <w:szCs w:val="18"/>
          <w:i w:val="1"/>
          <w:iCs w:val="1"/>
          <w:color w:val="auto"/>
        </w:rPr>
        <w:t>Leases</w:t>
      </w:r>
      <w:r>
        <w:rPr>
          <w:rFonts w:ascii="Arial" w:cs="Arial" w:eastAsia="Arial" w:hAnsi="Arial"/>
          <w:sz w:val="18"/>
          <w:szCs w:val="18"/>
          <w:color w:val="auto"/>
        </w:rPr>
        <w:t>. Among other things, ASU 2016-02 requires recognition of a right-of-use asset and liability for future lease payments for contracts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definition of a lease and requires disclosure of certain information about leasing arrangements. On July 30, 2018, the FASB issued ASU No. 2018-11,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Targeted Improvements</w:t>
      </w:r>
      <w:r>
        <w:rPr>
          <w:rFonts w:ascii="Arial" w:cs="Arial" w:eastAsia="Arial" w:hAnsi="Arial"/>
          <w:sz w:val="18"/>
          <w:szCs w:val="18"/>
          <w:color w:val="auto"/>
        </w:rPr>
        <w:t>, which, among other things, allows companies to elect an optional transition method to apply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cumulative-effect adjustment in the period of adoption.</w:t>
      </w:r>
    </w:p>
    <w:p>
      <w:pPr>
        <w:spacing w:after="0" w:line="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adopted the standard on January 1, 2019 using the optional transition method and, as a result, did not recast prior period unaudited condensed consolidated comparative financial statements. All prior period amounts and disclosures are presented under ASC 840. We elected the package of practical expedients, which, among other things, allows us to carry forward our prior lease classifications under ASC 840. We did not elect to adopt the hindsight practical expedient and are therefore maintaining the lease terms we previously determined under ASC 840. Adoption of the new standard resulted in the recording of additional lease assets and lease liabilities on the unaudited condensed consolidated statements of financial position with no cumulative impact to retained earnings and did not have a material impact on our results of operations or cash flows.</w:t>
      </w:r>
    </w:p>
    <w:p>
      <w:pPr>
        <w:spacing w:after="0" w:line="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accounting standards updates adopted and/or issued, but not effective until after September 30, 2019, are not expected to have a material effect on the company’s unaudited condensed consolidated financial position, annual results of operations and/or cash flows.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ORBITAL ATK</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070808"/>
        </w:rPr>
        <w:t xml:space="preserve">On June 6, 2018, the company completed its previously announced acquisition of Orbital ATK, by acquiring all of the outstanding shares of Orbital ATK for a purchase price of $7.7 billion in cash. On the Merger date, Orbital ATK became a wholly-owned subsidiary of the company and its name was changed to Northrop Grumman Innovation Systems, Inc. We established Innovation Systems as a new, fourth business sector. </w:t>
      </w:r>
      <w:r>
        <w:rPr>
          <w:rFonts w:ascii="Arial" w:cs="Arial" w:eastAsia="Arial" w:hAnsi="Arial"/>
          <w:sz w:val="18"/>
          <w:szCs w:val="18"/>
          <w:color w:val="000000"/>
        </w:rPr>
        <w:t>Its main products include precision</w:t>
      </w:r>
      <w:r>
        <w:rPr>
          <w:rFonts w:ascii="Arial" w:cs="Arial" w:eastAsia="Arial" w:hAnsi="Arial"/>
          <w:sz w:val="18"/>
          <w:szCs w:val="18"/>
          <w:color w:val="070808"/>
        </w:rPr>
        <w:t xml:space="preserve"> </w:t>
      </w:r>
      <w:r>
        <w:rPr>
          <w:rFonts w:ascii="Arial" w:cs="Arial" w:eastAsia="Arial" w:hAnsi="Arial"/>
          <w:sz w:val="18"/>
          <w:szCs w:val="18"/>
          <w:color w:val="000000"/>
        </w:rPr>
        <w:t xml:space="preserve">munitions and armaments; tactical missiles and subsystems; ammunition; launch vehicles; space and strategic propulsion systems; aerospace structures; space exploration products; and national security and commercial satellite systems and related components/services. </w:t>
      </w:r>
      <w:r>
        <w:rPr>
          <w:rFonts w:ascii="Arial" w:cs="Arial" w:eastAsia="Arial" w:hAnsi="Arial"/>
          <w:sz w:val="18"/>
          <w:szCs w:val="18"/>
          <w:color w:val="070808"/>
        </w:rPr>
        <w:t>The acquisition was financed with proceeds</w:t>
      </w:r>
      <w:r>
        <w:rPr>
          <w:rFonts w:ascii="Arial" w:cs="Arial" w:eastAsia="Arial" w:hAnsi="Arial"/>
          <w:sz w:val="18"/>
          <w:szCs w:val="18"/>
          <w:color w:val="000000"/>
        </w:rPr>
        <w:t xml:space="preserve"> </w:t>
      </w:r>
      <w:r>
        <w:rPr>
          <w:rFonts w:ascii="Arial" w:cs="Arial" w:eastAsia="Arial" w:hAnsi="Arial"/>
          <w:sz w:val="18"/>
          <w:szCs w:val="18"/>
          <w:color w:val="070808"/>
        </w:rPr>
        <w:t xml:space="preserve">from the company’s debt financing completed in October 2017 and cash on hand. </w:t>
      </w:r>
      <w:r>
        <w:rPr>
          <w:rFonts w:ascii="Arial" w:cs="Arial" w:eastAsia="Arial" w:hAnsi="Arial"/>
          <w:sz w:val="18"/>
          <w:szCs w:val="18"/>
          <w:color w:val="000000"/>
        </w:rPr>
        <w:t>We believe this acquisition will enable us to broaden our capabilities and</w:t>
      </w:r>
      <w:r>
        <w:rPr>
          <w:rFonts w:ascii="Arial" w:cs="Arial" w:eastAsia="Arial" w:hAnsi="Arial"/>
          <w:sz w:val="18"/>
          <w:szCs w:val="18"/>
          <w:color w:val="070808"/>
        </w:rPr>
        <w:t xml:space="preserve"> </w:t>
      </w:r>
      <w:r>
        <w:rPr>
          <w:rFonts w:ascii="Arial" w:cs="Arial" w:eastAsia="Arial" w:hAnsi="Arial"/>
          <w:sz w:val="18"/>
          <w:szCs w:val="18"/>
          <w:color w:val="000000"/>
        </w:rPr>
        <w:t>offerings, provide additional innovative solutions to meet our customers’ emerging requirements, create value for shareholders and provide expanded opportunities for our combined employees.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Purchase Price Allocation</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070808"/>
        </w:rPr>
        <w:t xml:space="preserve">The acquisition was accounted for as a purchase business combination. As such, the company recorded the assets acquired and liabilities assumed at fair value, with the excess of the purchase price over the fair value of assets acquired and liabilities assumed recorded as goodwill. </w:t>
      </w:r>
      <w:r>
        <w:rPr>
          <w:rFonts w:ascii="Arial" w:cs="Arial" w:eastAsia="Arial" w:hAnsi="Arial"/>
          <w:sz w:val="16"/>
          <w:szCs w:val="16"/>
          <w:color w:val="000000"/>
        </w:rPr>
        <w:t>Determining the fair value of</w:t>
      </w:r>
      <w:r>
        <w:rPr>
          <w:rFonts w:ascii="Arial" w:cs="Arial" w:eastAsia="Arial" w:hAnsi="Arial"/>
          <w:sz w:val="16"/>
          <w:szCs w:val="16"/>
          <w:color w:val="070808"/>
        </w:rPr>
        <w:t xml:space="preserve"> </w:t>
      </w:r>
      <w:r>
        <w:rPr>
          <w:rFonts w:ascii="Arial" w:cs="Arial" w:eastAsia="Arial" w:hAnsi="Arial"/>
          <w:sz w:val="16"/>
          <w:szCs w:val="16"/>
          <w:color w:val="000000"/>
        </w:rPr>
        <w:t>assets acquired and liabilities assumed requires significant judgment, including the amount and timing of expected future cash flows, long-term growth rates and discount rates. In some cases, the company used discounted cash flow analyses, which were based on our best estimate of future sales, earnings and cash flows after considering such factors as general market conditions, customer budgets, existing firm and future orders, changes in working capital, long term business plans and recent operating performance. Use of different estimates and judgments could yield materially different results.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2019, the company finalized its determination of the fair values of the assets acquired and liabilities assumed as of the Merger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Based on additional information obtained during the measurement period, the company refined its initial assessment of fair value and recognized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significant adjustments to its preliminary purchase price allocation: Intangible assets increased $220 million, Other current liabilities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 million, Pension and other postretirement benefit (OPB) plan liabilities increased $56 million, Other non-current liabilities increased $53 million,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assets increased $44 million and Goodwill decreased $36 million. These adjustments did not result in a material impact on the financial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Merger date fair value of the consideration transferred totaled $7.7 billion </w:t>
      </w:r>
      <w:r>
        <w:rPr>
          <w:rFonts w:ascii="Arial" w:cs="Arial" w:eastAsia="Arial" w:hAnsi="Arial"/>
          <w:sz w:val="18"/>
          <w:szCs w:val="18"/>
          <w:color w:val="070808"/>
        </w:rPr>
        <w:t>in cash, which was comprised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4320" w:type="dxa"/>
            <w:vAlign w:val="bottom"/>
          </w:tcPr>
          <w:p>
            <w:pPr>
              <w:spacing w:after="0"/>
              <w:rPr>
                <w:sz w:val="20"/>
                <w:szCs w:val="20"/>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Purchase price</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Shares of Orbital ATK common stock outstanding as of the Merger date</w:t>
            </w:r>
          </w:p>
        </w:tc>
        <w:tc>
          <w:tcPr>
            <w:tcW w:w="4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57,562,152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Cash consideration per share of Orbital ATK common stock</w:t>
            </w:r>
          </w:p>
        </w:tc>
        <w:tc>
          <w:tcPr>
            <w:tcW w:w="4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134.50</w:t>
            </w:r>
          </w:p>
        </w:tc>
      </w:tr>
      <w:tr>
        <w:trPr>
          <w:trHeight w:val="27"/>
        </w:trPr>
        <w:tc>
          <w:tcPr>
            <w:tcW w:w="54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4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756"/>
        </w:trPr>
        <w:tc>
          <w:tcPr>
            <w:tcW w:w="54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right"/>
              <w:ind w:right="3830"/>
              <w:spacing w:after="0"/>
              <w:rPr>
                <w:sz w:val="20"/>
                <w:szCs w:val="20"/>
                <w:color w:val="auto"/>
              </w:rPr>
            </w:pPr>
            <w:r>
              <w:rPr>
                <w:rFonts w:ascii="Arial" w:cs="Arial" w:eastAsia="Arial" w:hAnsi="Arial"/>
                <w:sz w:val="18"/>
                <w:szCs w:val="18"/>
                <w:color w:val="auto"/>
              </w:rPr>
              <w:t>-9-</w:t>
            </w:r>
          </w:p>
        </w:tc>
        <w:tc>
          <w:tcPr>
            <w:tcW w:w="16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070808"/>
        </w:rPr>
        <w:t>The following purchase price allocation table presents the company’s final determination of the fair values of assets acquired and liabilities assumed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70808"/>
        </w:rPr>
        <w:t>Merger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As of</w:t>
            </w:r>
          </w:p>
        </w:tc>
      </w:tr>
      <w:tr>
        <w:trPr>
          <w:trHeight w:val="234"/>
        </w:trPr>
        <w:tc>
          <w:tcPr>
            <w:tcW w:w="74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6, 2018</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1,525</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7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11,819</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Accrued employee compensation</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billings in excess of costs incurred</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70"/>
        </w:trPr>
        <w:tc>
          <w:tcPr>
            <w:tcW w:w="7480" w:type="dxa"/>
            <w:vAlign w:val="bottom"/>
          </w:tcPr>
          <w:p>
            <w:pPr>
              <w:ind w:left="40"/>
              <w:spacing w:after="0" w:line="270" w:lineRule="exact"/>
              <w:rPr>
                <w:sz w:val="20"/>
                <w:szCs w:val="20"/>
                <w:color w:val="auto"/>
              </w:rPr>
            </w:pPr>
            <w:r>
              <w:rPr>
                <w:rFonts w:ascii="Arial" w:cs="Arial" w:eastAsia="Arial" w:hAnsi="Arial"/>
                <w:sz w:val="18"/>
                <w:szCs w:val="18"/>
                <w:color w:val="auto"/>
              </w:rPr>
              <w:t>Below market contracts</w:t>
            </w:r>
            <w:r>
              <w:rPr>
                <w:rFonts w:ascii="Arial" w:cs="Arial" w:eastAsia="Arial" w:hAnsi="Arial"/>
                <w:sz w:val="25"/>
                <w:szCs w:val="25"/>
                <w:color w:val="auto"/>
                <w:vertAlign w:val="superscript"/>
              </w:rPr>
              <w:t>(1)</w:t>
            </w: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OPB plan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7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74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liabilities assumed</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7,742</w:t>
            </w:r>
          </w:p>
        </w:tc>
      </w:tr>
      <w:tr>
        <w:trPr>
          <w:trHeight w:val="418"/>
        </w:trPr>
        <w:tc>
          <w:tcPr>
            <w:tcW w:w="7480" w:type="dxa"/>
            <w:vAlign w:val="bottom"/>
            <w:tcBorders>
              <w:top w:val="single" w:sz="8" w:color="auto"/>
            </w:tcBorders>
          </w:tcPr>
          <w:p>
            <w:pPr>
              <w:spacing w:after="0"/>
              <w:rPr>
                <w:sz w:val="20"/>
                <w:szCs w:val="20"/>
                <w:color w:val="auto"/>
              </w:rPr>
            </w:pPr>
            <w:r>
              <w:rPr>
                <w:rFonts w:ascii="Arial" w:cs="Arial" w:eastAsia="Arial" w:hAnsi="Arial"/>
                <w:sz w:val="21"/>
                <w:szCs w:val="21"/>
                <w:color w:val="auto"/>
                <w:w w:val="94"/>
                <w:vertAlign w:val="superscript"/>
              </w:rPr>
              <w:t>(1)</w:t>
            </w:r>
            <w:r>
              <w:rPr>
                <w:rFonts w:ascii="Arial" w:cs="Arial" w:eastAsia="Arial" w:hAnsi="Arial"/>
                <w:sz w:val="16"/>
                <w:szCs w:val="16"/>
                <w:color w:val="auto"/>
                <w:w w:val="94"/>
              </w:rPr>
              <w:t xml:space="preserve"> Included in Other current liabilities in the unaudited condensed consolidated statements of financial position.</w:t>
            </w:r>
          </w:p>
        </w:tc>
        <w:tc>
          <w:tcPr>
            <w:tcW w:w="5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070808"/>
                <w:w w:val="90"/>
              </w:rPr>
              <w:t>The following table presents a summary of purchased intangible assets and their related estimated useful lives:</w:t>
            </w: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0"/>
        </w:trPr>
        <w:tc>
          <w:tcPr>
            <w:tcW w:w="7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Estimated Useful Life</w:t>
            </w:r>
          </w:p>
        </w:tc>
      </w:tr>
      <w:tr>
        <w:trPr>
          <w:trHeight w:val="234"/>
        </w:trPr>
        <w:tc>
          <w:tcPr>
            <w:tcW w:w="7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w w:val="96"/>
              </w:rPr>
              <w:t>(in millions)</w:t>
            </w:r>
          </w:p>
        </w:tc>
        <w:tc>
          <w:tcPr>
            <w:tcW w:w="62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in Years</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Commercial customer relationships</w:t>
            </w:r>
          </w:p>
        </w:tc>
        <w:tc>
          <w:tcPr>
            <w:tcW w:w="560" w:type="dxa"/>
            <w:vAlign w:val="bottom"/>
          </w:tcPr>
          <w:p>
            <w:pPr>
              <w:spacing w:after="0"/>
              <w:rPr>
                <w:sz w:val="21"/>
                <w:szCs w:val="21"/>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customer-related intangible assets</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1,525</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
        </w:trPr>
        <w:tc>
          <w:tcPr>
            <w:tcW w:w="74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purchase price allocation resulted in the recognition of $6.3 billion of goodwill, a majority of which was allocated to the Innovation Systems sector. The goodwill recognized is attributable to expected revenue synergies generated by the integration of Aerospace Systems, Mission Systems and Technology Services products and technologies with those of legacy Orbital ATK, synergies resulting from the consolidation or elimination of certain costs, and intangible assets that do not qualify for separate recognition, such as the assembled workforce of Orbital ATK. None of the goodwill is expected to be deductible for tax purposes.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070808"/>
        </w:rPr>
        <w:t>Unaudited Supplemental Pro Forma Information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070808"/>
        </w:rPr>
        <w:t xml:space="preserve">The following table presents unaudited pro forma financial information </w:t>
      </w:r>
      <w:r>
        <w:rPr>
          <w:rFonts w:ascii="Arial" w:cs="Arial" w:eastAsia="Arial" w:hAnsi="Arial"/>
          <w:sz w:val="18"/>
          <w:szCs w:val="18"/>
          <w:color w:val="000000"/>
        </w:rPr>
        <w:t>prepared in accordance with Article 11 of Regulation S-X and computed</w:t>
      </w:r>
      <w:r>
        <w:rPr>
          <w:rFonts w:ascii="Arial" w:cs="Arial" w:eastAsia="Arial" w:hAnsi="Arial"/>
          <w:sz w:val="18"/>
          <w:szCs w:val="18"/>
          <w:color w:val="070808"/>
        </w:rPr>
        <w:t xml:space="preserve"> as if Orbital ATK had been included in our results as of January 1,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0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338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6"/>
              </w:rPr>
              <w:t>September 30, 2018</w:t>
            </w:r>
          </w:p>
        </w:tc>
      </w:tr>
      <w:tr>
        <w:trPr>
          <w:trHeight w:val="27"/>
        </w:trPr>
        <w:tc>
          <w:tcPr>
            <w:tcW w:w="60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3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38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3,050</w:t>
            </w:r>
          </w:p>
        </w:tc>
      </w:tr>
      <w:tr>
        <w:trPr>
          <w:trHeight w:val="27"/>
        </w:trPr>
        <w:tc>
          <w:tcPr>
            <w:tcW w:w="6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0"/>
        </w:trPr>
        <w:tc>
          <w:tcPr>
            <w:tcW w:w="602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unaudited supplemental pro forma financial data has been calculated after applying our accounting policies and adjusting the historical results of Orbital ATK with pro forma adjustments, net of tax, that assume the acquisition occurred on January 1, 2017. Significant pro forma adjustments include the following:</w:t>
      </w:r>
    </w:p>
    <w:p>
      <w:pPr>
        <w:spacing w:after="0" w:line="46" w:lineRule="exact"/>
        <w:rPr>
          <w:sz w:val="20"/>
          <w:szCs w:val="20"/>
          <w:color w:val="auto"/>
        </w:rPr>
      </w:pPr>
    </w:p>
    <w:p>
      <w:pPr>
        <w:ind w:left="660" w:right="8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intercompany sales and costs of sales between the company and Orbital ATK of $80 million for the nine months ended September 30, 2018.</w:t>
      </w:r>
    </w:p>
    <w:p>
      <w:pPr>
        <w:spacing w:after="0" w:line="3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elimination of nonrecurring transaction costs incurred by the company and Orbital ATK in connection with the Merger of $71 million for the nine months ended September 30, 2018.</w:t>
      </w:r>
    </w:p>
    <w:p>
      <w:pPr>
        <w:spacing w:after="0" w:line="3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additional depreciation expense, net of removal of historical depreciation expense, of $10 million for the nine months ended September 30, 2018 related to the step-up in fair value of acquired property, plant and equipment.</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recognition of additional amortization expense, net of removal of historical amortization expense, of $101 million for the nine months ended September 30, 2018 related to the fair value of acquired intangible assets.</w:t>
      </w:r>
    </w:p>
    <w:p>
      <w:pPr>
        <w:spacing w:after="0" w:line="35" w:lineRule="exact"/>
        <w:rPr>
          <w:rFonts w:ascii="Arial" w:cs="Arial" w:eastAsia="Arial" w:hAnsi="Arial"/>
          <w:sz w:val="18"/>
          <w:szCs w:val="18"/>
          <w:color w:val="auto"/>
        </w:rPr>
      </w:pPr>
    </w:p>
    <w:p>
      <w:pPr>
        <w:ind w:left="660" w:right="140" w:hanging="328"/>
        <w:spacing w:after="0" w:line="33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elimination of Orbital ATK’s historical amortization of net actuarial losses and prior service credits and impact of the revised pension and OPB net periodic benefit cost as determined under the company’s plan assumptions of $51 million for the nine months ended September 30, 2018.</w:t>
      </w:r>
    </w:p>
    <w:p>
      <w:pPr>
        <w:spacing w:after="0" w:line="1"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income tax effect on the pro forma adjustments, which was calculated using the federal statutory tax rate, of $(2) million for the nine months ended September 30, 2018.</w:t>
      </w:r>
    </w:p>
    <w:p>
      <w:pPr>
        <w:spacing w:after="0" w:line="3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unaudited pro forma financial information does not reflect the potential realization of revenue synergies or cost savings, nor does it reflect other costs relating to the integration of the two companies. This unaudited pro forma financial information should not be considered indicative of the results that would have actually occurred if the acquisition had been consummated on January 1, 2017, nor are they indicative of future results.</w:t>
      </w:r>
    </w:p>
    <w:p>
      <w:pPr>
        <w:spacing w:after="0" w:line="107" w:lineRule="exact"/>
        <w:rPr>
          <w:sz w:val="20"/>
          <w:szCs w:val="20"/>
          <w:color w:val="auto"/>
        </w:rPr>
      </w:pPr>
    </w:p>
    <w:p>
      <w:pPr>
        <w:ind w:right="3580"/>
        <w:spacing w:after="0" w:line="308" w:lineRule="auto"/>
        <w:rPr>
          <w:sz w:val="20"/>
          <w:szCs w:val="20"/>
          <w:color w:val="auto"/>
        </w:rPr>
      </w:pPr>
      <w:r>
        <w:rPr>
          <w:rFonts w:ascii="Arial" w:cs="Arial" w:eastAsia="Arial" w:hAnsi="Arial"/>
          <w:sz w:val="18"/>
          <w:szCs w:val="18"/>
          <w:b w:val="1"/>
          <w:bCs w:val="1"/>
          <w:color w:val="auto"/>
        </w:rPr>
        <w:t>3. EARNINGS PER SHARE, SHARE REPURCHASES AND DIVIDENDS ON COMMON STOCK Basic Earnings Per Share</w:t>
      </w:r>
    </w:p>
    <w:p>
      <w:pPr>
        <w:ind w:right="220"/>
        <w:spacing w:after="0" w:line="297"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0.8 million shares and 0.7 million shares for the three and nine months ended September 30, 2019. The dilutive effect of these securities totaled 0.8 million shares and 0.9 million shares for the three and nine months ended September 30, 2018,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September 16, 2015, the company’s board of directors authorized a share repurchase program of up to $4.0 billion of the company’s common stock (the “2015 Repurchase Program”). Repurchases under the 2015 Repurchase Program commenced in March 2016.</w:t>
      </w:r>
    </w:p>
    <w:p>
      <w:pPr>
        <w:spacing w:after="0" w:line="49" w:lineRule="exact"/>
        <w:rPr>
          <w:sz w:val="20"/>
          <w:szCs w:val="20"/>
          <w:color w:val="auto"/>
        </w:rPr>
      </w:pPr>
    </w:p>
    <w:p>
      <w:pPr>
        <w:ind w:left="60" w:right="160"/>
        <w:spacing w:after="0" w:line="286" w:lineRule="auto"/>
        <w:rPr>
          <w:sz w:val="20"/>
          <w:szCs w:val="20"/>
          <w:color w:val="auto"/>
        </w:rPr>
      </w:pPr>
      <w:r>
        <w:rPr>
          <w:rFonts w:ascii="Arial" w:cs="Arial" w:eastAsia="Arial" w:hAnsi="Arial"/>
          <w:sz w:val="17"/>
          <w:szCs w:val="17"/>
          <w:color w:val="auto"/>
        </w:rPr>
        <w:t>On December 4, 2018, the company’s board of directors authorized a new share repurchase program of up to an additional $3.0 billion in share repurchases of the company’s common stock (the “2018 Repurchase Program”). By its terms, repurchases under the 2018 Repurchase Program will commence upon completion of the 2015 Repurchase Program and will expire when we have used all authorized funds for repurchases.</w:t>
      </w:r>
    </w:p>
    <w:p>
      <w:pPr>
        <w:spacing w:after="0" w:line="30"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During the fourth quarter of 2018, the company entered into an accelerated share repurchase (ASR) agreement with Goldman Sachs &amp; Co. LLC (Goldman Sachs) to repurchase $1.0 billion of the company’s common stock under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2015 Repurchase Program. Under the agreement, we made a payment of $1.0 billion to Goldman Sachs and received an initial delivery of 3.0 million shares valued at $800 million that were immediately canceled by the company. The remaining balance was settled on January 4, 2019 with a final delivery of 0.9 million shares from Goldman Sachs. The final average purchase price was $260.32 per share.</w:t>
      </w:r>
    </w:p>
    <w:p>
      <w:pPr>
        <w:spacing w:after="0" w:line="46" w:lineRule="exact"/>
        <w:rPr>
          <w:sz w:val="20"/>
          <w:szCs w:val="20"/>
          <w:color w:val="auto"/>
        </w:rPr>
      </w:pPr>
    </w:p>
    <w:p>
      <w:pPr>
        <w:ind w:right="860"/>
        <w:spacing w:after="0" w:line="334" w:lineRule="auto"/>
        <w:rPr>
          <w:sz w:val="20"/>
          <w:szCs w:val="20"/>
          <w:color w:val="auto"/>
        </w:rPr>
      </w:pPr>
      <w:r>
        <w:rPr>
          <w:rFonts w:ascii="Arial" w:cs="Arial" w:eastAsia="Arial" w:hAnsi="Arial"/>
          <w:sz w:val="16"/>
          <w:szCs w:val="16"/>
          <w:color w:val="auto"/>
        </w:rPr>
        <w:t>As of September 30, 2019, repurchases under the 2015 Repurchase Program totaled $3.4 billion; $0.6 billion remained under this share repurchase authorization. By its terms, the 2015 Repurchase Program is set to expire when we have used all authorized funds for repurchases.</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p>
      <w:pPr>
        <w:jc w:val="center"/>
        <w:ind w:left="9080"/>
        <w:spacing w:after="0"/>
        <w:rPr>
          <w:sz w:val="20"/>
          <w:szCs w:val="20"/>
          <w:color w:val="auto"/>
        </w:rPr>
      </w:pPr>
      <w:r>
        <w:rPr>
          <w:rFonts w:ascii="Arial" w:cs="Arial" w:eastAsia="Arial" w:hAnsi="Arial"/>
          <w:sz w:val="18"/>
          <w:szCs w:val="18"/>
          <w:color w:val="auto"/>
        </w:rPr>
        <w:t>Shares Repurchased</w:t>
      </w:r>
    </w:p>
    <w:p>
      <w:pPr>
        <w:spacing w:after="0" w:line="23" w:lineRule="exact"/>
        <w:rPr>
          <w:sz w:val="20"/>
          <w:szCs w:val="20"/>
          <w:color w:val="auto"/>
        </w:rPr>
      </w:pPr>
    </w:p>
    <w:p>
      <w:pPr>
        <w:jc w:val="center"/>
        <w:ind w:left="906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22860</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vMerge w:val="restart"/>
          </w:tcPr>
          <w:p>
            <w:pPr>
              <w:jc w:val="center"/>
              <w:ind w:right="170"/>
              <w:spacing w:after="0"/>
              <w:rPr>
                <w:sz w:val="20"/>
                <w:szCs w:val="20"/>
                <w:color w:val="auto"/>
              </w:rPr>
            </w:pPr>
            <w:r>
              <w:rPr>
                <w:rFonts w:ascii="Arial" w:cs="Arial" w:eastAsia="Arial" w:hAnsi="Arial"/>
                <w:sz w:val="18"/>
                <w:szCs w:val="18"/>
                <w:color w:val="auto"/>
                <w:w w:val="96"/>
              </w:rPr>
              <w:t>Amount</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280" w:type="dxa"/>
            <w:vAlign w:val="bottom"/>
          </w:tcPr>
          <w:p>
            <w:pPr>
              <w:spacing w:after="0"/>
              <w:rPr>
                <w:sz w:val="18"/>
                <w:szCs w:val="18"/>
                <w:color w:val="auto"/>
              </w:rPr>
            </w:pPr>
          </w:p>
        </w:tc>
        <w:tc>
          <w:tcPr>
            <w:tcW w:w="134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Average</w:t>
            </w:r>
          </w:p>
        </w:tc>
        <w:tc>
          <w:tcPr>
            <w:tcW w:w="1880" w:type="dxa"/>
            <w:vAlign w:val="bottom"/>
          </w:tcPr>
          <w:p>
            <w:pPr>
              <w:spacing w:after="0"/>
              <w:rPr>
                <w:sz w:val="18"/>
                <w:szCs w:val="18"/>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w w:val="92"/>
              </w:rPr>
              <w:t>Nine Months Ended September</w:t>
            </w:r>
          </w:p>
        </w:tc>
        <w:tc>
          <w:tcPr>
            <w:tcW w:w="0" w:type="dxa"/>
            <w:vAlign w:val="bottom"/>
          </w:tcPr>
          <w:p>
            <w:pPr>
              <w:spacing w:after="0"/>
              <w:rPr>
                <w:sz w:val="1"/>
                <w:szCs w:val="1"/>
                <w:color w:val="auto"/>
              </w:rPr>
            </w:pPr>
          </w:p>
        </w:tc>
      </w:tr>
      <w:tr>
        <w:trPr>
          <w:trHeight w:val="68"/>
        </w:trPr>
        <w:tc>
          <w:tcPr>
            <w:tcW w:w="2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00" w:type="dxa"/>
            <w:vAlign w:val="bottom"/>
            <w:vMerge w:val="restart"/>
          </w:tcPr>
          <w:p>
            <w:pPr>
              <w:jc w:val="right"/>
              <w:ind w:right="990"/>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63"/>
        </w:trPr>
        <w:tc>
          <w:tcPr>
            <w:tcW w:w="2340" w:type="dxa"/>
            <w:vAlign w:val="bottom"/>
            <w:vMerge w:val="restart"/>
          </w:tcPr>
          <w:p>
            <w:pPr>
              <w:jc w:val="center"/>
              <w:ind w:left="110"/>
              <w:spacing w:after="0" w:line="190" w:lineRule="exact"/>
              <w:rPr>
                <w:sz w:val="20"/>
                <w:szCs w:val="20"/>
                <w:color w:val="auto"/>
              </w:rPr>
            </w:pPr>
            <w:r>
              <w:rPr>
                <w:rFonts w:ascii="Arial" w:cs="Arial" w:eastAsia="Arial" w:hAnsi="Arial"/>
                <w:sz w:val="18"/>
                <w:szCs w:val="18"/>
                <w:color w:val="auto"/>
                <w:w w:val="87"/>
              </w:rPr>
              <w:t>Repurchase Program</w:t>
            </w:r>
          </w:p>
        </w:tc>
        <w:tc>
          <w:tcPr>
            <w:tcW w:w="480" w:type="dxa"/>
            <w:vAlign w:val="bottom"/>
          </w:tcPr>
          <w:p>
            <w:pPr>
              <w:spacing w:after="0"/>
              <w:rPr>
                <w:sz w:val="14"/>
                <w:szCs w:val="14"/>
                <w:color w:val="auto"/>
              </w:rPr>
            </w:pPr>
          </w:p>
        </w:tc>
        <w:tc>
          <w:tcPr>
            <w:tcW w:w="1300" w:type="dxa"/>
            <w:vAlign w:val="bottom"/>
            <w:vMerge w:val="restart"/>
          </w:tcPr>
          <w:p>
            <w:pPr>
              <w:jc w:val="center"/>
              <w:ind w:right="170"/>
              <w:spacing w:after="0" w:line="190" w:lineRule="exact"/>
              <w:rPr>
                <w:sz w:val="20"/>
                <w:szCs w:val="20"/>
                <w:color w:val="auto"/>
              </w:rPr>
            </w:pPr>
            <w:r>
              <w:rPr>
                <w:rFonts w:ascii="Arial" w:cs="Arial" w:eastAsia="Arial" w:hAnsi="Arial"/>
                <w:sz w:val="18"/>
                <w:szCs w:val="18"/>
                <w:color w:val="auto"/>
                <w:w w:val="92"/>
              </w:rPr>
              <w:t>Authorized</w:t>
            </w:r>
          </w:p>
        </w:tc>
        <w:tc>
          <w:tcPr>
            <w:tcW w:w="142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4"/>
                <w:szCs w:val="14"/>
                <w:color w:val="auto"/>
              </w:rPr>
            </w:pPr>
          </w:p>
        </w:tc>
        <w:tc>
          <w:tcPr>
            <w:tcW w:w="1340" w:type="dxa"/>
            <w:vAlign w:val="bottom"/>
            <w:vMerge w:val="restart"/>
          </w:tcPr>
          <w:p>
            <w:pPr>
              <w:jc w:val="center"/>
              <w:ind w:right="250"/>
              <w:spacing w:after="0" w:line="190" w:lineRule="exact"/>
              <w:rPr>
                <w:sz w:val="20"/>
                <w:szCs w:val="20"/>
                <w:color w:val="auto"/>
              </w:rPr>
            </w:pPr>
            <w:r>
              <w:rPr>
                <w:rFonts w:ascii="Arial" w:cs="Arial" w:eastAsia="Arial" w:hAnsi="Arial"/>
                <w:sz w:val="18"/>
                <w:szCs w:val="18"/>
                <w:color w:val="auto"/>
                <w:w w:val="87"/>
              </w:rPr>
              <w:t>Price</w:t>
            </w:r>
          </w:p>
        </w:tc>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3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3"/>
              </w:rPr>
              <w:t>Authorization Date</w:t>
            </w: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8"/>
              </w:rPr>
              <w:t>(in millions)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250"/>
              <w:spacing w:after="0" w:line="264"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Date Completed</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4,000</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248.91</w:t>
            </w:r>
          </w:p>
        </w:tc>
        <w:tc>
          <w:tcPr>
            <w:tcW w:w="18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3,000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In May 2019, the company increased the quarterly common stock dividend 10 percent to $1.32 per share from the previous amount of $1.20 per share.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In May 2018, the company increased the quarterly common stock dividend 9 percent to $1.20 per share from the previous amount of $1.10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2018, the company increased the quarterly common stock dividend 10 percent to $1.10 per share from the previous amount of $1.00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4"/>
        </w:trPr>
        <w:tc>
          <w:tcPr>
            <w:tcW w:w="6240" w:type="dxa"/>
            <w:vAlign w:val="bottom"/>
          </w:tcPr>
          <w:p>
            <w:pPr>
              <w:spacing w:after="0"/>
              <w:rPr>
                <w:sz w:val="24"/>
                <w:szCs w:val="24"/>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89"/>
              </w:rPr>
              <w:t>Three Months Ended September</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0"/>
        </w:trPr>
        <w:tc>
          <w:tcPr>
            <w:tcW w:w="6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30</w:t>
            </w:r>
          </w:p>
        </w:tc>
        <w:tc>
          <w:tcPr>
            <w:tcW w:w="980" w:type="dxa"/>
            <w:vAlign w:val="bottom"/>
          </w:tcPr>
          <w:p>
            <w:pPr>
              <w:spacing w:after="0"/>
              <w:rPr>
                <w:sz w:val="20"/>
                <w:szCs w:val="20"/>
                <w:color w:val="auto"/>
              </w:rPr>
            </w:pPr>
          </w:p>
        </w:tc>
        <w:tc>
          <w:tcPr>
            <w:tcW w:w="2600" w:type="dxa"/>
            <w:vAlign w:val="bottom"/>
            <w:gridSpan w:val="4"/>
          </w:tcPr>
          <w:p>
            <w:pPr>
              <w:ind w:left="100"/>
              <w:spacing w:after="0"/>
              <w:rPr>
                <w:sz w:val="20"/>
                <w:szCs w:val="20"/>
                <w:color w:val="auto"/>
              </w:rPr>
            </w:pPr>
            <w:r>
              <w:rPr>
                <w:rFonts w:ascii="Arial" w:cs="Arial" w:eastAsia="Arial" w:hAnsi="Arial"/>
                <w:sz w:val="18"/>
                <w:szCs w:val="18"/>
                <w:color w:val="auto"/>
                <w:w w:val="89"/>
              </w:rPr>
              <w:t>Nine Months Ended September 30</w:t>
            </w:r>
          </w:p>
        </w:tc>
      </w:tr>
      <w:tr>
        <w:trPr>
          <w:trHeight w:val="27"/>
        </w:trPr>
        <w:tc>
          <w:tcPr>
            <w:tcW w:w="6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6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122</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6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third quarter 2019 effective tax rate increased to 11.6 percent from 8.8 percent in the third quarter of 2018. The company’s effective tax rate for the third quarter of 2019 includes benefits of $89 million for research credits and $17 million for foreign derived intangible income. The company’s tax rate for the third quarter of 2018 included a $106 million benefit for research credits and manufacturing deductions and an $84 million benefit associated with the Tax Cuts and Jobs Act (the “2017 Tax 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year to date 2019 effective tax rate increased to 14.8 percent from 14.0 percent in the prior year period. The company’s year to date 2019 effective tax rate includes benefits of $171 million for research credits and $26 million for foreign derived intangible income. The company’s year to date 2018 effective tax rate included a $156 million benefit for research credits and manufacturing deductions and an $84 million benefit associated with the 2017 Tax Act.</w:t>
      </w:r>
    </w:p>
    <w:p>
      <w:pPr>
        <w:spacing w:after="0" w:line="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and nine months ended September 30, 2019, we increased our unrecognized tax benefits by approximately $294 million and $327 million, respectively, related to our methods of accounting associated with the timing of revenue recognition and related costs, and the 2017 Tax Act. Since enactment of the 2017 Tax Act, the IRS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and U.S. Treasury Department have issued and are expected to further issue interpretive guidance that impacts taxpayers. We will continue to evaluate such guidance as it is issued.</w:t>
      </w:r>
    </w:p>
    <w:p>
      <w:pPr>
        <w:spacing w:after="0" w:line="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IRS examination.</w:t>
      </w:r>
    </w:p>
    <w:p>
      <w:pPr>
        <w:spacing w:after="0" w:line="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FAIR VALUE OF FINANCIAL INSTRUMENTS</w:t>
      </w:r>
    </w:p>
    <w:p>
      <w:pPr>
        <w:spacing w:after="0" w:line="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holds a portfolio of marketable securities consisting of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derivative portfolio consists primarily of commodity forward contracts and foreign currency forward contracts. The company periodically uses commodity forward contracts to hedge forecasted purchases of certain commodities. The contracts generally establish a fixed price for the underlying commodity and are designated and qualify as effective cash flow hedges of such commodity purchases. Commodity derivatives are valued based on prices of future exchanges and recently reported transactions in the marketplace. For foreign currency forward contracts, where model-derived valuations are appropriate, the company utilizes the income approach to determine the fair value and uses the applicable London Interbank Offered Rate (LIBOR) swap rates.</w:t>
      </w:r>
    </w:p>
    <w:p>
      <w:pPr>
        <w:spacing w:after="0" w:line="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September 30, 2019</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December 31, 2018</w:t>
            </w:r>
          </w:p>
        </w:tc>
        <w:tc>
          <w:tcPr>
            <w:tcW w:w="8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Level 1</w:t>
            </w:r>
          </w:p>
        </w:tc>
        <w:tc>
          <w:tcPr>
            <w:tcW w:w="28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Level 2</w:t>
            </w: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351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351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4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367</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At September 30, 2019, the company had commodity forward contracts outstanding that hedge forecasted commodity purchases of 4 million pounds of copper and 1 million pounds of zinc. Gains or losses on the commodity forward contracts are recognized in product and service cost as the performance obligations on related contracts are satisfied.</w:t>
      </w:r>
    </w:p>
    <w:p>
      <w:pPr>
        <w:spacing w:after="0" w:line="12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notional value of the company’s foreign currency forward contracts at September 30, 2019 and December 31, 2018 was $86 million and $114 million, respectively. The portion of notional value designated as a cash flow hedge at September 30, 2019 was $9 million. At December 31, 2018, no portion of the notional value was designated as a cash flow hedge.</w:t>
      </w:r>
    </w:p>
    <w:p>
      <w:pPr>
        <w:spacing w:after="0" w:line="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derivative fair values and related unrealized gains/losses at September 30, 2019 and December 31, 2018 were not material. There were no transfers of financial instruments between the three levels of the fair value hierarchy during the nine months ended September 30, 2019.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estimated fair value of long-term debt was $15.2 billion and $14.3 billion as of September 30, 2019 and December 31, 2018, respectively. We calculated the fair value of long-term debt using Level 2 inputs, based on interest rates available for debt with terms and maturities similar to the company’s existing debt arrangements. The carrying value of long-term debt was $13.9 billion and $14.4 billion as of September 30, 2019 and December 31, 2018, respectively. The current portion of long-term debt is recorded in Other current liabilities in the unaudited condensed consolidated statements of financial position.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INVESTIGATIONS, CLAIMS AND LITIGATION</w:t>
      </w:r>
    </w:p>
    <w:p>
      <w:pPr>
        <w:spacing w:after="0" w:line="9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December 17, 2018, the court issued a Scheduling Order, proposed by the parties, providing for the parties to engage in mediation through March 1, 2019. After the government shutdown, the mediation was rescheduled for May 2019. The parties filed joint motions to suspend the deadlines for pretrial activities while the parties engage in mediation. On April 29, 2019 and June 5, 2019, the court issued Orders suspending the deadlines. Those suspensions ended on July 1, 2019, and on July 12, 2019, the court issued an Order scheduling trial to commence on February 3, 2020. Although the ultimate outcome of these matters (“the FSS matters,” collectively), including any possible loss, cannot be predicted or reasonably estimated at this time, the company intends vigorously to pursue and defend the FSS matters.</w:t>
      </w:r>
    </w:p>
    <w:p>
      <w:pPr>
        <w:spacing w:after="0" w:line="26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and relatively inactive for some period of time, ECT alleges the consortium breached its contract with ECT and seeks damages of approximately R$111 million (the equivalent of approximately $27 million as of September 30, 2019), plus interest, inflation adjustments and attorneys’ fees, as authorized by Brazilian law, which amounts could be significant over time. The original suit sought R$89 million (the equivalent of approximately $21 million as of September 30, 2019) in damages. In October 2013, ECT asserted an additional damage claim of R$22 million (the equivalent of approximately $5 million as of September 30, 2019). In its counterclaim, Solystic alleges ECT breached the contract by wrongfully refusing to accept the equipment Solystic had designed and built and seeks damages of approximately €31 million (the equivalent of approximately $34 million as of September 30, 2019),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$10 million as of September 30, 2019) against Solystic and its consortium partners, with that amount to be adjusted for inflation and interest from November 2004 through any appeal, in accordance with the Manual of Calculations of the Federal Justice, as well as attorneys’ fees. On March 22, 2019, ECT appealed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trial court’s decision to the intermediate court of appeals. Solystic filed its appeal on April 11, 2019. The parties are exploring whether there is a possible path for a negotiated resolution of the dispute.</w:t>
      </w:r>
    </w:p>
    <w:p>
      <w:pPr>
        <w:spacing w:after="0" w:line="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7, substantial remediation costs related to these environmental conditions. The remediation standards or requirements to which we are subject are being reconsidered and may change and costs may increase materially. As discussed in Note 7, the State of New York issued a Feasibility Study and Proposed Amended Record of Decision, proposing to impose additional remedial requirements. The company, along with other interested parties, has submitted comments on that proposal.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the Navy,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3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12, 2016, a putative class action complaint, naming Orbital ATK and two of its then-officers as defendants, Steven Knurr, et al. v. Orbital ATK, Inc., No. 16-cv-01031 (TSE-MSN), was filed in the United States District Court for the Eastern District of Virginia. The complaint asserts claims on behalf of purchasers of Orbital ATK securities for violations of Sections 10(b) and 20(a) of the Exchange Act and Rule 10b-5, allegedly arising out of false and misleading statements and the failure to disclose that: (i) Orbital ATK lacked effective control over financial reporting; and (ii) as a result, it failed to record an anticipated loss on a long-term contract with the U.S. Army to manufacture and supply small caliber ammunition at the U.S. Army’s Lake City Army Ammunition Plant. On April 24, 2017 and October 10, 2017, the plaintiffs filed amended complaints naming additional defendants and asserting claims for alleged violations of additional sections of the Exchange Act and alleged false and misleading statements in Orbital ATK’s Form S-4 filed in connection with the Orbital-ATK Merger. The complaint seeks damages, reasonable costs and expenses at trial, including counsel and expert fees, and such other relief as deemed appropriate by the Court. On June 7, 2019, the court approved the parties’ proposal to resolve the litigation for $108 million, subject to certain terms and conditions. The company continues to negotiate with and pursue coverage litigation against various of its insurance carriers.</w:t>
      </w:r>
    </w:p>
    <w:p>
      <w:pPr>
        <w:spacing w:after="0" w:line="3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2019, or its annual results of operations and/or cash flows.</w:t>
      </w:r>
    </w:p>
    <w:p>
      <w:pPr>
        <w:spacing w:after="0" w:line="1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2019, or its annual results of operations and/or cash flows.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18" w:right="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table below summarizes management’s estimate of the range of reasonably possible future costs for environmental remediation, the amount accrued within that range, and the deferred costs expected to be recoverable through overhead charges on U.S. government contracts as of September 30, 2019 and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4400" w:type="dxa"/>
            <w:vAlign w:val="bottom"/>
            <w:gridSpan w:val="2"/>
          </w:tcPr>
          <w:p>
            <w:pPr>
              <w:jc w:val="center"/>
              <w:ind w:left="1830"/>
              <w:spacing w:after="0"/>
              <w:rPr>
                <w:sz w:val="20"/>
                <w:szCs w:val="20"/>
                <w:color w:val="auto"/>
              </w:rPr>
            </w:pPr>
            <w:r>
              <w:rPr>
                <w:rFonts w:ascii="Arial" w:cs="Arial" w:eastAsia="Arial" w:hAnsi="Arial"/>
                <w:sz w:val="18"/>
                <w:szCs w:val="18"/>
                <w:color w:val="auto"/>
                <w:w w:val="89"/>
              </w:rPr>
              <w:t>Range of Reasonably Possible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4400" w:type="dxa"/>
            <w:vAlign w:val="bottom"/>
            <w:tcBorders>
              <w:bottom w:val="single" w:sz="8" w:color="auto"/>
            </w:tcBorders>
            <w:gridSpan w:val="2"/>
          </w:tcPr>
          <w:p>
            <w:pPr>
              <w:jc w:val="center"/>
              <w:ind w:left="1830"/>
              <w:spacing w:after="0" w:line="257" w:lineRule="exact"/>
              <w:rPr>
                <w:sz w:val="20"/>
                <w:szCs w:val="20"/>
                <w:color w:val="auto"/>
              </w:rPr>
            </w:pPr>
            <w:r>
              <w:rPr>
                <w:rFonts w:ascii="Arial" w:cs="Arial" w:eastAsia="Arial" w:hAnsi="Arial"/>
                <w:sz w:val="18"/>
                <w:szCs w:val="18"/>
                <w:color w:val="auto"/>
                <w:w w:val="87"/>
              </w:rPr>
              <w:t>Future Costs</w:t>
            </w:r>
            <w:r>
              <w:rPr>
                <w:rFonts w:ascii="Arial" w:cs="Arial" w:eastAsia="Arial" w:hAnsi="Arial"/>
                <w:sz w:val="25"/>
                <w:szCs w:val="25"/>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line="257" w:lineRule="exact"/>
              <w:rPr>
                <w:sz w:val="20"/>
                <w:szCs w:val="20"/>
                <w:color w:val="auto"/>
              </w:rPr>
            </w:pPr>
            <w:r>
              <w:rPr>
                <w:rFonts w:ascii="Arial" w:cs="Arial" w:eastAsia="Arial" w:hAnsi="Arial"/>
                <w:sz w:val="18"/>
                <w:szCs w:val="18"/>
                <w:color w:val="auto"/>
                <w:w w:val="88"/>
              </w:rPr>
              <w:t>Accrued Costs</w:t>
            </w:r>
            <w:r>
              <w:rPr>
                <w:rFonts w:ascii="Arial" w:cs="Arial" w:eastAsia="Arial" w:hAnsi="Arial"/>
                <w:sz w:val="25"/>
                <w:szCs w:val="25"/>
                <w:color w:val="auto"/>
                <w:w w:val="88"/>
                <w:vertAlign w:val="superscript"/>
              </w:rPr>
              <w:t>(2)</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Deferred Costs</w:t>
            </w:r>
            <w:r>
              <w:rPr>
                <w:rFonts w:ascii="Arial" w:cs="Arial" w:eastAsia="Arial" w:hAnsi="Arial"/>
                <w:sz w:val="25"/>
                <w:szCs w:val="25"/>
                <w:color w:val="auto"/>
                <w:w w:val="87"/>
                <w:vertAlign w:val="superscript"/>
              </w:rPr>
              <w:t>(3)</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$997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3100" w:type="dxa"/>
            <w:vAlign w:val="bottom"/>
          </w:tcPr>
          <w:p>
            <w:pPr>
              <w:jc w:val="right"/>
              <w:spacing w:after="0"/>
              <w:rPr>
                <w:sz w:val="20"/>
                <w:szCs w:val="20"/>
                <w:color w:val="auto"/>
              </w:rPr>
            </w:pPr>
            <w:r>
              <w:rPr>
                <w:rFonts w:ascii="Arial" w:cs="Arial" w:eastAsia="Arial" w:hAnsi="Arial"/>
                <w:sz w:val="18"/>
                <w:szCs w:val="18"/>
                <w:color w:val="auto"/>
              </w:rPr>
              <w:t>447</w:t>
            </w:r>
          </w:p>
        </w:tc>
        <w:tc>
          <w:tcPr>
            <w:tcW w:w="1300" w:type="dxa"/>
            <w:vAlign w:val="bottom"/>
          </w:tcPr>
          <w:p>
            <w:pPr>
              <w:ind w:left="40"/>
              <w:spacing w:after="0"/>
              <w:rPr>
                <w:sz w:val="20"/>
                <w:szCs w:val="20"/>
                <w:color w:val="auto"/>
              </w:rPr>
            </w:pPr>
            <w:r>
              <w:rPr>
                <w:rFonts w:ascii="Arial" w:cs="Arial" w:eastAsia="Arial" w:hAnsi="Arial"/>
                <w:sz w:val="18"/>
                <w:szCs w:val="18"/>
                <w:color w:val="auto"/>
              </w:rPr>
              <w:t>- 835</w:t>
            </w:r>
          </w:p>
        </w:tc>
        <w:tc>
          <w:tcPr>
            <w:tcW w:w="2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6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180" w:right="420" w:hanging="172"/>
        <w:spacing w:after="0" w:line="22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Estimated remediation costs are not discounted to present value. The range of reasonably possible future costs does not take into consideration amounts expected to be recoverable through overhead charges on U.S. government contracts.</w:t>
      </w:r>
    </w:p>
    <w:p>
      <w:pPr>
        <w:spacing w:after="0" w:line="63"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September 30, 2019, $163 million is recorded in Other current liabilities and $380 million is recorded in Other non-current liabilities.</w:t>
      </w:r>
    </w:p>
    <w:p>
      <w:pPr>
        <w:spacing w:after="0" w:line="74" w:lineRule="exact"/>
        <w:rPr>
          <w:rFonts w:ascii="Arial" w:cs="Arial" w:eastAsia="Arial" w:hAnsi="Arial"/>
          <w:sz w:val="18"/>
          <w:szCs w:val="18"/>
          <w:color w:val="auto"/>
          <w:vertAlign w:val="superscript"/>
        </w:rPr>
      </w:pPr>
    </w:p>
    <w:p>
      <w:pPr>
        <w:ind w:left="160" w:hanging="152"/>
        <w:spacing w:after="0" w:line="22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As of September 30, 2019, $128 million is deferred in Prepaid expenses and other current assets and $295 million is deferred in Other non-current assets.</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September 30, 2019, or its annual results of operations and/or cash flows. With respect to Bethpage, the State of New York issued a Feasibility Study and Proposed Amended Record of Decision, proposing to impose additional remedial requirements. The company, along with other interested parties, has submitted comments on that proposal. The comments address, among other things, the adequacy of the existing remedy, concerns with the state’s proposal, and an alternative approach. As discussed in Note 6, the remediation standards or requirements to which we are subject are being reconsidered and may change and costs may increase materially.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2019, there were $452 million of stand-by letters of credit and guarantees and $209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a commercial paper program that serves as a source of short-term financing with capacity to issue unsecured commercial paper notes up to $2.0 billion. At September 30, 2019, there were $399 million of outstanding short-term commercial paper borrowings at a weighted-average interest rate of 2.31 percent that have original maturities of three months or less from the date of issuance. The outstanding balance of commercial paper borrowings is recorded in Other current liabilities in the unaudited condensed consolidated statements of financial position.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2023. At September 30, 2019, there was no balance outstanding under this facility; however, the outstanding balance of commercial paper borrowings reduces the amount available for borrowing under the 2018 Credit Agreement. In October 2019, the company amended the 2018 Credit Agreement to extend its maturity date by one year from August 2023 to August 2024.</w:t>
      </w:r>
    </w:p>
    <w:p>
      <w:pPr>
        <w:spacing w:after="0" w:line="5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December 2016, a subsidiary of the company entered into a two-year credit facility, with two additional one-year option periods, in an aggregate principal amount of £120 million (the equivalent of approximately $148 million as of September 30, 2019) (the “2016 Credit Agreement”). The company exercised the second option to extend the maturity to December 2020. The 2016 Credit Agreement is guaranteed by the company. At September 30, 2019, there was £60 million (the equivalent of approximately $74 million) outstanding under this facility, which bears interest at a rate of LIBOR plus 1.10 percent. All of the borrowings outstanding under this facility mature less than one year from the date of issuance, but may be renewed under the terms of the facility. Based on our intent and ability to refinance the obligations on a long-term basis, a large majority of the borrowings are classified as non-current.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company was in compliance with all covenants under its credit agreements.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(benefit) to the company of its retirement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7"/>
          </w:tcPr>
          <w:p>
            <w:pPr>
              <w:jc w:val="right"/>
              <w:ind w:right="470"/>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3060" w:type="dxa"/>
            <w:vAlign w:val="bottom"/>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6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Pension</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Pension</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53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OPB</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Benefits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OPB</w:t>
            </w:r>
          </w:p>
        </w:tc>
        <w:tc>
          <w:tcPr>
            <w:tcW w:w="6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2019</w:t>
            </w:r>
          </w:p>
        </w:tc>
        <w:tc>
          <w:tcPr>
            <w:tcW w:w="30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2018</w:t>
            </w:r>
          </w:p>
        </w:tc>
        <w:tc>
          <w:tcPr>
            <w:tcW w:w="24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2019</w:t>
            </w:r>
          </w:p>
        </w:tc>
        <w:tc>
          <w:tcPr>
            <w:tcW w:w="24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2018</w:t>
            </w: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2019</w:t>
            </w:r>
          </w:p>
        </w:tc>
        <w:tc>
          <w:tcPr>
            <w:tcW w:w="34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2018</w:t>
            </w:r>
          </w:p>
        </w:tc>
        <w:tc>
          <w:tcPr>
            <w:tcW w:w="26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color w:val="auto"/>
                <w:w w:val="94"/>
              </w:rPr>
              <w:t>2018</w:t>
            </w:r>
          </w:p>
        </w:tc>
      </w:tr>
      <w:tr>
        <w:trPr>
          <w:trHeight w:val="27"/>
        </w:trPr>
        <w:tc>
          <w:tcPr>
            <w:tcW w:w="3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8"/>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276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301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340</w:t>
            </w: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1,020</w:t>
            </w: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906</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(525)</w:t>
            </w: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(1,576)</w:t>
            </w:r>
          </w:p>
        </w:tc>
        <w:tc>
          <w:tcPr>
            <w:tcW w:w="3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98"/>
              </w:rPr>
              <w:t>(1,644)</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34"/>
        </w:trPr>
        <w:tc>
          <w:tcPr>
            <w:tcW w:w="3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jc w:val="both"/>
        <w:ind w:right="4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88"/>
              </w:rPr>
              <w:t>Three Months Ended September</w:t>
            </w:r>
          </w:p>
        </w:tc>
        <w:tc>
          <w:tcPr>
            <w:tcW w:w="244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30</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OPB plans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0"/>
        </w:trPr>
        <w:tc>
          <w:tcPr>
            <w:tcW w:w="6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ind w:right="4060"/>
        <w:spacing w:after="0" w:line="308" w:lineRule="auto"/>
        <w:rPr>
          <w:sz w:val="20"/>
          <w:szCs w:val="20"/>
          <w:color w:val="auto"/>
        </w:rPr>
      </w:pPr>
      <w:r>
        <w:rPr>
          <w:rFonts w:ascii="Arial" w:cs="Arial" w:eastAsia="Arial" w:hAnsi="Arial"/>
          <w:sz w:val="18"/>
          <w:szCs w:val="18"/>
          <w:b w:val="1"/>
          <w:bCs w:val="1"/>
          <w:color w:val="auto"/>
        </w:rPr>
        <w:t>9. STOCK COMPENSATION PLANS AND OTHER COMPENSATION ARRANGEMENTS Stock Awards</w:t>
      </w:r>
    </w:p>
    <w:p>
      <w:pPr>
        <w:ind w:right="30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0"/>
        </w:trPr>
        <w:tc>
          <w:tcPr>
            <w:tcW w:w="9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9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1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LEASES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described in Note 1, effective January 1, 2019, we adopted ASC 842 using the optional transition method. In accordance with the optional transition method, we did not recast the prior period unaudited condensed consolidated financial statements and all prior period amounts and disclosures are presented under ASC 840. Finance leases are not material to our unaudited condensed consolidated financial statements and are therefore not included in the following disclosures.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Cost</w:t>
      </w:r>
    </w:p>
    <w:p>
      <w:pPr>
        <w:spacing w:after="0" w:line="27" w:lineRule="exact"/>
        <w:rPr>
          <w:sz w:val="20"/>
          <w:szCs w:val="20"/>
          <w:color w:val="auto"/>
        </w:rPr>
      </w:pPr>
    </w:p>
    <w:p>
      <w:pPr>
        <w:ind w:right="1100"/>
        <w:spacing w:after="0" w:line="290" w:lineRule="auto"/>
        <w:rPr>
          <w:sz w:val="20"/>
          <w:szCs w:val="20"/>
          <w:color w:val="auto"/>
        </w:rPr>
      </w:pPr>
      <w:r>
        <w:rPr>
          <w:rFonts w:ascii="Arial" w:cs="Arial" w:eastAsia="Arial" w:hAnsi="Arial"/>
          <w:sz w:val="17"/>
          <w:szCs w:val="17"/>
          <w:color w:val="auto"/>
        </w:rPr>
        <w:t>Total lease cost is included in Product and Service costs and G&amp;A expenses in the unaudited condensed consolidated statement of earnings and comprehensive income and is recorded net of immaterial sublease income. Total lease cost is comprised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760" w:type="dxa"/>
            <w:vAlign w:val="bottom"/>
            <w:gridSpan w:val="2"/>
          </w:tcPr>
          <w:p>
            <w:pPr>
              <w:ind w:left="340"/>
              <w:spacing w:after="0"/>
              <w:rPr>
                <w:sz w:val="20"/>
                <w:szCs w:val="20"/>
                <w:color w:val="auto"/>
              </w:rPr>
            </w:pPr>
            <w:r>
              <w:rPr>
                <w:rFonts w:ascii="Arial" w:cs="Arial" w:eastAsia="Arial" w:hAnsi="Arial"/>
                <w:sz w:val="18"/>
                <w:szCs w:val="18"/>
                <w:color w:val="auto"/>
                <w:w w:val="91"/>
              </w:rPr>
              <w:t>Three Months Ended September</w:t>
            </w:r>
          </w:p>
        </w:tc>
        <w:tc>
          <w:tcPr>
            <w:tcW w:w="2440" w:type="dxa"/>
            <w:vAlign w:val="bottom"/>
            <w:gridSpan w:val="2"/>
          </w:tcPr>
          <w:p>
            <w:pPr>
              <w:jc w:val="center"/>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6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800" w:type="dxa"/>
            <w:vAlign w:val="bottom"/>
          </w:tcPr>
          <w:p>
            <w:pPr>
              <w:spacing w:after="0"/>
              <w:rPr>
                <w:sz w:val="20"/>
                <w:szCs w:val="20"/>
                <w:color w:val="auto"/>
              </w:rPr>
            </w:pPr>
          </w:p>
        </w:tc>
        <w:tc>
          <w:tcPr>
            <w:tcW w:w="1960" w:type="dxa"/>
            <w:vAlign w:val="bottom"/>
          </w:tcPr>
          <w:p>
            <w:pPr>
              <w:jc w:val="right"/>
              <w:ind w:right="850"/>
              <w:spacing w:after="0"/>
              <w:rPr>
                <w:sz w:val="20"/>
                <w:szCs w:val="20"/>
                <w:color w:val="auto"/>
              </w:rPr>
            </w:pPr>
            <w:r>
              <w:rPr>
                <w:rFonts w:ascii="Arial" w:cs="Arial" w:eastAsia="Arial" w:hAnsi="Arial"/>
                <w:sz w:val="18"/>
                <w:szCs w:val="18"/>
                <w:color w:val="auto"/>
              </w:rPr>
              <w:t>30, 2019</w:t>
            </w:r>
          </w:p>
        </w:tc>
        <w:tc>
          <w:tcPr>
            <w:tcW w:w="420" w:type="dxa"/>
            <w:vAlign w:val="bottom"/>
          </w:tcPr>
          <w:p>
            <w:pPr>
              <w:spacing w:after="0"/>
              <w:rPr>
                <w:sz w:val="20"/>
                <w:szCs w:val="20"/>
                <w:color w:val="auto"/>
              </w:rPr>
            </w:pPr>
          </w:p>
        </w:tc>
        <w:tc>
          <w:tcPr>
            <w:tcW w:w="2020" w:type="dxa"/>
            <w:vAlign w:val="bottom"/>
          </w:tcPr>
          <w:p>
            <w:pPr>
              <w:jc w:val="center"/>
              <w:ind w:right="290"/>
              <w:spacing w:after="0"/>
              <w:rPr>
                <w:sz w:val="20"/>
                <w:szCs w:val="20"/>
                <w:color w:val="auto"/>
              </w:rPr>
            </w:pPr>
            <w:r>
              <w:rPr>
                <w:rFonts w:ascii="Arial" w:cs="Arial" w:eastAsia="Arial" w:hAnsi="Arial"/>
                <w:sz w:val="18"/>
                <w:szCs w:val="18"/>
                <w:color w:val="auto"/>
                <w:w w:val="91"/>
              </w:rPr>
              <w:t>30, 2019</w:t>
            </w:r>
          </w:p>
        </w:tc>
      </w:tr>
      <w:tr>
        <w:trPr>
          <w:trHeight w:val="27"/>
        </w:trPr>
        <w:tc>
          <w:tcPr>
            <w:tcW w:w="6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8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8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106</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6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492"/>
        </w:trPr>
        <w:tc>
          <w:tcPr>
            <w:tcW w:w="622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w w:val="95"/>
              </w:rPr>
              <w:t>Supplemental operating lease balance sheet information consists of the following:</w:t>
            </w:r>
          </w:p>
        </w:tc>
        <w:tc>
          <w:tcPr>
            <w:tcW w:w="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6"/>
              </w:rPr>
              <w:t>September 30, 2019</w:t>
            </w:r>
          </w:p>
        </w:tc>
      </w:tr>
      <w:tr>
        <w:trPr>
          <w:trHeight w:val="27"/>
        </w:trPr>
        <w:tc>
          <w:tcPr>
            <w:tcW w:w="6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r>
      <w:tr>
        <w:trPr>
          <w:trHeight w:val="324"/>
        </w:trPr>
        <w:tc>
          <w:tcPr>
            <w:tcW w:w="6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1,304</w:t>
            </w:r>
          </w:p>
        </w:tc>
      </w:tr>
      <w:tr>
        <w:trPr>
          <w:trHeight w:val="27"/>
        </w:trPr>
        <w:tc>
          <w:tcPr>
            <w:tcW w:w="6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8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r>
      <w:tr>
        <w:trPr>
          <w:trHeight w:val="492"/>
        </w:trPr>
        <w:tc>
          <w:tcPr>
            <w:tcW w:w="6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Supplemental Information</w:t>
            </w:r>
          </w:p>
        </w:tc>
        <w:tc>
          <w:tcPr>
            <w:tcW w:w="80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Other supplemental operating lease information consists of the following:</w:t>
            </w:r>
          </w:p>
        </w:tc>
        <w:tc>
          <w:tcPr>
            <w:tcW w:w="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4"/>
        </w:trPr>
        <w:tc>
          <w:tcPr>
            <w:tcW w:w="6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40" w:type="dxa"/>
            <w:vAlign w:val="bottom"/>
            <w:gridSpan w:val="2"/>
          </w:tcPr>
          <w:p>
            <w:pPr>
              <w:jc w:val="center"/>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6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8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jc w:val="center"/>
              <w:ind w:right="250"/>
              <w:spacing w:after="0"/>
              <w:rPr>
                <w:sz w:val="20"/>
                <w:szCs w:val="20"/>
                <w:color w:val="auto"/>
              </w:rPr>
            </w:pPr>
            <w:r>
              <w:rPr>
                <w:rFonts w:ascii="Arial" w:cs="Arial" w:eastAsia="Arial" w:hAnsi="Arial"/>
                <w:sz w:val="18"/>
                <w:szCs w:val="18"/>
                <w:color w:val="auto"/>
                <w:w w:val="91"/>
              </w:rPr>
              <w:t>30, 2019</w:t>
            </w:r>
          </w:p>
        </w:tc>
      </w:tr>
      <w:tr>
        <w:trPr>
          <w:trHeight w:val="27"/>
        </w:trPr>
        <w:tc>
          <w:tcPr>
            <w:tcW w:w="6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Cash paid for amounts included in the measurement of operating lease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lease liabilities</w:t>
            </w: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397</w:t>
            </w:r>
          </w:p>
        </w:tc>
      </w:tr>
      <w:tr>
        <w:trPr>
          <w:trHeight w:val="27"/>
        </w:trPr>
        <w:tc>
          <w:tcPr>
            <w:tcW w:w="6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324"/>
        </w:trPr>
        <w:tc>
          <w:tcPr>
            <w:tcW w:w="6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Weighted average remaining lease term</w:t>
            </w: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color w:val="auto"/>
              </w:rPr>
              <w:t>11.7 years</w:t>
            </w:r>
          </w:p>
        </w:tc>
      </w:tr>
      <w:tr>
        <w:trPr>
          <w:trHeight w:val="27"/>
        </w:trPr>
        <w:tc>
          <w:tcPr>
            <w:tcW w:w="6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8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 of Lease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2019 are as follows: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160" w:type="dxa"/>
            <w:vAlign w:val="bottom"/>
          </w:tcPr>
          <w:p>
            <w:pPr>
              <w:ind w:left="28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25"/>
                <w:szCs w:val="25"/>
                <w:color w:val="auto"/>
                <w:vertAlign w:val="superscript"/>
              </w:rPr>
              <w:t>(1)</w:t>
            </w:r>
          </w:p>
        </w:tc>
        <w:tc>
          <w:tcPr>
            <w:tcW w:w="39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2021</w:t>
            </w:r>
          </w:p>
        </w:tc>
        <w:tc>
          <w:tcPr>
            <w:tcW w:w="39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39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2023</w:t>
            </w:r>
          </w:p>
        </w:tc>
        <w:tc>
          <w:tcPr>
            <w:tcW w:w="39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3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payments</w:t>
            </w:r>
          </w:p>
        </w:tc>
        <w:tc>
          <w:tcPr>
            <w:tcW w:w="39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1,994</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9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7"/>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39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1,564</w:t>
            </w:r>
          </w:p>
        </w:tc>
      </w:tr>
      <w:tr>
        <w:trPr>
          <w:trHeight w:val="34"/>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Excludes the nine months ended September 30, 2019.</w:t>
      </w:r>
    </w:p>
    <w:p>
      <w:pPr>
        <w:spacing w:after="0" w:line="7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As of September 30, 2019, we have approximately $100 million in rental commitments for real estate leases that have not yet commenced. These leases are expected to commence in 2020 and 2021 with lease terms of 2 to 12 years.</w:t>
      </w:r>
    </w:p>
    <w:p>
      <w:pPr>
        <w:spacing w:after="0" w:line="5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Rental expense for operating leases classified under ASC 840 for the three and nine months ended September 30, 2018 was $97 million and $270 million, respectively. These amounts are net of immaterial amounts of sublease income. As of December 31, 2018, future minimum lease payments under long-term non-cancelable operating leases as classified under ASC 840 were as follows: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2019</w:t>
            </w:r>
          </w:p>
        </w:tc>
        <w:tc>
          <w:tcPr>
            <w:tcW w:w="62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6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2021</w:t>
            </w:r>
          </w:p>
        </w:tc>
        <w:tc>
          <w:tcPr>
            <w:tcW w:w="6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6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2023</w:t>
            </w:r>
          </w:p>
        </w:tc>
        <w:tc>
          <w:tcPr>
            <w:tcW w:w="6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39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6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r>
      <w:tr>
        <w:trPr>
          <w:trHeight w:val="237"/>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minimum lease payments</w:t>
            </w:r>
          </w:p>
        </w:tc>
        <w:tc>
          <w:tcPr>
            <w:tcW w:w="62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2,080</w:t>
            </w:r>
          </w:p>
        </w:tc>
      </w:tr>
      <w:tr>
        <w:trPr>
          <w:trHeight w:val="34"/>
        </w:trPr>
        <w:tc>
          <w:tcPr>
            <w:tcW w:w="392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837"/>
        </w:trPr>
        <w:tc>
          <w:tcPr>
            <w:tcW w:w="3920" w:type="dxa"/>
            <w:vAlign w:val="bottom"/>
          </w:tcPr>
          <w:p>
            <w:pPr>
              <w:spacing w:after="0"/>
              <w:rPr>
                <w:sz w:val="24"/>
                <w:szCs w:val="24"/>
                <w:color w:val="auto"/>
              </w:rPr>
            </w:pPr>
          </w:p>
        </w:tc>
        <w:tc>
          <w:tcPr>
            <w:tcW w:w="6220" w:type="dxa"/>
            <w:vAlign w:val="bottom"/>
          </w:tcPr>
          <w:p>
            <w:pPr>
              <w:jc w:val="right"/>
              <w:ind w:right="4190"/>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SEGMENT INFORMATION</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aligned in four operating sectors, which also comprise our reportable segments: Aerospace Systems, Innovation Systems, Mission Systems and Technology 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w w:val="90"/>
              </w:rPr>
              <w:t>Three Months Ended September</w:t>
            </w:r>
          </w:p>
        </w:tc>
        <w:tc>
          <w:tcPr>
            <w:tcW w:w="2440" w:type="dxa"/>
            <w:vAlign w:val="bottom"/>
            <w:gridSpan w:val="4"/>
          </w:tcPr>
          <w:p>
            <w:pPr>
              <w:jc w:val="right"/>
              <w:spacing w:after="0"/>
              <w:rPr>
                <w:sz w:val="20"/>
                <w:szCs w:val="20"/>
                <w:color w:val="auto"/>
              </w:rPr>
            </w:pPr>
            <w:r>
              <w:rPr>
                <w:rFonts w:ascii="Arial" w:cs="Arial" w:eastAsia="Arial" w:hAnsi="Arial"/>
                <w:sz w:val="18"/>
                <w:szCs w:val="18"/>
                <w:color w:val="auto"/>
                <w:w w:val="94"/>
              </w:rPr>
              <w:t>Nine Months Ended September</w:t>
            </w:r>
          </w:p>
        </w:tc>
      </w:tr>
      <w:tr>
        <w:trPr>
          <w:trHeight w:val="230"/>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79"/>
              </w:rPr>
              <w:t>30</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30</w:t>
            </w: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Aerospace Systems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3,458</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3,282</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10,344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4,520</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3,029</w:t>
            </w:r>
          </w:p>
        </w:tc>
        <w:tc>
          <w:tcPr>
            <w:tcW w:w="4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2,911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9,043</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8,668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(663)</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8,085</w:t>
            </w: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25,120</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Innovation Systems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4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4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940</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979</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2,885</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Unallocated corporate (expense)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4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2,837</w:t>
            </w:r>
          </w:p>
        </w:tc>
      </w:tr>
      <w:tr>
        <w:trPr>
          <w:trHeight w:val="27"/>
        </w:trPr>
        <w:tc>
          <w:tcPr>
            <w:tcW w:w="6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 Income</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2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85"/>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5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8"/>
        </w:trPr>
        <w:tc>
          <w:tcPr>
            <w:tcW w:w="3580" w:type="dxa"/>
            <w:vAlign w:val="bottom"/>
            <w:gridSpan w:val="2"/>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260" w:type="dxa"/>
            <w:vAlign w:val="bottom"/>
          </w:tcPr>
          <w:p>
            <w:pPr>
              <w:spacing w:after="0"/>
              <w:rPr>
                <w:sz w:val="24"/>
                <w:szCs w:val="24"/>
                <w:color w:val="auto"/>
              </w:rPr>
            </w:pPr>
          </w:p>
        </w:tc>
        <w:tc>
          <w:tcPr>
            <w:tcW w:w="3640" w:type="dxa"/>
            <w:vAlign w:val="bottom"/>
            <w:gridSpan w:val="5"/>
          </w:tcPr>
          <w:p>
            <w:pPr>
              <w:jc w:val="right"/>
              <w:ind w:right="591"/>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4"/>
                <w:szCs w:val="24"/>
                <w:color w:val="auto"/>
              </w:rPr>
            </w:pPr>
          </w:p>
        </w:tc>
        <w:tc>
          <w:tcPr>
            <w:tcW w:w="302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2"/>
                <w:szCs w:val="12"/>
                <w:color w:val="auto"/>
              </w:rPr>
              <w:t>(3)</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51"/>
              <w:spacing w:after="0" w:line="264" w:lineRule="exact"/>
              <w:rPr>
                <w:sz w:val="20"/>
                <w:szCs w:val="20"/>
                <w:color w:val="auto"/>
              </w:rPr>
            </w:pPr>
            <w:r>
              <w:rPr>
                <w:rFonts w:ascii="Arial" w:cs="Arial" w:eastAsia="Arial" w:hAnsi="Arial"/>
                <w:sz w:val="30"/>
                <w:szCs w:val="30"/>
                <w:color w:val="auto"/>
                <w:w w:val="92"/>
                <w:vertAlign w:val="subscript"/>
              </w:rPr>
              <w:t>%</w:t>
            </w:r>
            <w:r>
              <w:rPr>
                <w:rFonts w:ascii="Arial" w:cs="Arial" w:eastAsia="Arial" w:hAnsi="Arial"/>
                <w:sz w:val="12"/>
                <w:szCs w:val="12"/>
                <w:color w:val="auto"/>
                <w:w w:val="92"/>
              </w:rPr>
              <w:t>(3)</w:t>
            </w: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3,014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2,926</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8,954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8,633</w:t>
            </w: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3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353</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270</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1,137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36</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100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124</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42</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5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Aerospace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3,458</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3,282</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10,344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9,899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1,163</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74%</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972</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3,239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1,237</w:t>
            </w: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3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228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272</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99</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134</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331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164</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94</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248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35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Innovation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1,584</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1,415</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4,520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1,815</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2,260</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75%</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2,232</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6,775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6,577</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3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416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374</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32</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105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89</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321</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280</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5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3,029</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2,911</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9,043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8,668</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629</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59%</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581</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1,799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1,780</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3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208</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183</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596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37</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72</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94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241</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193</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204</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553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35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Technology Services sales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1,067</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1,040</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3,088</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3,232</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7,066</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6,711</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3"/>
                <w:szCs w:val="23"/>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20,767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18,227</w:t>
            </w: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35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1,205</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1,099</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3,723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3,094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Other customers</w:t>
            </w:r>
          </w:p>
        </w:tc>
        <w:tc>
          <w:tcPr>
            <w:tcW w:w="26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275</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630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618</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8,475</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8,085</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25,120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21,939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10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20" w:hanging="172"/>
        <w:spacing w:after="0" w:line="229"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400" w:hanging="172"/>
        <w:spacing w:after="0" w:line="229" w:lineRule="auto"/>
        <w:tabs>
          <w:tab w:leader="none" w:pos="184"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11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240" w:type="dxa"/>
            <w:vAlign w:val="bottom"/>
          </w:tcPr>
          <w:p>
            <w:pPr>
              <w:spacing w:after="0"/>
              <w:rPr>
                <w:sz w:val="20"/>
                <w:szCs w:val="20"/>
                <w:color w:val="auto"/>
              </w:rPr>
            </w:pPr>
          </w:p>
        </w:tc>
        <w:tc>
          <w:tcPr>
            <w:tcW w:w="3640" w:type="dxa"/>
            <w:vAlign w:val="bottom"/>
            <w:gridSpan w:val="5"/>
          </w:tcPr>
          <w:p>
            <w:pPr>
              <w:jc w:val="right"/>
              <w:ind w:right="573"/>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3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53"/>
              <w:spacing w:after="0" w:line="276"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2"/>
                <w:szCs w:val="12"/>
                <w:color w:val="auto"/>
                <w:w w:val="89"/>
              </w:rPr>
              <w:t>(1)</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Aerospace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1,995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1,953</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5,976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5,789</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1,408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4,215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3,958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55</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153</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21"/>
                <w:szCs w:val="2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Aerospace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3,458</w:t>
            </w:r>
          </w:p>
        </w:tc>
        <w:tc>
          <w:tcPr>
            <w:tcW w:w="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3,282</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10,344</w:t>
            </w: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9,899</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1,232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472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1,071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1,005</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3,040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1,293</w:t>
            </w: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94</w:t>
            </w:r>
          </w:p>
        </w:tc>
        <w:tc>
          <w:tcPr>
            <w:tcW w:w="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248</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1,584</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1,415</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4,520</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1,815</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1,264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1,259</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3,854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3,745</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1,444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1,372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4,268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4,065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321</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280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921</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858</w:t>
            </w:r>
          </w:p>
        </w:tc>
        <w:tc>
          <w:tcPr>
            <w:tcW w:w="660" w:type="dxa"/>
            <w:vAlign w:val="bottom"/>
          </w:tcPr>
          <w:p>
            <w:pPr>
              <w:spacing w:after="0"/>
              <w:rPr>
                <w:sz w:val="21"/>
                <w:szCs w:val="21"/>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3,029</w:t>
            </w:r>
          </w:p>
        </w:tc>
        <w:tc>
          <w:tcPr>
            <w:tcW w:w="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2,911</w:t>
            </w:r>
          </w:p>
        </w:tc>
        <w:tc>
          <w:tcPr>
            <w:tcW w:w="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9,043</w:t>
            </w: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8,668</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398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1,202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1,195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476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463</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1,333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1,422</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193</w:t>
            </w:r>
          </w:p>
        </w:tc>
        <w:tc>
          <w:tcPr>
            <w:tcW w:w="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204</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553</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615</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1,067</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1,040</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3,088</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3,232</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4,076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3,958</w:t>
            </w: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12,264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11,201</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4,399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4,127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12,856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10,738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8,475</w:t>
            </w:r>
          </w:p>
        </w:tc>
        <w:tc>
          <w:tcPr>
            <w:tcW w:w="7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8,085</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25,120</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21,939</w:t>
            </w:r>
          </w:p>
        </w:tc>
        <w:tc>
          <w:tcPr>
            <w:tcW w:w="660" w:type="dxa"/>
            <w:vAlign w:val="bottom"/>
            <w:tcBorders>
              <w:top w:val="single" w:sz="8" w:color="auto"/>
            </w:tcBorders>
          </w:tcPr>
          <w:p>
            <w:pPr>
              <w:spacing w:after="0"/>
              <w:rPr>
                <w:sz w:val="20"/>
                <w:szCs w:val="20"/>
                <w:color w:val="auto"/>
              </w:rPr>
            </w:pPr>
          </w:p>
        </w:tc>
      </w:tr>
      <w:tr>
        <w:trPr>
          <w:trHeight w:val="34"/>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240" w:type="dxa"/>
            <w:vAlign w:val="bottom"/>
          </w:tcPr>
          <w:p>
            <w:pPr>
              <w:spacing w:after="0"/>
              <w:rPr>
                <w:sz w:val="20"/>
                <w:szCs w:val="20"/>
                <w:color w:val="auto"/>
              </w:rPr>
            </w:pPr>
          </w:p>
        </w:tc>
        <w:tc>
          <w:tcPr>
            <w:tcW w:w="3640" w:type="dxa"/>
            <w:vAlign w:val="bottom"/>
            <w:gridSpan w:val="5"/>
          </w:tcPr>
          <w:p>
            <w:pPr>
              <w:jc w:val="right"/>
              <w:ind w:right="572"/>
              <w:spacing w:after="0"/>
              <w:rPr>
                <w:sz w:val="20"/>
                <w:szCs w:val="20"/>
                <w:color w:val="auto"/>
              </w:rPr>
            </w:pPr>
            <w:r>
              <w:rPr>
                <w:rFonts w:ascii="Arial" w:cs="Arial" w:eastAsia="Arial" w:hAnsi="Arial"/>
                <w:sz w:val="18"/>
                <w:szCs w:val="18"/>
                <w:color w:val="auto"/>
              </w:rPr>
              <w:t>Three Months Ended September 30</w:t>
            </w:r>
          </w:p>
        </w:tc>
        <w:tc>
          <w:tcPr>
            <w:tcW w:w="280" w:type="dxa"/>
            <w:vAlign w:val="bottom"/>
          </w:tcPr>
          <w:p>
            <w:pPr>
              <w:spacing w:after="0"/>
              <w:rPr>
                <w:sz w:val="20"/>
                <w:szCs w:val="20"/>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r>
      <w:tr>
        <w:trPr>
          <w:trHeight w:val="27"/>
        </w:trPr>
        <w:tc>
          <w:tcPr>
            <w:tcW w:w="3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2"/>
                <w:szCs w:val="12"/>
                <w:color w:val="auto"/>
              </w:rPr>
              <w:t>(2)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252"/>
              <w:spacing w:after="0" w:line="276"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2"/>
                <w:szCs w:val="12"/>
                <w:color w:val="auto"/>
                <w:w w:val="89"/>
              </w:rPr>
              <w:t>(2)</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3,050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2,970</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9,054</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8,757</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632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499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180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149</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505</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491</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55</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153</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Aerospace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3,458</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3,282</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10,344</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9,899</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1,262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1,105</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3,570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1,401</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96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198</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579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268</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94</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248</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Innovation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1,584</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1,415</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4,520</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1,815</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2,292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2,253</w:t>
            </w: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6,880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6,666</w:t>
            </w: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143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443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521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273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170</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799</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623</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321</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280</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921</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858</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3,029</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2,911</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9,043</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8,668</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666</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653</w:t>
            </w: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1,893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36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164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32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138</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498</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483</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193</w:t>
            </w:r>
          </w:p>
        </w:tc>
        <w:tc>
          <w:tcPr>
            <w:tcW w:w="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204</w:t>
            </w:r>
          </w:p>
        </w:tc>
        <w:tc>
          <w:tcPr>
            <w:tcW w:w="7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553</w:t>
            </w:r>
          </w:p>
        </w:tc>
        <w:tc>
          <w:tcPr>
            <w:tcW w:w="7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615</w:t>
            </w:r>
          </w:p>
        </w:tc>
        <w:tc>
          <w:tcPr>
            <w:tcW w:w="660" w:type="dxa"/>
            <w:vAlign w:val="bottom"/>
            <w:tcBorders>
              <w:bottom w:val="single" w:sz="8" w:color="CCEEFF"/>
            </w:tcBorders>
            <w:shd w:val="clear" w:color="auto" w:fill="CCEEFF"/>
          </w:tcPr>
          <w:p>
            <w:pPr>
              <w:spacing w:after="0"/>
              <w:rPr>
                <w:sz w:val="23"/>
                <w:szCs w:val="23"/>
                <w:color w:val="auto"/>
              </w:rPr>
            </w:pPr>
          </w:p>
        </w:tc>
      </w:tr>
      <w:tr>
        <w:trPr>
          <w:trHeight w:val="23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Technology Services sales</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1,067</w:t>
            </w:r>
          </w:p>
        </w:tc>
        <w:tc>
          <w:tcPr>
            <w:tcW w:w="7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1,040</w:t>
            </w: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3,088</w:t>
            </w:r>
          </w:p>
        </w:tc>
        <w:tc>
          <w:tcPr>
            <w:tcW w:w="7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3,232</w:t>
            </w:r>
          </w:p>
        </w:tc>
        <w:tc>
          <w:tcPr>
            <w:tcW w:w="660" w:type="dxa"/>
            <w:vAlign w:val="bottom"/>
            <w:tcBorders>
              <w:top w:val="single" w:sz="8" w:color="auto"/>
            </w:tcBorders>
          </w:tcPr>
          <w:p>
            <w:pPr>
              <w:spacing w:after="0"/>
              <w:rPr>
                <w:sz w:val="20"/>
                <w:szCs w:val="20"/>
                <w:color w:val="auto"/>
              </w:rPr>
            </w:pPr>
          </w:p>
        </w:tc>
      </w:tr>
      <w:tr>
        <w:trPr>
          <w:trHeight w:val="27"/>
        </w:trPr>
        <w:tc>
          <w:tcPr>
            <w:tcW w:w="3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7,270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2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6,981</w:t>
            </w: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21,397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18,845</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390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446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1,342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1,229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60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658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2,381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1,865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8,475</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8,085</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25,120</w:t>
            </w: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21,939</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7"/>
        </w:trPr>
        <w:tc>
          <w:tcPr>
            <w:tcW w:w="3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reviewed the accompanying condensed consolidated statement of financial position of Northrop Grumman Corporation and subsidiaries (the “Company”) as of September 30, 2019, and the related condensed consolidated statements of earnings and comprehensive income and changes in shareholders’ equity for the three-month and nine-month periods ended September 30, 2019 and 2018, and of cash flows for the nine-month periods ended September 30, 2019 and 2018,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2018, and the related consolidated statements of earnings and comprehensive income, changes in shareholders’ equity, and cash flows for the year then ended (not presented herein); and in our report dated January 30, 2019, we expressed an unqualified opinion on those consolidated financial statements, which included an explanatory paragraph regarding the Company’s change in its method of accounting for recognizing pension and other postretirement benefit plans actuarial gains and losses and the manner in which it accounts for revenue from contracts with customers. In our opinion, the information set forth in the accompanying condensed consolidated statement of financial position as of December 31, 2018, is fairly stated, in all material respects, in relation to the audited consolidated statement of financial position from which it has been derived.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2019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364"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82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2018 Annual Report on Form 10-K, which provides additional information on our business and the environment in which we operate and our operating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70808"/>
        </w:rPr>
        <w:t>Acquisition of Orbital ATK</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070808"/>
        </w:rPr>
        <w:t>On June 6, 2018 (the “Merger date”), the company completed its previously announced acquisition of Orbital ATK, Inc. (“Orbital ATK”) (the “Merger”). On the Merger date, Orbital ATK became a wholly-owned subsidiary of the company and its name was changed to Northrop Grumman Innovation Systems, Inc., which we established as a new, fourth business sector (“Innovation Systems”). The operating results of Innovation Systems subsequent to the Merger date have been included in the company’s unaudited condensed consolidated results of operations. See N</w:t>
      </w:r>
      <w:r>
        <w:rPr>
          <w:rFonts w:ascii="Arial" w:cs="Arial" w:eastAsia="Arial" w:hAnsi="Arial"/>
          <w:sz w:val="18"/>
          <w:szCs w:val="18"/>
          <w:color w:val="000000"/>
        </w:rPr>
        <w:t>ote 2 to the financial statements for further information</w:t>
      </w:r>
      <w:r>
        <w:rPr>
          <w:rFonts w:ascii="Arial" w:cs="Arial" w:eastAsia="Arial" w:hAnsi="Arial"/>
          <w:sz w:val="18"/>
          <w:szCs w:val="18"/>
          <w:color w:val="070808"/>
        </w:rPr>
        <w:t xml:space="preserve"> </w:t>
      </w:r>
      <w:r>
        <w:rPr>
          <w:rFonts w:ascii="Arial" w:cs="Arial" w:eastAsia="Arial" w:hAnsi="Arial"/>
          <w:sz w:val="18"/>
          <w:szCs w:val="18"/>
          <w:color w:val="000000"/>
        </w:rPr>
        <w:t>regarding the acquisition of Orbital ATK.</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2018, the U.S. Federal Trade Commission (FTC) issued a Decision and Order enabling the acquisition to proceed and providing for solid rocket motors to be available on a non-discriminatory basis under certain circumstances and processes. The company has taken and continues to take robust actions to help ensure compliance with the terms of the Order. Similarly, the Compliance Officer, appointed under the Order, and the FTC have taken and continue to take various actions to oversee compliance. In October 2019, the company received a civil investigative demand from the FTC requesting certain information relating to a potential issue of the company’s compliance with the Order in connection with a pending strategic missile competition. The company is working to respond to the request. We believe the company has been and continues to be in full compliance with the Order, but we cannot predict any potential impact on the pending competition.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Since the filing of our 2018 Annual Report on Form 10-K, full year appropriations for FY 2019 were enacted for all remaining U.S. government agencies and the President proposed an FY 2020 budget requesting $750 billion for national security. The President’s budget request addresses various capabilities highlighted in the U.S. National Security Strategy, the National Defense Strategy and the Missile Defense Review. On August 2, 2019, the Bipartisan Budget Act of 2019 was enacted, increasing spending caps under the Budget Control Act (BCA) for FY 2020 and FY 2021, the final two fiscal years covered by the BCA, and suspending the debt ceiling through July 31, 2021. FY 2020 appropriations have not been enacted and on September 27, 2019, a continuing resolution was enacted to provide funding at FY 2019 levels through November 21, 2019. We believe our capabilities, particularly in space, missiles, missile defense, hypersonics, counter-hypersonics, low observable technology and cyber will allow us to continue to profitably grow our business in support of our customers’ needs.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18" w:right="2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right"/>
              <w:ind w:right="270"/>
              <w:spacing w:after="0"/>
              <w:rPr>
                <w:sz w:val="20"/>
                <w:szCs w:val="20"/>
                <w:color w:val="auto"/>
              </w:rPr>
            </w:pPr>
            <w:r>
              <w:rPr>
                <w:rFonts w:ascii="Arial" w:cs="Arial" w:eastAsia="Arial" w:hAnsi="Arial"/>
                <w:sz w:val="18"/>
                <w:szCs w:val="18"/>
                <w:color w:val="auto"/>
                <w:w w:val="97"/>
              </w:rPr>
              <w:t>Three Months Ended</w:t>
            </w:r>
          </w:p>
        </w:tc>
        <w:tc>
          <w:tcPr>
            <w:tcW w:w="13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8,475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8,085</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25,120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21,939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7,524</w:t>
            </w:r>
          </w:p>
        </w:tc>
        <w:tc>
          <w:tcPr>
            <w:tcW w:w="2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6,913</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9 %</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22,287</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19,102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88.8%</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85.5%</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88.7%</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87.1%</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951</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1,172</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2,833</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2,837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11.2%</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11.3%</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12.9%</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122</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120</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2 %</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460</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466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11.6%</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w:t>
            </w:r>
          </w:p>
        </w:tc>
        <w:tc>
          <w:tcPr>
            <w:tcW w:w="1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14.8%</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14.0%</w:t>
            </w: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933</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1,244</w:t>
            </w: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(25)%</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2,657</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2,873</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7.11</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15.60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83"/>
        </w:trPr>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Current Quarter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Third quarter 2019 sales increased $390 million, or 5 percent, due to higher sales at all four sectors.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Year to date 2019 sales increased $3.2 billion due to the addition of a full nine months of Innovation Systems sales as well as higher sales at Aerospace Systems and Mission Systems, partially offset by lower sales at Technology Services.</w:t>
      </w:r>
    </w:p>
    <w:p>
      <w:pPr>
        <w:spacing w:after="0" w:line="4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11 to the financial statements for information regarding the company’s sales by customer type, contract type and geographic region for each of our segments.</w:t>
      </w: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Third quarter 2019 operating income decreased $221 million and operating margin rate declined to 11.2 percent primarily due to higher unallocated corporate expense, a decrease in the net FAS (service)/CAS pension adjustment and lower segment operating income. Third quarter 2018 unallocated corporate expense included a $223 million benefit recognized for the finalization of certain prior year cost claims.</w:t>
      </w:r>
    </w:p>
    <w:p>
      <w:pPr>
        <w:spacing w:after="0" w:line="5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Third quarter 2019 general and administrative (G&amp;A) costs as a percentage of sales decreased to 9.2 percent from 10.1 percent primarily due to cost management, including cost synergies realized in connection with the 2018 acquisition of Orbital ATK, and higher sales.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Year to date 2019 operating income was comparable to the prior year period and reflects a $365 million increase in segment operating income, including a full nine months of operating income from Innovation Systems, offset by higher unallocated corporate expense, largely due to the previously noted 2018 cost claim benefit, and a decrease in the net FAS (service)/CAS pension adjustment. Operating margin rate declined to 11.3 percent principally due to the increase in unallocated corporate expense and decrease in the net FAS (service)/CAS pension adjustment.</w:t>
      </w:r>
    </w:p>
    <w:p>
      <w:pPr>
        <w:spacing w:after="0" w:line="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Year to date 2019 G&amp;A costs as a percentage of sales decreased to 9.2 percent from 10.3 percent primarily due to cost management, including the cost synergies described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product and service operating costs and expenses, see “Product and Service Analysis” below.</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third quarter 2019 effective tax rate increased to 11.6 percent from 8.8 percent in the third quarter of 2018. See Note 4 to the financial statements for additional information.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year to date 2019 effective tax rate increased to 14.8 percent from 14.0 percent in the prior year period. See Note 4 to the financial statements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Third quarter 2019 net earnings decreased $311 million primarily due to lower operating income as well as a $70 million decrease in FAS (non-service) pension benefit.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Year to date 2019 net earnings decreased $216 million primarily due to a $182 million decrease in FAS (non-service) pension benefit and a $58 million decrease in other, net, principally due to lower interest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2019 diluted earnings per share decreased $1.62, or 23 percent, principally reflecting a 25 percent decrease in net earnings.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Year to date 2019 diluted earnings per share decreased $0.80, or 5 percent, reflecting an 8 percent decrease in net earnings, partially offset by a 3 percent reduction in weighted-average diluted shares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ind w:right="220"/>
        <w:spacing w:after="0" w:line="277" w:lineRule="auto"/>
        <w:rPr>
          <w:sz w:val="20"/>
          <w:szCs w:val="20"/>
          <w:color w:val="auto"/>
        </w:rPr>
      </w:pPr>
      <w:r>
        <w:rPr>
          <w:rFonts w:ascii="Arial" w:cs="Arial" w:eastAsia="Arial" w:hAnsi="Arial"/>
          <w:sz w:val="17"/>
          <w:szCs w:val="17"/>
          <w:color w:val="auto"/>
        </w:rPr>
        <w:t>The company is aligned in four operating sectors, which also comprise our reportable segments: Aerospace Systems, Innovation Systems, Mission Systems and Technology Services. As described above, on the effective date of the Merger, we established Innovation Systems as a new, fourth business sector. The segment operating results below include sales and operating income for Innovation Systems subsequent to the Merger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Innovation Systems</w:t>
            </w:r>
          </w:p>
        </w:tc>
        <w:tc>
          <w:tcPr>
            <w:tcW w:w="2940" w:type="dxa"/>
            <w:vAlign w:val="bottom"/>
          </w:tcPr>
          <w:p>
            <w:pPr>
              <w:ind w:left="680"/>
              <w:spacing w:after="0"/>
              <w:rPr>
                <w:sz w:val="20"/>
                <w:szCs w:val="20"/>
                <w:color w:val="auto"/>
              </w:rPr>
            </w:pPr>
            <w:r>
              <w:rPr>
                <w:rFonts w:ascii="Arial" w:cs="Arial" w:eastAsia="Arial" w:hAnsi="Arial"/>
                <w:sz w:val="18"/>
                <w:szCs w:val="18"/>
                <w:b w:val="1"/>
                <w:bCs w:val="1"/>
                <w:color w:val="auto"/>
              </w:rPr>
              <w:t>Mission Systems</w:t>
            </w:r>
          </w:p>
        </w:tc>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Technology Services</w:t>
            </w:r>
          </w:p>
        </w:tc>
      </w:tr>
      <w:tr>
        <w:trPr>
          <w:trHeight w:val="27"/>
        </w:trPr>
        <w:tc>
          <w:tcPr>
            <w:tcW w:w="23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Autonomous Systems</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Defense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Advanced Capabilities</w:t>
            </w:r>
          </w:p>
        </w:tc>
        <w:tc>
          <w:tcPr>
            <w:tcW w:w="3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5"/>
              </w:rPr>
              <w:t>Global Logistics and Modernization</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Manned Aircraft</w:t>
            </w:r>
          </w:p>
        </w:tc>
        <w:tc>
          <w:tcPr>
            <w:tcW w:w="2880" w:type="dxa"/>
            <w:vAlign w:val="bottom"/>
          </w:tcPr>
          <w:p>
            <w:pPr>
              <w:ind w:left="700"/>
              <w:spacing w:after="0"/>
              <w:rPr>
                <w:sz w:val="20"/>
                <w:szCs w:val="20"/>
                <w:color w:val="auto"/>
              </w:rPr>
            </w:pPr>
            <w:r>
              <w:rPr>
                <w:rFonts w:ascii="Arial" w:cs="Arial" w:eastAsia="Arial" w:hAnsi="Arial"/>
                <w:sz w:val="18"/>
                <w:szCs w:val="18"/>
                <w:color w:val="auto"/>
              </w:rPr>
              <w:t>Flight Systems</w:t>
            </w:r>
          </w:p>
        </w:tc>
        <w:tc>
          <w:tcPr>
            <w:tcW w:w="2940" w:type="dxa"/>
            <w:vAlign w:val="bottom"/>
          </w:tcPr>
          <w:p>
            <w:pPr>
              <w:ind w:left="680"/>
              <w:spacing w:after="0"/>
              <w:rPr>
                <w:sz w:val="20"/>
                <w:szCs w:val="20"/>
                <w:color w:val="auto"/>
              </w:rPr>
            </w:pPr>
            <w:r>
              <w:rPr>
                <w:rFonts w:ascii="Arial" w:cs="Arial" w:eastAsia="Arial" w:hAnsi="Arial"/>
                <w:sz w:val="18"/>
                <w:szCs w:val="18"/>
                <w:color w:val="auto"/>
              </w:rPr>
              <w:t>Cyber and ISR</w:t>
            </w:r>
          </w:p>
        </w:tc>
        <w:tc>
          <w:tcPr>
            <w:tcW w:w="3280" w:type="dxa"/>
            <w:vAlign w:val="bottom"/>
          </w:tcPr>
          <w:p>
            <w:pPr>
              <w:ind w:left="580"/>
              <w:spacing w:after="0"/>
              <w:rPr>
                <w:sz w:val="20"/>
                <w:szCs w:val="20"/>
                <w:color w:val="auto"/>
              </w:rPr>
            </w:pPr>
            <w:r>
              <w:rPr>
                <w:rFonts w:ascii="Arial" w:cs="Arial" w:eastAsia="Arial" w:hAnsi="Arial"/>
                <w:sz w:val="18"/>
                <w:szCs w:val="18"/>
                <w:color w:val="auto"/>
              </w:rPr>
              <w:t>Global Services</w:t>
            </w:r>
          </w:p>
        </w:tc>
      </w:tr>
      <w:tr>
        <w:trPr>
          <w:trHeight w:val="27"/>
        </w:trPr>
        <w:tc>
          <w:tcPr>
            <w:tcW w:w="23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Space</w:t>
            </w:r>
          </w:p>
        </w:tc>
        <w:tc>
          <w:tcPr>
            <w:tcW w:w="2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Space Systems</w:t>
            </w:r>
          </w:p>
        </w:tc>
        <w:tc>
          <w:tcPr>
            <w:tcW w:w="2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Sensors and Processing</w:t>
            </w:r>
          </w:p>
        </w:tc>
        <w:tc>
          <w:tcPr>
            <w:tcW w:w="3280" w:type="dxa"/>
            <w:vAlign w:val="bottom"/>
            <w:tcBorders>
              <w:bottom w:val="single" w:sz="8" w:color="CCEEFF"/>
            </w:tcBorders>
            <w:shd w:val="clear" w:color="auto" w:fill="CCEEFF"/>
          </w:tcPr>
          <w:p>
            <w:pPr>
              <w:spacing w:after="0"/>
              <w:rPr>
                <w:sz w:val="21"/>
                <w:szCs w:val="2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Effective January 1, 2019, the former Advanced Defense Services and System Modernization and Services business areas of Technology Services were merged to create the Global Services business area. This change had no impact on the segment operating results of Technology Services as a whole.</w:t>
      </w:r>
    </w:p>
    <w:p>
      <w:pPr>
        <w:spacing w:after="0" w:line="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September 2019, the company announced changes effective January 1, 2020, which are intended to better align the company’s broad portfolio to serve its customers’ needs. There will be four sectors: Aeronautics Systems, Defense Systems, Mission Systems and Space Systems. This realignment is not reflected in any of the accompanying financial information.</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recognized under the Federal Acquisition Regulation (FAR) and the related U.S. Government Cost Accounting Standards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right"/>
              <w:ind w:right="250"/>
              <w:spacing w:after="0"/>
              <w:rPr>
                <w:sz w:val="20"/>
                <w:szCs w:val="20"/>
                <w:color w:val="auto"/>
              </w:rPr>
            </w:pPr>
            <w:r>
              <w:rPr>
                <w:rFonts w:ascii="Arial" w:cs="Arial" w:eastAsia="Arial" w:hAnsi="Arial"/>
                <w:sz w:val="18"/>
                <w:szCs w:val="18"/>
                <w:color w:val="auto"/>
                <w:w w:val="97"/>
              </w:rPr>
              <w:t>Three Months Ended</w:t>
            </w:r>
          </w:p>
        </w:tc>
        <w:tc>
          <w:tcPr>
            <w:tcW w:w="13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940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979</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2,885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11.1%</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12.1%</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11.5%</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 pension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278</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Less: FAS (service) pension expense</w:t>
            </w:r>
          </w:p>
        </w:tc>
        <w:tc>
          <w:tcPr>
            <w:tcW w:w="2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(276)</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176</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29"/>
        </w:trPr>
        <w:tc>
          <w:tcPr>
            <w:tcW w:w="4300" w:type="dxa"/>
            <w:vAlign w:val="bottom"/>
          </w:tcPr>
          <w:p>
            <w:pPr>
              <w:ind w:left="280"/>
              <w:spacing w:after="0"/>
              <w:rPr>
                <w:sz w:val="20"/>
                <w:szCs w:val="20"/>
                <w:color w:val="auto"/>
              </w:rPr>
            </w:pPr>
            <w:r>
              <w:rPr>
                <w:rFonts w:ascii="Arial" w:cs="Arial" w:eastAsia="Arial" w:hAnsi="Arial"/>
                <w:sz w:val="18"/>
                <w:szCs w:val="18"/>
                <w:color w:val="auto"/>
              </w:rPr>
              <w:t>Intangible asset amortization and PP&amp;E step-up</w:t>
            </w:r>
          </w:p>
        </w:tc>
        <w:tc>
          <w:tcPr>
            <w:tcW w:w="240" w:type="dxa"/>
            <w:vAlign w:val="bottom"/>
          </w:tcPr>
          <w:p>
            <w:pPr>
              <w:spacing w:after="0"/>
              <w:rPr>
                <w:sz w:val="19"/>
                <w:szCs w:val="19"/>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9"/>
                <w:szCs w:val="19"/>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unallocated corporate (expense) income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114</w:t>
            </w:r>
          </w:p>
        </w:tc>
        <w:tc>
          <w:tcPr>
            <w:tcW w:w="1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NM</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(106)</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7"/>
        </w:trPr>
        <w:tc>
          <w:tcPr>
            <w:tcW w:w="4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Unallocated corporate (expense) income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(120)</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w:t>
            </w: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NM</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(398)</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2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951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1,172</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7"/>
        </w:trPr>
        <w:tc>
          <w:tcPr>
            <w:tcW w:w="4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Third quarter 2019 segment operating income decreased $39 million, or 4 percent, primarily due to lower segment operating income at Aerospace Systems, partially offset by higher operating income at Technology Services. Segment operating margin rate decreased to 11.1 percent principally due to a lower operating margin rate at Aerospace Systems.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Year to date 2019 segment operating income increased $365 million, or 14 percent, primarily due to the inclusion of a full nine months of operating income from Innovation Systems as well as higher operating income at Mission Systems and Technology Services. Segment operating margin rate of 11.5 percent was comparable to the prior year period.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decrease in our third quarter and year to date 2019 net FAS (service)/CAS pension adjustment is primarily due to lower CAS expense largely as a result of changes in actuarial assumptions as of December 31, 2018. The year to date decrease is partially offset by increased CAS expense due to the addition of Innovation Systems.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The increase in third quarter 2019 unallocated corporate expense is primarily due to the absence in 2019 of a $223 million benefit recognized for the finalization of certain prior year cost claims, partially offset by $57 million of lower deferred state taxes and legal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increase in year to date 2019 unallocated corporate expense is primarily due to the absence of the 2018 cost claim benefit noted above and $165 million of higher intangible asset amortization and PP&amp;E step-up depreciation. This increase was partially offset by $61 million of lower deferred state taxes and legal expenses as well as $29 million of non-recurring Merger-related transaction costs in 2018.</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Net Estimate-at-Completion (EAC) Adjustments </w:t>
      </w:r>
      <w:r>
        <w:rPr>
          <w:rFonts w:ascii="Arial" w:cs="Arial" w:eastAsia="Arial" w:hAnsi="Arial"/>
          <w:sz w:val="18"/>
          <w:szCs w:val="18"/>
          <w:color w:val="auto"/>
        </w:rPr>
        <w:t>- We record changes in estimated contract earnings at completion (net EAC adjustments)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catch-up method of accounting. Net EAC adjustments can have a significant effect on reported sales and operating income and the aggregate amounts are presented in the table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94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1940" w:type="dxa"/>
            <w:vAlign w:val="bottom"/>
            <w:gridSpan w:val="3"/>
          </w:tcPr>
          <w:p>
            <w:pPr>
              <w:jc w:val="center"/>
              <w:ind w:right="90"/>
              <w:spacing w:after="0"/>
              <w:rPr>
                <w:sz w:val="20"/>
                <w:szCs w:val="20"/>
                <w:color w:val="auto"/>
              </w:rPr>
            </w:pPr>
            <w:r>
              <w:rPr>
                <w:rFonts w:ascii="Arial" w:cs="Arial" w:eastAsia="Arial" w:hAnsi="Arial"/>
                <w:sz w:val="18"/>
                <w:szCs w:val="18"/>
                <w:color w:val="auto"/>
                <w:w w:val="88"/>
              </w:rPr>
              <w:t>September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803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(160)</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421</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378"/>
        </w:trPr>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36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ind w:left="12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194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1940" w:type="dxa"/>
            <w:vAlign w:val="bottom"/>
            <w:gridSpan w:val="3"/>
          </w:tcPr>
          <w:p>
            <w:pPr>
              <w:jc w:val="center"/>
              <w:ind w:right="90"/>
              <w:spacing w:after="0"/>
              <w:rPr>
                <w:sz w:val="20"/>
                <w:szCs w:val="20"/>
                <w:color w:val="auto"/>
              </w:rPr>
            </w:pPr>
            <w:r>
              <w:rPr>
                <w:rFonts w:ascii="Arial" w:cs="Arial" w:eastAsia="Arial" w:hAnsi="Arial"/>
                <w:sz w:val="18"/>
                <w:szCs w:val="18"/>
                <w:color w:val="auto"/>
                <w:w w:val="88"/>
              </w:rPr>
              <w:t>September 30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Innovation Systems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71</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421</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w:t>
            </w:r>
          </w:p>
        </w:tc>
      </w:tr>
      <w:tr>
        <w:trPr>
          <w:trHeight w:val="34"/>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Amounts reflect EAC adjustments after the percent complete on Innovation Systems contracts was reset to zero as of the Merger date.</w:t>
      </w:r>
    </w:p>
    <w:p>
      <w:pPr>
        <w:spacing w:after="0" w:line="14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AEROSPACE SYSTEMS</w:t>
            </w:r>
          </w:p>
        </w:tc>
        <w:tc>
          <w:tcPr>
            <w:tcW w:w="2240" w:type="dxa"/>
            <w:vAlign w:val="bottom"/>
            <w:gridSpan w:val="3"/>
          </w:tcPr>
          <w:p>
            <w:pPr>
              <w:jc w:val="right"/>
              <w:ind w:right="250"/>
              <w:spacing w:after="0"/>
              <w:rPr>
                <w:sz w:val="20"/>
                <w:szCs w:val="20"/>
                <w:color w:val="auto"/>
              </w:rPr>
            </w:pPr>
            <w:r>
              <w:rPr>
                <w:rFonts w:ascii="Arial" w:cs="Arial" w:eastAsia="Arial" w:hAnsi="Arial"/>
                <w:sz w:val="18"/>
                <w:szCs w:val="18"/>
                <w:color w:val="auto"/>
              </w:rPr>
              <w:t>Three Months Ended</w:t>
            </w:r>
          </w:p>
        </w:tc>
        <w:tc>
          <w:tcPr>
            <w:tcW w:w="13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8"/>
                <w:szCs w:val="18"/>
                <w:color w:val="auto"/>
              </w:rPr>
              <w:t>Nine Months Ended</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224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20" w:type="dxa"/>
            <w:vAlign w:val="bottom"/>
          </w:tcPr>
          <w:p>
            <w:pPr>
              <w:jc w:val="right"/>
              <w:ind w:right="321"/>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Change</w:t>
            </w: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88"/>
              </w:rPr>
              <w:t>$3,458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3,282</w:t>
            </w:r>
          </w:p>
        </w:tc>
        <w:tc>
          <w:tcPr>
            <w:tcW w:w="1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5 %  $</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10,344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9,899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61"/>
              <w:spacing w:after="0"/>
              <w:rPr>
                <w:sz w:val="20"/>
                <w:szCs w:val="20"/>
                <w:color w:val="auto"/>
              </w:rPr>
            </w:pPr>
            <w:r>
              <w:rPr>
                <w:rFonts w:ascii="Arial" w:cs="Arial" w:eastAsia="Arial" w:hAnsi="Arial"/>
                <w:sz w:val="18"/>
                <w:szCs w:val="18"/>
                <w:b w:val="1"/>
                <w:bCs w:val="1"/>
                <w:color w:val="auto"/>
              </w:rPr>
              <w:t>324</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376</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1,067</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1,074</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9.4%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w:t>
            </w: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10.8%</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Third quarter 2019 sales increased 5 percent, due to higher sales in all three business areas. Manned aircraft sales reflect higher volume on the E-2 program and a higher rate of F-35 production activity, partially offset by lower B-2 sales. Space sales reflect higher volume on Next Generation Overhead Persistent Infrared (Next Gen OPIR) programs. Autonomous Systems sales increased due to higher volume on multiple programs, including Global Hawk, partially offset by lower NATO AGS volume as that program nears completion.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Year to date 2019 sales increased 4 percent due in large part to higher volume on restricted programs. Manned Aircraft sales reflect a higher rate of F-35 production activity and higher volume on the E-2 program. Space sales reflect higher volume on Next Gen OPIR programs. Autonomous Systems sales include lower NATO AGS volume as that program nears completion.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Third quarter 2019 operating income declined to $324 million and operating margin rate decreased to 9.4 percent principally due to lower net favorable EAC adjustments. This reflects the timing of favorable adjustments as well as unfavorable adjustments for the B-2 Defensive Management System Modernization program and delays in production for certain commercial space components.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Year to date 2019 operating income decreased $7 million, or 1 percent, due to a lower operating margin rate, which more than offset higher sales. Operating margin rate decreased to 10.3 percent from 10.8 percent, primarily due to lower net favorable EAC adjustments on Manned Aircraft and Space programs.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INNOVATION SYSTEMS</w:t>
            </w:r>
          </w:p>
        </w:tc>
        <w:tc>
          <w:tcPr>
            <w:tcW w:w="240" w:type="dxa"/>
            <w:vAlign w:val="bottom"/>
          </w:tcPr>
          <w:p>
            <w:pPr>
              <w:spacing w:after="0"/>
              <w:rPr>
                <w:sz w:val="19"/>
                <w:szCs w:val="19"/>
                <w:color w:val="auto"/>
              </w:rPr>
            </w:pPr>
          </w:p>
        </w:tc>
        <w:tc>
          <w:tcPr>
            <w:tcW w:w="2040" w:type="dxa"/>
            <w:vAlign w:val="bottom"/>
            <w:gridSpan w:val="3"/>
          </w:tcPr>
          <w:p>
            <w:pPr>
              <w:jc w:val="right"/>
              <w:ind w:right="270"/>
              <w:spacing w:after="0"/>
              <w:rPr>
                <w:sz w:val="20"/>
                <w:szCs w:val="20"/>
                <w:color w:val="auto"/>
              </w:rPr>
            </w:pPr>
            <w:r>
              <w:rPr>
                <w:rFonts w:ascii="Arial" w:cs="Arial" w:eastAsia="Arial" w:hAnsi="Arial"/>
                <w:sz w:val="18"/>
                <w:szCs w:val="18"/>
                <w:color w:val="auto"/>
                <w:w w:val="98"/>
              </w:rPr>
              <w:t>Three Months Ended</w:t>
            </w:r>
          </w:p>
        </w:tc>
        <w:tc>
          <w:tcPr>
            <w:tcW w:w="13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1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8"/>
                <w:szCs w:val="18"/>
                <w:color w:val="auto"/>
              </w:rPr>
              <w:t>September 30</w:t>
            </w:r>
          </w:p>
        </w:tc>
        <w:tc>
          <w:tcPr>
            <w:tcW w:w="1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550"/>
              <w:spacing w:after="0"/>
              <w:rPr>
                <w:sz w:val="20"/>
                <w:szCs w:val="20"/>
                <w:color w:val="auto"/>
              </w:rPr>
            </w:pPr>
            <w:r>
              <w:rPr>
                <w:rFonts w:ascii="Arial" w:cs="Arial" w:eastAsia="Arial" w:hAnsi="Arial"/>
                <w:sz w:val="18"/>
                <w:szCs w:val="18"/>
                <w:color w:val="auto"/>
              </w:rPr>
              <w:t>September 30</w:t>
            </w: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7"/>
        </w:trPr>
        <w:tc>
          <w:tcPr>
            <w:tcW w:w="4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1,584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1,415</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4,520</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1,815</w:t>
            </w:r>
          </w:p>
        </w:tc>
        <w:tc>
          <w:tcPr>
            <w:tcW w:w="11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164</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30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120" w:type="dxa"/>
            <w:vAlign w:val="bottom"/>
          </w:tcPr>
          <w:p>
            <w:pPr>
              <w:ind w:left="8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10.4%</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11.4%</w:t>
            </w: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sales and operating income above reflect the operating results of Innovation Systems subsequent to the Merger date. In our year to date comparative discussion below, we reference pro forma sales prepared in accordance with Article 11 of Regulation S-X and computed as if Orbital ATK had been included in our results in the year prior to the Merger, or as of January 1, 2017. Refer to Note 2 to the financial statements for additional supplemental consolidated pro forma financial information. This pro forma financial information should not be considered indicative of the results that would have actually occurred if the Merger had been consummated on January 1, 2017, nor are they indicative of future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 quarter 2019 sales increased 12 percent due to higher sales in all three business areas. Space Systems sales reflect higher volume on national security satellite systems. Defense Systems sales increased primarily due to higher volume on precision munitions and armament products, as well as tactical missiles and subsystems, including the Advanced Anti-Radiation Guided Missile-Extended Range (AARGM-ER) program. Flight Systems sales reflect higher volume on military and commercial aerospace structures.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Year to date 2019 sales increased $403 million, or 10 percent, compared with year to date 2018 pro forma sales of $4.1 billion due to higher sales in all three business areas. Flight Systems sales reflect higher volume on military aerospace structures and launch vehicles, principally Ground-based Midcourse Defense. Defense Systems sales increased primarily due to higher volume on tactical missiles and subsystems, including AARGM-ER, and precision munitions and armament products. Space Systems sales reflect higher volume on national security satellite systems.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Third quarter 2019 operating income increased 2 percent primarily due to higher sales, partially offset by a lower operating margin rate of 10.4 percent. The prior period operating margin rate reflects favorable indirect rate performance and recovery of an insurance claim.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Year to date 2019 operating income totaled $500 million and operating margin rate was 11.1 percent. Year to date results benefited from the timing of favorable negotiations on certain commercial contracts.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Pr>
          <w:p>
            <w:pPr>
              <w:spacing w:after="0"/>
              <w:rPr>
                <w:sz w:val="19"/>
                <w:szCs w:val="19"/>
                <w:color w:val="auto"/>
              </w:rPr>
            </w:pPr>
          </w:p>
        </w:tc>
        <w:tc>
          <w:tcPr>
            <w:tcW w:w="2040" w:type="dxa"/>
            <w:vAlign w:val="bottom"/>
            <w:gridSpan w:val="3"/>
          </w:tcPr>
          <w:p>
            <w:pPr>
              <w:jc w:val="right"/>
              <w:ind w:right="270"/>
              <w:spacing w:after="0"/>
              <w:rPr>
                <w:sz w:val="20"/>
                <w:szCs w:val="20"/>
                <w:color w:val="auto"/>
              </w:rPr>
            </w:pPr>
            <w:r>
              <w:rPr>
                <w:rFonts w:ascii="Arial" w:cs="Arial" w:eastAsia="Arial" w:hAnsi="Arial"/>
                <w:sz w:val="18"/>
                <w:szCs w:val="18"/>
                <w:color w:val="auto"/>
                <w:w w:val="98"/>
              </w:rPr>
              <w:t>Three Months Ended</w:t>
            </w: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2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3,029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2,911</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4 %  $</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9,043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8,668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398</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399</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w:t>
            </w: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1,189</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1,122</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13.7%</w:t>
            </w: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12.9%</w:t>
            </w: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Third quarter 2019 sales increased 4 percent due to higher sales in all three business areas. Advanced Capabilities sales increased primarily due to higher volume on marine systems. Cyber and ISR sales reflect higher volume on space and restricted programs. Sensors and Processing sales increased principally due to higher volume on airborne radar and electronic warfare programs, partially offset by lower volume from targeting pods.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Year to date 2019 sales increased 4 percent due to higher sales in all three business areas. Sensors and Processing sales increased principally due to higher volume on airborne radar and restricted programs, partially offset by lower volume on communications programs. Cyber and ISR sales increased principally due to higher volume on space and restricted programs. Advanced Capabilities sales increased principally due to higher volume on restricted programs and marine systems, partially offset by lower missile defense volume, primarily related to the JRDC program.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Third quarter 2019 operating income was comparable to the prior year and operating margin rate was 13.1 percent compared with 13.7 percent in the prior year period. The primary driver of the margin rate change was a higher level of indirect rate benefits in the third quarter of 2018. Third quarter 2019 results reflect continued strong performance at Sensors and Processing, improved performance at Advanced Capabilities, and lower performance on Cyber and ISR programs.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Year to date 2019 operating income increased 6 percent due to higher sales and a higher operating margin rate. Operating margin rate increased to 13.1 percent primarily due to improved performance on Advanced Capabilities and Sensors and Processing programs, partially offset by lower performance on Cyber and ISR programs.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TECHNOLOGY SERVICES</w:t>
            </w:r>
          </w:p>
        </w:tc>
        <w:tc>
          <w:tcPr>
            <w:tcW w:w="2260" w:type="dxa"/>
            <w:vAlign w:val="bottom"/>
            <w:gridSpan w:val="3"/>
          </w:tcPr>
          <w:p>
            <w:pPr>
              <w:jc w:val="right"/>
              <w:ind w:right="250"/>
              <w:spacing w:after="0"/>
              <w:rPr>
                <w:sz w:val="20"/>
                <w:szCs w:val="20"/>
                <w:color w:val="auto"/>
              </w:rPr>
            </w:pPr>
            <w:r>
              <w:rPr>
                <w:rFonts w:ascii="Arial" w:cs="Arial" w:eastAsia="Arial" w:hAnsi="Arial"/>
                <w:sz w:val="18"/>
                <w:szCs w:val="18"/>
                <w:color w:val="auto"/>
              </w:rPr>
              <w:t>Three Months Ended</w:t>
            </w:r>
          </w:p>
        </w:tc>
        <w:tc>
          <w:tcPr>
            <w:tcW w:w="13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2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26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20" w:type="dxa"/>
            <w:vAlign w:val="bottom"/>
          </w:tcPr>
          <w:p>
            <w:pPr>
              <w:jc w:val="right"/>
              <w:ind w:right="321"/>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88"/>
              </w:rPr>
              <w:t>$1,067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1,040</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3,088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61"/>
              <w:spacing w:after="0"/>
              <w:rPr>
                <w:sz w:val="20"/>
                <w:szCs w:val="20"/>
                <w:color w:val="auto"/>
              </w:rPr>
            </w:pPr>
            <w:r>
              <w:rPr>
                <w:rFonts w:ascii="Arial" w:cs="Arial" w:eastAsia="Arial" w:hAnsi="Arial"/>
                <w:sz w:val="18"/>
                <w:szCs w:val="18"/>
                <w:b w:val="1"/>
                <w:bCs w:val="1"/>
                <w:color w:val="auto"/>
              </w:rPr>
              <w:t>136</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111</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351</w:t>
            </w:r>
          </w:p>
        </w:tc>
        <w:tc>
          <w:tcPr>
            <w:tcW w:w="30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12.7%</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10.7%</w:t>
            </w:r>
          </w:p>
        </w:tc>
        <w:tc>
          <w:tcPr>
            <w:tcW w:w="1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11.4%</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10.1%</w:t>
            </w: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Third quarter 2019 sales increased 3 percent due to higher sales in both business areas. Global Logistics and Modernization sales increased primarily due to higher sales on electronic systems sustainment programs, partially offset by lower volume on autonomous systems support programs. Global Services sales increased principally due to higher volume on defense services programs and a civil program, partially offset by the completion of a state and local services contract in 2018.</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420"/>
        <w:spacing w:after="0" w:line="273" w:lineRule="auto"/>
        <w:rPr>
          <w:sz w:val="20"/>
          <w:szCs w:val="20"/>
          <w:color w:val="auto"/>
        </w:rPr>
      </w:pPr>
      <w:r>
        <w:rPr>
          <w:rFonts w:ascii="Arial" w:cs="Arial" w:eastAsia="Arial" w:hAnsi="Arial"/>
          <w:sz w:val="17"/>
          <w:szCs w:val="17"/>
          <w:color w:val="auto"/>
        </w:rPr>
        <w:t>Year to date 2019 sales decreased 4 percent primarily due to program completions across the sector. Global Services sales declined principally due to the completions in 2018 of a state and local services contract and of certain defense services contracts, largely the JRDC program, partially offset by higher volume on a civil program. Global Logistics and Modernization sales declined primarily due to the completion in 2018 of a manned aircraft sustainment program, KC-10, partially offset by higher volume on electronic systems sustainment programs.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Third quarter 2019 operating income increased 23 percent and operating margin rate increased to 12.7 percent due to improved performance in both business areas, including a favorable adjustment on a Global Logistics and Modernization sustainment program.</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Year to date 2019 operating income increased 7 percent and operating margin rate increased to 11.4 percent due to improved performance in both business areas, including a favorable adjustment on a Global Logistics and Modernization sustainment program.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60" w:type="dxa"/>
            <w:vAlign w:val="bottom"/>
            <w:gridSpan w:val="5"/>
          </w:tcPr>
          <w:p>
            <w:pPr>
              <w:jc w:val="right"/>
              <w:ind w:right="110"/>
              <w:spacing w:after="0"/>
              <w:rPr>
                <w:sz w:val="20"/>
                <w:szCs w:val="20"/>
                <w:color w:val="auto"/>
              </w:rPr>
            </w:pPr>
            <w:r>
              <w:rPr>
                <w:rFonts w:ascii="Arial" w:cs="Arial" w:eastAsia="Arial" w:hAnsi="Arial"/>
                <w:sz w:val="18"/>
                <w:szCs w:val="18"/>
                <w:color w:val="auto"/>
                <w:w w:val="88"/>
              </w:rPr>
              <w:t>Three Months Ended September 30</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700" w:type="dxa"/>
            <w:vAlign w:val="bottom"/>
            <w:gridSpan w:val="5"/>
          </w:tcPr>
          <w:p>
            <w:pPr>
              <w:ind w:left="40"/>
              <w:spacing w:after="0"/>
              <w:rPr>
                <w:sz w:val="20"/>
                <w:szCs w:val="20"/>
                <w:color w:val="auto"/>
              </w:rPr>
            </w:pPr>
            <w:r>
              <w:rPr>
                <w:rFonts w:ascii="Arial" w:cs="Arial" w:eastAsia="Arial" w:hAnsi="Arial"/>
                <w:sz w:val="18"/>
                <w:szCs w:val="18"/>
                <w:color w:val="auto"/>
                <w:w w:val="95"/>
              </w:rPr>
              <w:t>Nine Months Ended September 30</w:t>
            </w:r>
          </w:p>
        </w:tc>
        <w:tc>
          <w:tcPr>
            <w:tcW w:w="7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w w:val="89"/>
              </w:rPr>
              <w:t>2018</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0"/>
                <w:szCs w:val="20"/>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8"/>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5"/>
              </w:rPr>
              <w:t>Operating Costs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Costs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w w:val="92"/>
              </w:rPr>
              <w:t>Operating Costs</w:t>
            </w:r>
          </w:p>
        </w:tc>
      </w:tr>
      <w:tr>
        <w:trPr>
          <w:trHeight w:val="234"/>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Sales</w:t>
            </w:r>
          </w:p>
        </w:tc>
        <w:tc>
          <w:tcPr>
            <w:tcW w:w="2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Sales</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and Expenses</w:t>
            </w:r>
          </w:p>
        </w:tc>
        <w:tc>
          <w:tcPr>
            <w:tcW w:w="2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Sales</w:t>
            </w:r>
          </w:p>
        </w:tc>
        <w:tc>
          <w:tcPr>
            <w:tcW w:w="20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Sales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and Expenses</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Aerospace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2,956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2,691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2,457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8,783</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7,915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8,339</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7,436</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b w:val="1"/>
                <w:bCs w:val="1"/>
                <w:color w:val="auto"/>
              </w:rPr>
              <w:t>Innovation Systems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1,101</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116</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1,887</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1,625</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5,631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4,826</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5,349</w:t>
            </w: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4,624</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1,006</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3,028</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2,922</w:t>
            </w: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b w:val="1"/>
                <w:bCs w:val="1"/>
                <w:color w:val="auto"/>
              </w:rPr>
              <w:t>Technology Services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924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58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2,682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2,364</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2,876</w:t>
            </w:r>
          </w:p>
        </w:tc>
        <w:tc>
          <w:tcPr>
            <w:tcW w:w="5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2,579</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Segment Totals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tcPr>
          <w:p>
            <w:pPr>
              <w:ind w:left="500"/>
              <w:spacing w:after="0"/>
              <w:rPr>
                <w:sz w:val="20"/>
                <w:szCs w:val="20"/>
                <w:color w:val="auto"/>
              </w:rPr>
            </w:pPr>
            <w:r>
              <w:rPr>
                <w:rFonts w:ascii="Arial" w:cs="Arial" w:eastAsia="Arial" w:hAnsi="Arial"/>
                <w:sz w:val="18"/>
                <w:szCs w:val="18"/>
                <w:color w:val="auto"/>
              </w:rPr>
              <w:t>Total Product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6,437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5,751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5,259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18,839</w:t>
            </w: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16,691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15,644</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13,803</w:t>
            </w:r>
          </w:p>
        </w:tc>
      </w:tr>
      <w:tr>
        <w:trPr>
          <w:trHeight w:val="27"/>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Service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2,365</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2,677</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2,342</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8,156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(663)</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w:t>
            </w:r>
          </w:p>
        </w:tc>
        <w:tc>
          <w:tcPr>
            <w:tcW w:w="5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(1,653)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7"/>
        </w:trPr>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1"/>
        </w:trPr>
        <w:tc>
          <w:tcPr>
            <w:tcW w:w="2640" w:type="dxa"/>
            <w:vAlign w:val="bottom"/>
            <w:tcBorders>
              <w:bottom w:val="single" w:sz="8" w:color="auto"/>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8,085</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25,120</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22,235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5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19,419</w:t>
            </w:r>
          </w:p>
        </w:tc>
      </w:tr>
    </w:tbl>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Third quarter 2019 product sales increased $466 million, or 8 percent. The increase was primarily due to higher product sales in all three business areas at Innovation Systems and higher volume on restricted, E-2 and Next Gen OPIR programs at Aerospace Systems.</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Third quarter 2019 product costs increased $492 million, or 9 percent, consistent with the higher product sales described above and reflects a lower product margin at Aerospace Systems.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Year to date 2019 product sales increased $3.2 billion, or 20 percent. The increase was primarily due to a full nine months of product sales from Innovation Systems and higher volume on restricted, E-2 and F-35 programs at Aerospace Systems.</w:t>
      </w:r>
    </w:p>
    <w:p>
      <w:pPr>
        <w:spacing w:after="0" w:line="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Year to date 2019 product costs increased $2.9 billion, or 21 percent, consistent with the higher product sales described above and reflects a lower product margin at Aerospace Systems.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2019 service sales increased $24 million, or 1 percent. The increase was primarily due to higher service sales at Mission Systems.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2019 service costs increased $23 million, or 1 percent, consistent with the higher service sales described above.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Year to date 2019 service sales increased $186 million, or 2 percent. The increase was primarily driven by a full nine months of service sales from Innovation Systems and higher service sales at Mission Systems, partially offset by lower service sales at Technology Services principally due to several program completions.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2019 service costs increased $110 million, or 2 percent, consistent with the higher service sales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the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September 30, 2019 and December 31, 2018: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89"/>
              </w:rPr>
              <w:t>September 30, 2019</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7"/>
              </w:rPr>
              <w:t>December 31, 2018</w:t>
            </w:r>
          </w:p>
        </w:tc>
        <w:tc>
          <w:tcPr>
            <w:tcW w:w="12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8"/>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Total</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 Change in</w:t>
            </w:r>
          </w:p>
        </w:tc>
      </w:tr>
      <w:tr>
        <w:trPr>
          <w:trHeight w:val="234"/>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Funded</w:t>
            </w:r>
          </w:p>
        </w:tc>
        <w:tc>
          <w:tcPr>
            <w:tcW w:w="3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Unfunded</w:t>
            </w:r>
          </w:p>
        </w:tc>
        <w:tc>
          <w:tcPr>
            <w:tcW w:w="2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Backlog</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2019</w:t>
            </w:r>
          </w:p>
        </w:tc>
      </w:tr>
      <w:tr>
        <w:trPr>
          <w:trHeight w:val="27"/>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Innovation Systems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5,835</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3,758</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9,593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10,952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7,112</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Technology Services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2,862</w:t>
            </w:r>
          </w:p>
        </w:tc>
        <w:tc>
          <w:tcPr>
            <w:tcW w:w="3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574</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3,436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 %</w:t>
            </w:r>
          </w:p>
        </w:tc>
      </w:tr>
      <w:tr>
        <w:trPr>
          <w:trHeight w:val="27"/>
        </w:trPr>
        <w:tc>
          <w:tcPr>
            <w:tcW w:w="4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33,045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r>
      <w:tr>
        <w:trPr>
          <w:trHeight w:val="27"/>
        </w:trPr>
        <w:tc>
          <w:tcPr>
            <w:tcW w:w="48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Third quarter and year to date 2019 net awards totaled $10.1 billion and $35.9 billion, respectively, and backlog increased to $65.0 billion as of September 30, 2019. Significant new awards in the third quarter include $1.4 billion to deliver an additional nine E-2D Advanced Hawkeye aircraft and related equipment to Japan, $608 million for space restricted programs, $504 million for the F-35 program, $481 million for the Triton program and $312 million for targets and countermeasures used to test the Ballistic Missile Defense System.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Operating Cash Flow</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128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2,657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0"/>
        </w:trPr>
        <w:tc>
          <w:tcPr>
            <w:tcW w:w="79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1,041</w:t>
            </w:r>
          </w:p>
        </w:tc>
        <w:tc>
          <w:tcPr>
            <w:tcW w:w="3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Trade working capital</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(1,392)</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43"/>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110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26 %</w:t>
            </w:r>
          </w:p>
        </w:tc>
        <w:tc>
          <w:tcPr>
            <w:tcW w:w="0" w:type="dxa"/>
            <w:vAlign w:val="bottom"/>
          </w:tcPr>
          <w:p>
            <w:pPr>
              <w:spacing w:after="0"/>
              <w:rPr>
                <w:sz w:val="1"/>
                <w:szCs w:val="1"/>
                <w:color w:val="auto"/>
              </w:rPr>
            </w:pPr>
          </w:p>
        </w:tc>
      </w:tr>
      <w:tr>
        <w:trPr>
          <w:trHeight w:val="27"/>
        </w:trPr>
        <w:tc>
          <w:tcPr>
            <w:tcW w:w="1100" w:type="dxa"/>
            <w:vAlign w:val="bottom"/>
            <w:shd w:val="clear" w:color="auto" w:fill="000000"/>
          </w:tcPr>
          <w:p>
            <w:pPr>
              <w:spacing w:after="0"/>
              <w:rPr>
                <w:sz w:val="2"/>
                <w:szCs w:val="2"/>
                <w:color w:val="auto"/>
              </w:rPr>
            </w:pPr>
          </w:p>
        </w:tc>
        <w:tc>
          <w:tcPr>
            <w:tcW w:w="6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non-cash lease expense, stock based compensation expense and deferred income taxes.</w:t>
      </w:r>
    </w:p>
    <w:p>
      <w:pPr>
        <w:spacing w:after="0" w:line="74" w:lineRule="exact"/>
        <w:rPr>
          <w:sz w:val="20"/>
          <w:szCs w:val="20"/>
          <w:color w:val="auto"/>
        </w:rPr>
      </w:pPr>
    </w:p>
    <w:p>
      <w:pPr>
        <w:ind w:left="60"/>
        <w:spacing w:after="0" w:line="260" w:lineRule="auto"/>
        <w:rPr>
          <w:sz w:val="20"/>
          <w:szCs w:val="20"/>
          <w:color w:val="auto"/>
        </w:rPr>
      </w:pPr>
      <w:r>
        <w:rPr>
          <w:rFonts w:ascii="Arial" w:cs="Arial" w:eastAsia="Arial" w:hAnsi="Arial"/>
          <w:sz w:val="18"/>
          <w:szCs w:val="18"/>
          <w:color w:val="auto"/>
        </w:rPr>
        <w:t>Year to date 2019 cash provided by operating activities increased $383 million principally due to a $250 million voluntary pre-tax pension contribution ($163 million after-tax) made in the third quarter of 2018 and improved trade working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right"/>
              <w:ind w:right="270"/>
              <w:spacing w:after="0"/>
              <w:rPr>
                <w:sz w:val="20"/>
                <w:szCs w:val="20"/>
                <w:color w:val="auto"/>
              </w:rPr>
            </w:pPr>
            <w:r>
              <w:rPr>
                <w:rFonts w:ascii="Arial" w:cs="Arial" w:eastAsia="Arial" w:hAnsi="Arial"/>
                <w:sz w:val="18"/>
                <w:szCs w:val="18"/>
                <w:color w:val="auto"/>
                <w:w w:val="98"/>
              </w:rPr>
              <w:t>Nine Months Ended</w:t>
            </w:r>
          </w:p>
        </w:tc>
        <w:tc>
          <w:tcPr>
            <w:tcW w:w="12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right"/>
              <w:ind w:right="490"/>
              <w:spacing w:after="0"/>
              <w:rPr>
                <w:sz w:val="20"/>
                <w:szCs w:val="20"/>
                <w:color w:val="auto"/>
              </w:rPr>
            </w:pPr>
            <w:r>
              <w:rPr>
                <w:rFonts w:ascii="Arial" w:cs="Arial" w:eastAsia="Arial" w:hAnsi="Arial"/>
                <w:sz w:val="18"/>
                <w:szCs w:val="18"/>
                <w:color w:val="auto"/>
              </w:rPr>
              <w:t>September 30</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8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43"/>
        </w:trPr>
        <w:tc>
          <w:tcPr>
            <w:tcW w:w="80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(793)</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8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1,040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7"/>
        </w:trPr>
        <w:tc>
          <w:tcPr>
            <w:tcW w:w="8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980"/>
        <w:spacing w:after="0" w:line="305" w:lineRule="auto"/>
        <w:rPr>
          <w:sz w:val="20"/>
          <w:szCs w:val="20"/>
          <w:color w:val="auto"/>
        </w:rPr>
      </w:pPr>
      <w:r>
        <w:rPr>
          <w:rFonts w:ascii="Arial" w:cs="Arial" w:eastAsia="Arial" w:hAnsi="Arial"/>
          <w:sz w:val="18"/>
          <w:szCs w:val="18"/>
          <w:color w:val="auto"/>
        </w:rPr>
        <w:t xml:space="preserve">Year to date 2019 free cash flow increased $376 million principally due to the increase in net cash provided by operating activities. </w:t>
      </w:r>
      <w:r>
        <w:rPr>
          <w:rFonts w:ascii="Arial" w:cs="Arial" w:eastAsia="Arial" w:hAnsi="Arial"/>
          <w:sz w:val="18"/>
          <w:szCs w:val="18"/>
          <w:b w:val="1"/>
          <w:bCs w:val="1"/>
          <w:color w:val="auto"/>
        </w:rPr>
        <w:t>Investing Cash Flow</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Year to date 2019 net cash used in investing activities decreased to $785 million from $8.4 billion principally due to $7.7 billion paid in 2018 for the acquisition of Orbital ATK, net of cash acquired.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Year to date 2019 net cash used in financing activities decreased to $1.5 billion from $3.0 billion principally due to lower debt and credit facility repayments of $2.0 billion, partially offset by increased share repurchases and lower net borrowings on commercial paper.</w:t>
      </w:r>
    </w:p>
    <w:p>
      <w:pPr>
        <w:spacing w:after="0" w:line="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7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3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5 to the financial statements for further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4"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2018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2018 Annual Report on Form 10-K and from time to time in our other filings with the Securities and Exchange Commission (SEC). They include:</w:t>
      </w:r>
    </w:p>
    <w:p>
      <w:pPr>
        <w:spacing w:after="0" w:line="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and/or litigation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use of estimates when accounting for our contracts and the effect of contract cost growth and/or changes in estimated contract revenues and costs</w:t>
      </w:r>
    </w:p>
    <w:p>
      <w:pPr>
        <w:spacing w:after="0" w:line="113" w:lineRule="exact"/>
        <w:rPr>
          <w:rFonts w:ascii="Arial" w:cs="Arial" w:eastAsia="Arial" w:hAnsi="Arial"/>
          <w:sz w:val="16"/>
          <w:szCs w:val="16"/>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laws and regulations</w:t>
      </w:r>
    </w:p>
    <w:p>
      <w:pPr>
        <w:spacing w:after="0" w:line="3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our ability to do business, and our financial position, results of operations and/or cash flows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and financial viability of our subcontractors and suppliers and the availability and pricing of raw materials, chemicals and components</w:t>
      </w:r>
    </w:p>
    <w:p>
      <w:pPr>
        <w:spacing w:after="0" w:line="3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and practices applicable to our industry, findings by the U.S. government as to our compliance with such laws and regulations,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a qualified workforce</w:t>
      </w:r>
    </w:p>
    <w:p>
      <w:pPr>
        <w:spacing w:after="0" w:line="90" w:lineRule="exact"/>
        <w:rPr>
          <w:rFonts w:ascii="Arial" w:cs="Arial" w:eastAsia="Arial" w:hAnsi="Arial"/>
          <w:sz w:val="18"/>
          <w:szCs w:val="18"/>
          <w:color w:val="auto"/>
        </w:rPr>
      </w:pPr>
    </w:p>
    <w:p>
      <w:pPr>
        <w:ind w:left="660" w:right="10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are technologically complex, require certain manufacturing expertise or are dependent on factors not wholly within our control</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6" w:lineRule="exact"/>
        <w:rPr>
          <w:sz w:val="20"/>
          <w:szCs w:val="20"/>
          <w:color w:val="auto"/>
        </w:rPr>
      </w:pPr>
    </w:p>
    <w:p>
      <w:pPr>
        <w:ind w:left="660" w:right="4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postretirement and health and welfare plans</w:t>
      </w:r>
    </w:p>
    <w:p>
      <w:pPr>
        <w:spacing w:after="0" w:line="11" w:lineRule="exact"/>
        <w:rPr>
          <w:rFonts w:ascii="Arial" w:cs="Arial" w:eastAsia="Arial" w:hAnsi="Arial"/>
          <w:sz w:val="17"/>
          <w:szCs w:val="17"/>
          <w:color w:val="auto"/>
        </w:rPr>
      </w:pPr>
    </w:p>
    <w:p>
      <w:pPr>
        <w:ind w:left="660" w:right="9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successfully to integrate the Orbital ATK business and realize fully the anticipated benefits of the acquisition, without adverse consequences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exploit or protect intellectual property rights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 including qualification of the Alliant Techsystems Inc. spin-off of Vista Outdoor Inc. as a tax-free transaction</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2018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2018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principal executive officer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2019,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three months ended September 30, 2019, no changes occurred in our internal control over financial reporting that materially affected, or are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2018 Annual Report on Form 10-K.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2018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Purchases of Equity Securities </w:t>
      </w:r>
      <w:r>
        <w:rPr>
          <w:rFonts w:ascii="Arial" w:cs="Arial" w:eastAsia="Arial" w:hAnsi="Arial"/>
          <w:sz w:val="18"/>
          <w:szCs w:val="18"/>
          <w:color w:val="auto"/>
        </w:rPr>
        <w:t>– The table below summarizes our repurchases of common stock during the third quarter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Number</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Approximate</w:t>
            </w:r>
          </w:p>
        </w:tc>
        <w:tc>
          <w:tcPr>
            <w:tcW w:w="5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of Shares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Purchased as</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Part of Publicly</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820" w:type="dxa"/>
            <w:vAlign w:val="bottom"/>
          </w:tcPr>
          <w:p>
            <w:pPr>
              <w:spacing w:after="0"/>
              <w:rPr>
                <w:sz w:val="18"/>
                <w:szCs w:val="18"/>
                <w:color w:val="auto"/>
              </w:rPr>
            </w:pPr>
          </w:p>
        </w:tc>
        <w:tc>
          <w:tcPr>
            <w:tcW w:w="2160" w:type="dxa"/>
            <w:vAlign w:val="bottom"/>
          </w:tcPr>
          <w:p>
            <w:pPr>
              <w:jc w:val="center"/>
              <w:ind w:left="550"/>
              <w:spacing w:after="0"/>
              <w:rPr>
                <w:sz w:val="20"/>
                <w:szCs w:val="20"/>
                <w:color w:val="auto"/>
              </w:rPr>
            </w:pPr>
            <w:r>
              <w:rPr>
                <w:rFonts w:ascii="Arial" w:cs="Arial" w:eastAsia="Arial" w:hAnsi="Arial"/>
                <w:sz w:val="18"/>
                <w:szCs w:val="18"/>
                <w:b w:val="1"/>
                <w:bCs w:val="1"/>
                <w:color w:val="auto"/>
                <w:w w:val="94"/>
              </w:rPr>
              <w:t>Number</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Average Price</w:t>
            </w: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under the</w:t>
            </w:r>
          </w:p>
        </w:tc>
        <w:tc>
          <w:tcPr>
            <w:tcW w:w="5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160" w:type="dxa"/>
            <w:vAlign w:val="bottom"/>
          </w:tcPr>
          <w:p>
            <w:pPr>
              <w:jc w:val="center"/>
              <w:ind w:left="550"/>
              <w:spacing w:after="0"/>
              <w:rPr>
                <w:sz w:val="20"/>
                <w:szCs w:val="20"/>
                <w:color w:val="auto"/>
              </w:rPr>
            </w:pPr>
            <w:r>
              <w:rPr>
                <w:rFonts w:ascii="Arial" w:cs="Arial" w:eastAsia="Arial" w:hAnsi="Arial"/>
                <w:sz w:val="18"/>
                <w:szCs w:val="18"/>
                <w:b w:val="1"/>
                <w:bCs w:val="1"/>
                <w:color w:val="auto"/>
                <w:w w:val="87"/>
              </w:rPr>
              <w:t>of Shares</w:t>
            </w:r>
          </w:p>
        </w:tc>
        <w:tc>
          <w:tcPr>
            <w:tcW w:w="28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Paid per</w:t>
            </w:r>
          </w:p>
        </w:tc>
        <w:tc>
          <w:tcPr>
            <w:tcW w:w="19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Plans or</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61"/>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21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0"/>
              <w:spacing w:after="0" w:line="262" w:lineRule="exact"/>
              <w:rPr>
                <w:sz w:val="20"/>
                <w:szCs w:val="20"/>
                <w:color w:val="auto"/>
              </w:rPr>
            </w:pPr>
            <w:r>
              <w:rPr>
                <w:rFonts w:ascii="Arial" w:cs="Arial" w:eastAsia="Arial" w:hAnsi="Arial"/>
                <w:sz w:val="18"/>
                <w:szCs w:val="18"/>
                <w:b w:val="1"/>
                <w:bCs w:val="1"/>
                <w:color w:val="auto"/>
                <w:w w:val="96"/>
              </w:rPr>
              <w:t>Share</w:t>
            </w:r>
            <w:r>
              <w:rPr>
                <w:rFonts w:ascii="Arial" w:cs="Arial" w:eastAsia="Arial" w:hAnsi="Arial"/>
                <w:sz w:val="25"/>
                <w:szCs w:val="25"/>
                <w:b w:val="1"/>
                <w:bCs w:val="1"/>
                <w:color w:val="auto"/>
                <w:w w:val="96"/>
                <w:vertAlign w:val="superscript"/>
              </w:rPr>
              <w:t>(1)</w:t>
            </w:r>
          </w:p>
        </w:tc>
        <w:tc>
          <w:tcPr>
            <w:tcW w:w="1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Programs</w:t>
            </w:r>
          </w:p>
        </w:tc>
        <w:tc>
          <w:tcPr>
            <w:tcW w:w="15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 in millions)</w:t>
            </w:r>
          </w:p>
        </w:tc>
        <w:tc>
          <w:tcPr>
            <w:tcW w:w="540" w:type="dxa"/>
            <w:vAlign w:val="bottom"/>
            <w:tcBorders>
              <w:bottom w:val="single" w:sz="8" w:color="auto"/>
            </w:tcBorders>
          </w:tcPr>
          <w:p>
            <w:pPr>
              <w:spacing w:after="0"/>
              <w:rPr>
                <w:sz w:val="22"/>
                <w:szCs w:val="2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29, 2019 - July 26, 2019</w:t>
            </w:r>
          </w:p>
        </w:tc>
        <w:tc>
          <w:tcPr>
            <w:tcW w:w="2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143,800</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327.10</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143,800</w:t>
            </w:r>
          </w:p>
        </w:tc>
        <w:tc>
          <w:tcPr>
            <w:tcW w:w="15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3,801</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July 27, 2019 - August 23, 2019</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219,700</w:t>
            </w:r>
          </w:p>
        </w:tc>
        <w:tc>
          <w:tcPr>
            <w:tcW w:w="28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360.17</w:t>
            </w:r>
          </w:p>
        </w:tc>
        <w:tc>
          <w:tcPr>
            <w:tcW w:w="1920" w:type="dxa"/>
            <w:vAlign w:val="bottom"/>
          </w:tcPr>
          <w:p>
            <w:pPr>
              <w:jc w:val="right"/>
              <w:ind w:right="210"/>
              <w:spacing w:after="0"/>
              <w:rPr>
                <w:sz w:val="20"/>
                <w:szCs w:val="20"/>
                <w:color w:val="auto"/>
              </w:rPr>
            </w:pPr>
            <w:r>
              <w:rPr>
                <w:rFonts w:ascii="Arial" w:cs="Arial" w:eastAsia="Arial" w:hAnsi="Arial"/>
                <w:sz w:val="18"/>
                <w:szCs w:val="18"/>
                <w:color w:val="auto"/>
              </w:rPr>
              <w:t>219,700</w:t>
            </w:r>
          </w:p>
        </w:tc>
        <w:tc>
          <w:tcPr>
            <w:tcW w:w="15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3,722</w:t>
            </w:r>
          </w:p>
        </w:tc>
      </w:tr>
      <w:tr>
        <w:trPr>
          <w:trHeight w:val="27"/>
        </w:trPr>
        <w:tc>
          <w:tcPr>
            <w:tcW w:w="3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24, 2019 - September 27, 2019</w:t>
            </w:r>
          </w:p>
        </w:tc>
        <w:tc>
          <w:tcPr>
            <w:tcW w:w="2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244,200</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367.81</w:t>
            </w:r>
          </w:p>
        </w:tc>
        <w:tc>
          <w:tcPr>
            <w:tcW w:w="19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244,200</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3,632</w:t>
            </w:r>
          </w:p>
        </w:tc>
      </w:tr>
      <w:tr>
        <w:trPr>
          <w:trHeight w:val="237"/>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607,700</w:t>
            </w:r>
          </w:p>
        </w:tc>
        <w:tc>
          <w:tcPr>
            <w:tcW w:w="2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355.41</w:t>
            </w:r>
          </w:p>
        </w:tc>
        <w:tc>
          <w:tcPr>
            <w:tcW w:w="19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607,700</w:t>
            </w:r>
          </w:p>
        </w:tc>
        <w:tc>
          <w:tcPr>
            <w:tcW w:w="15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3,632</w:t>
            </w:r>
          </w:p>
        </w:tc>
      </w:tr>
      <w:tr>
        <w:trPr>
          <w:trHeight w:val="34"/>
        </w:trPr>
        <w:tc>
          <w:tcPr>
            <w:tcW w:w="38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and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financial statements for further information on our share repurchase programs.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80" w:right="40" w:hanging="2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3">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New P, Inc.) and Titan Merger Sub Inc., dated March 30, 2011 (incorporated by reference to Exhibit 10.1 to Form 8-K filed April 4, 2011, File</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No. 001-16411)</w:t>
        </w:r>
      </w:hyperlink>
    </w:p>
    <w:p>
      <w:pPr>
        <w:spacing w:after="0" w:line="141" w:lineRule="exact"/>
        <w:rPr>
          <w:rFonts w:ascii="Arial" w:cs="Arial" w:eastAsia="Arial" w:hAnsi="Arial"/>
          <w:sz w:val="18"/>
          <w:szCs w:val="18"/>
          <w:color w:val="auto"/>
        </w:rPr>
      </w:pPr>
    </w:p>
    <w:p>
      <w:pPr>
        <w:ind w:left="1080" w:hanging="278"/>
        <w:spacing w:after="0" w:line="286"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2.2 </w:t>
      </w:r>
      <w:hyperlink r:id="rId14">
        <w:r>
          <w:rPr>
            <w:rFonts w:ascii="Arial" w:cs="Arial" w:eastAsia="Arial" w:hAnsi="Arial"/>
            <w:sz w:val="17"/>
            <w:szCs w:val="17"/>
            <w:u w:val="single" w:color="auto"/>
            <w:color w:val="0000FF"/>
          </w:rPr>
          <w:t>Separation and Distribution Agreement dated as of March 29, 2011, among Titan II, Inc. (formerly Northrop Grumman Corporation), Northrop</w:t>
        </w:r>
      </w:hyperlink>
      <w:r>
        <w:rPr>
          <w:rFonts w:ascii="Arial" w:cs="Arial" w:eastAsia="Arial" w:hAnsi="Arial"/>
          <w:sz w:val="17"/>
          <w:szCs w:val="17"/>
          <w:color w:val="auto"/>
        </w:rPr>
        <w:t xml:space="preserve"> </w:t>
      </w:r>
      <w:hyperlink r:id="rId14">
        <w:r>
          <w:rPr>
            <w:rFonts w:ascii="Arial" w:cs="Arial" w:eastAsia="Arial" w:hAnsi="Arial"/>
            <w:sz w:val="17"/>
            <w:szCs w:val="17"/>
            <w:u w:val="single" w:color="auto"/>
            <w:color w:val="0000FF"/>
          </w:rPr>
          <w:t>Grumman Corporation (formerly New P, Inc.), Huntington Ingalls Industries, Inc., Northrop Grumman Shipbuilding, Inc. and Northrop</w:t>
        </w:r>
      </w:hyperlink>
      <w:r>
        <w:rPr>
          <w:rFonts w:ascii="Arial" w:cs="Arial" w:eastAsia="Arial" w:hAnsi="Arial"/>
          <w:sz w:val="17"/>
          <w:szCs w:val="17"/>
          <w:u w:val="single" w:color="auto"/>
          <w:color w:val="0000FF"/>
        </w:rPr>
        <w:t xml:space="preserve"> </w:t>
      </w:r>
      <w:hyperlink r:id="rId14">
        <w:r>
          <w:rPr>
            <w:rFonts w:ascii="Arial" w:cs="Arial" w:eastAsia="Arial" w:hAnsi="Arial"/>
            <w:sz w:val="17"/>
            <w:szCs w:val="17"/>
            <w:u w:val="single" w:color="auto"/>
            <w:color w:val="0000FF"/>
          </w:rPr>
          <w:t>Grumman Systems Corporation (incorporated by reference to Exhibit 10.2 to Form 8-K filed April 4, 2011, File No. 001-16411)</w:t>
        </w:r>
      </w:hyperlink>
    </w:p>
    <w:p>
      <w:pPr>
        <w:spacing w:after="0" w:line="125" w:lineRule="exact"/>
        <w:rPr>
          <w:rFonts w:ascii="Arial" w:cs="Arial" w:eastAsia="Arial" w:hAnsi="Arial"/>
          <w:sz w:val="17"/>
          <w:szCs w:val="17"/>
          <w:color w:val="auto"/>
        </w:rPr>
      </w:pPr>
    </w:p>
    <w:p>
      <w:pPr>
        <w:ind w:left="1080" w:right="26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5">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FF"/>
          </w:rPr>
          <w:t>ATK, Inc. (incorporated by reference to Exhibit 2.1 to Form 8-K filed September 18, 2017)</w:t>
        </w:r>
      </w:hyperlink>
    </w:p>
    <w:p>
      <w:pPr>
        <w:spacing w:after="0" w:line="130" w:lineRule="exact"/>
        <w:rPr>
          <w:sz w:val="20"/>
          <w:szCs w:val="20"/>
          <w:color w:val="auto"/>
        </w:rPr>
      </w:pPr>
    </w:p>
    <w:p>
      <w:pPr>
        <w:jc w:val="both"/>
        <w:ind w:left="1080" w:right="320" w:hanging="278"/>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6">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Systems, Inc.) Form 8-K filed May 2, 2014)</w:t>
        </w:r>
      </w:hyperlink>
    </w:p>
    <w:p>
      <w:pPr>
        <w:spacing w:after="0" w:line="14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42">
        <w:r>
          <w:rPr>
            <w:rFonts w:ascii="Arial" w:cs="Arial" w:eastAsia="Arial" w:hAnsi="Arial"/>
            <w:sz w:val="18"/>
            <w:szCs w:val="18"/>
            <w:u w:val="single" w:color="auto"/>
            <w:color w:val="0000FF"/>
          </w:rPr>
          <w:t>Consultant Agreement between Northrop Grumman Systems Corporation and Wesley G. Bush, dated July 31, 2019</w:t>
        </w:r>
      </w:hyperlink>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57">
        <w:r>
          <w:rPr>
            <w:rFonts w:ascii="Arial" w:cs="Arial" w:eastAsia="Arial" w:hAnsi="Arial"/>
            <w:sz w:val="18"/>
            <w:szCs w:val="18"/>
            <w:u w:val="single" w:color="auto"/>
            <w:color w:val="0000FF"/>
          </w:rPr>
          <w:t>Letter from Independent Registered Public Accounting Firm</w:t>
        </w:r>
      </w:hyperlink>
    </w:p>
    <w:p>
      <w:pPr>
        <w:spacing w:after="0" w:line="18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58">
        <w:r>
          <w:rPr>
            <w:rFonts w:ascii="Arial" w:cs="Arial" w:eastAsia="Arial" w:hAnsi="Arial"/>
            <w:sz w:val="18"/>
            <w:szCs w:val="18"/>
            <w:u w:val="single" w:color="auto"/>
            <w:color w:val="0000FF"/>
          </w:rPr>
          <w:t>Certification of Kathy J. Warden pursuant to Section 302 of the Sarbanes-Oxley Act of 2002</w:t>
        </w:r>
      </w:hyperlink>
    </w:p>
    <w:p>
      <w:pPr>
        <w:spacing w:after="0" w:line="18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59">
        <w:r>
          <w:rPr>
            <w:rFonts w:ascii="Arial" w:cs="Arial" w:eastAsia="Arial" w:hAnsi="Arial"/>
            <w:sz w:val="18"/>
            <w:szCs w:val="18"/>
            <w:u w:val="single" w:color="auto"/>
            <w:color w:val="0000FF"/>
          </w:rPr>
          <w:t>Certification of Kenneth L. Bedingfield pursuant to Section 302 of the Sarbanes-Oxley Act of 2002</w:t>
        </w:r>
      </w:hyperlink>
    </w:p>
    <w:p>
      <w:pPr>
        <w:spacing w:after="0" w:line="18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60">
        <w:r>
          <w:rPr>
            <w:rFonts w:ascii="Arial" w:cs="Arial" w:eastAsia="Arial" w:hAnsi="Arial"/>
            <w:sz w:val="18"/>
            <w:szCs w:val="18"/>
            <w:u w:val="single" w:color="auto"/>
            <w:color w:val="0000FF"/>
          </w:rPr>
          <w:t>Certification of Kathy J. Warden pursuant to Section 906 of the Sarbanes-Oxley Act of 2002</w:t>
        </w:r>
      </w:hyperlink>
    </w:p>
    <w:p>
      <w:pPr>
        <w:spacing w:after="0" w:line="18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61">
        <w:r>
          <w:rPr>
            <w:rFonts w:ascii="Arial" w:cs="Arial" w:eastAsia="Arial" w:hAnsi="Arial"/>
            <w:sz w:val="18"/>
            <w:szCs w:val="18"/>
            <w:u w:val="single" w:color="auto"/>
            <w:color w:val="0000FF"/>
          </w:rPr>
          <w:t>Certification of Kenneth L. Bedingfield pursuant to Section 906 of the Sarbanes-Oxley Act of 2002</w:t>
        </w:r>
      </w:hyperlink>
    </w:p>
    <w:p>
      <w:pPr>
        <w:spacing w:after="0" w:line="185" w:lineRule="exact"/>
        <w:rPr>
          <w:rFonts w:ascii="Arial" w:cs="Arial" w:eastAsia="Arial" w:hAnsi="Arial"/>
          <w:sz w:val="18"/>
          <w:szCs w:val="18"/>
          <w:color w:val="auto"/>
        </w:rPr>
      </w:pPr>
    </w:p>
    <w:p>
      <w:pPr>
        <w:ind w:left="1080" w:right="200" w:hanging="413"/>
        <w:spacing w:after="0" w:line="297" w:lineRule="auto"/>
        <w:rPr>
          <w:sz w:val="20"/>
          <w:szCs w:val="20"/>
          <w:color w:val="auto"/>
        </w:rPr>
      </w:pPr>
      <w:r>
        <w:rPr>
          <w:rFonts w:ascii="Arial" w:cs="Arial" w:eastAsia="Arial" w:hAnsi="Arial"/>
          <w:sz w:val="16"/>
          <w:szCs w:val="16"/>
          <w:color w:val="auto"/>
        </w:rPr>
        <w:t>*101 Northrop Grumman Corporation Quarterly Report on Form 10-Q for the quarter ended September 30, 2019,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118"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76" w:lineRule="exact"/>
        <w:rPr>
          <w:rFonts w:ascii="Arial" w:cs="Arial" w:eastAsia="Arial" w:hAnsi="Arial"/>
          <w:sz w:val="18"/>
          <w:szCs w:val="18"/>
          <w:color w:val="auto"/>
        </w:rPr>
      </w:pPr>
    </w:p>
    <w:p>
      <w:pPr>
        <w:ind w:left="720" w:hanging="442"/>
        <w:spacing w:after="0"/>
        <w:tabs>
          <w:tab w:leader="none" w:pos="72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rFonts w:ascii="Arial" w:cs="Arial" w:eastAsia="Arial" w:hAnsi="Arial"/>
          <w:sz w:val="18"/>
          <w:szCs w:val="18"/>
          <w:color w:val="auto"/>
        </w:rPr>
      </w:pPr>
    </w:p>
    <w:p>
      <w:pPr>
        <w:ind w:left="720" w:hanging="442"/>
        <w:spacing w:after="0"/>
        <w:tabs>
          <w:tab w:leader="none" w:pos="72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rFonts w:ascii="Arial" w:cs="Arial" w:eastAsia="Arial" w:hAnsi="Arial"/>
          <w:sz w:val="18"/>
          <w:szCs w:val="18"/>
          <w:color w:val="auto"/>
        </w:rPr>
      </w:pPr>
    </w:p>
    <w:p>
      <w:pPr>
        <w:ind w:left="720" w:hanging="442"/>
        <w:spacing w:after="0"/>
        <w:tabs>
          <w:tab w:leader="none" w:pos="72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18" w:right="27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w:t>
      </w:r>
    </w:p>
    <w:p>
      <w:pPr>
        <w:ind w:left="74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21590</wp:posOffset>
            </wp:positionV>
            <wp:extent cx="3876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4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2019</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18"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363636"/>
        </w:rPr>
        <w:t>CONSULTANT AGREEMENT</w:t>
      </w:r>
    </w:p>
    <w:p>
      <w:pPr>
        <w:spacing w:after="0" w:line="278" w:lineRule="exact"/>
        <w:rPr>
          <w:sz w:val="20"/>
          <w:szCs w:val="20"/>
          <w:color w:val="auto"/>
        </w:rPr>
      </w:pPr>
    </w:p>
    <w:p>
      <w:pPr>
        <w:jc w:val="both"/>
        <w:ind w:firstLine="729"/>
        <w:spacing w:after="0" w:line="406" w:lineRule="auto"/>
        <w:rPr>
          <w:sz w:val="20"/>
          <w:szCs w:val="20"/>
          <w:color w:val="auto"/>
        </w:rPr>
      </w:pPr>
      <w:r>
        <w:rPr>
          <w:rFonts w:ascii="Arial" w:cs="Arial" w:eastAsia="Arial" w:hAnsi="Arial"/>
          <w:sz w:val="20"/>
          <w:szCs w:val="20"/>
          <w:color w:val="363636"/>
        </w:rPr>
        <w:t xml:space="preserve">This agreement for consulting services </w:t>
      </w:r>
      <w:r>
        <w:rPr>
          <w:rFonts w:ascii="Arial" w:cs="Arial" w:eastAsia="Arial" w:hAnsi="Arial"/>
          <w:sz w:val="20"/>
          <w:szCs w:val="20"/>
          <w:color w:val="4F4F4F"/>
        </w:rPr>
        <w:t>("Agreement</w:t>
      </w:r>
      <w:r>
        <w:rPr>
          <w:rFonts w:ascii="Arial" w:cs="Arial" w:eastAsia="Arial" w:hAnsi="Arial"/>
          <w:sz w:val="20"/>
          <w:szCs w:val="20"/>
          <w:color w:val="707070"/>
        </w:rPr>
        <w:t>'")</w:t>
      </w:r>
      <w:r>
        <w:rPr>
          <w:rFonts w:ascii="Arial" w:cs="Arial" w:eastAsia="Arial" w:hAnsi="Arial"/>
          <w:sz w:val="20"/>
          <w:szCs w:val="20"/>
          <w:color w:val="363636"/>
        </w:rPr>
        <w:t xml:space="preserve"> </w:t>
      </w:r>
      <w:r>
        <w:rPr>
          <w:rFonts w:ascii="Arial" w:cs="Arial" w:eastAsia="Arial" w:hAnsi="Arial"/>
          <w:sz w:val="20"/>
          <w:szCs w:val="20"/>
          <w:color w:val="4F4F4F"/>
        </w:rPr>
        <w:t>is</w:t>
      </w:r>
      <w:r>
        <w:rPr>
          <w:rFonts w:ascii="Arial" w:cs="Arial" w:eastAsia="Arial" w:hAnsi="Arial"/>
          <w:sz w:val="20"/>
          <w:szCs w:val="20"/>
          <w:color w:val="363636"/>
        </w:rPr>
        <w:t xml:space="preserve"> between Northrop Grumman Systems Corporation, a Delaware corporation whose principal place of business is located at 2980 Fairview Park Drive, </w:t>
      </w:r>
      <w:r>
        <w:rPr>
          <w:rFonts w:ascii="Arial" w:cs="Arial" w:eastAsia="Arial" w:hAnsi="Arial"/>
          <w:sz w:val="20"/>
          <w:szCs w:val="20"/>
          <w:color w:val="606060"/>
        </w:rPr>
        <w:t>F</w:t>
      </w:r>
      <w:r>
        <w:rPr>
          <w:rFonts w:ascii="Arial" w:cs="Arial" w:eastAsia="Arial" w:hAnsi="Arial"/>
          <w:sz w:val="20"/>
          <w:szCs w:val="20"/>
          <w:color w:val="363636"/>
        </w:rPr>
        <w:t>alls Church, VA ("</w:t>
      </w:r>
      <w:r>
        <w:rPr>
          <w:rFonts w:ascii="Arial" w:cs="Arial" w:eastAsia="Arial" w:hAnsi="Arial"/>
          <w:sz w:val="20"/>
          <w:szCs w:val="20"/>
          <w:color w:val="707070"/>
        </w:rPr>
        <w:t>N</w:t>
      </w:r>
      <w:r>
        <w:rPr>
          <w:rFonts w:ascii="Arial" w:cs="Arial" w:eastAsia="Arial" w:hAnsi="Arial"/>
          <w:sz w:val="20"/>
          <w:szCs w:val="20"/>
          <w:color w:val="363636"/>
        </w:rPr>
        <w:t xml:space="preserve">GSC'' or "the Company") and Wesley G. Bush, VA </w:t>
      </w:r>
      <w:r>
        <w:rPr>
          <w:rFonts w:ascii="Arial" w:cs="Arial" w:eastAsia="Arial" w:hAnsi="Arial"/>
          <w:sz w:val="20"/>
          <w:szCs w:val="20"/>
          <w:color w:val="606060"/>
        </w:rPr>
        <w:t>(</w:t>
      </w:r>
      <w:r>
        <w:rPr>
          <w:rFonts w:ascii="Arial" w:cs="Arial" w:eastAsia="Arial" w:hAnsi="Arial"/>
          <w:sz w:val="20"/>
          <w:szCs w:val="20"/>
          <w:color w:val="363636"/>
        </w:rPr>
        <w:t>"</w:t>
      </w:r>
      <w:r>
        <w:rPr>
          <w:rFonts w:ascii="Arial" w:cs="Arial" w:eastAsia="Arial" w:hAnsi="Arial"/>
          <w:sz w:val="20"/>
          <w:szCs w:val="20"/>
          <w:color w:val="4F4F4F"/>
        </w:rPr>
        <w:t>Consultant'</w:t>
      </w:r>
      <w:r>
        <w:rPr>
          <w:rFonts w:ascii="Arial" w:cs="Arial" w:eastAsia="Arial" w:hAnsi="Arial"/>
          <w:sz w:val="20"/>
          <w:szCs w:val="20"/>
          <w:color w:val="707070"/>
        </w:rPr>
        <w:t>'</w:t>
      </w:r>
      <w:r>
        <w:rPr>
          <w:rFonts w:ascii="Arial" w:cs="Arial" w:eastAsia="Arial" w:hAnsi="Arial"/>
          <w:sz w:val="20"/>
          <w:szCs w:val="20"/>
          <w:color w:val="363636"/>
        </w:rPr>
        <w:t xml:space="preserve"> or "Mr. Bush") </w:t>
      </w:r>
      <w:r>
        <w:rPr>
          <w:rFonts w:ascii="Arial" w:cs="Arial" w:eastAsia="Arial" w:hAnsi="Arial"/>
          <w:sz w:val="20"/>
          <w:szCs w:val="20"/>
          <w:color w:val="4F4F4F"/>
        </w:rPr>
        <w:t>(each</w:t>
      </w:r>
      <w:r>
        <w:rPr>
          <w:rFonts w:ascii="Arial" w:cs="Arial" w:eastAsia="Arial" w:hAnsi="Arial"/>
          <w:sz w:val="20"/>
          <w:szCs w:val="20"/>
          <w:color w:val="363636"/>
        </w:rPr>
        <w:t xml:space="preserve"> "</w:t>
      </w:r>
      <w:r>
        <w:rPr>
          <w:rFonts w:ascii="Arial" w:cs="Arial" w:eastAsia="Arial" w:hAnsi="Arial"/>
          <w:sz w:val="20"/>
          <w:szCs w:val="20"/>
          <w:color w:val="4F4F4F"/>
        </w:rPr>
        <w:t>a</w:t>
      </w:r>
      <w:r>
        <w:rPr>
          <w:rFonts w:ascii="Arial" w:cs="Arial" w:eastAsia="Arial" w:hAnsi="Arial"/>
          <w:sz w:val="20"/>
          <w:szCs w:val="20"/>
          <w:color w:val="363636"/>
        </w:rPr>
        <w:t xml:space="preserve"> party," collectively "the parties"), dated July 31, 2019.</w:t>
      </w:r>
    </w:p>
    <w:p>
      <w:pPr>
        <w:spacing w:after="0" w:line="2" w:lineRule="exact"/>
        <w:rPr>
          <w:sz w:val="20"/>
          <w:szCs w:val="20"/>
          <w:color w:val="auto"/>
        </w:rPr>
      </w:pPr>
    </w:p>
    <w:p>
      <w:pPr>
        <w:ind w:left="760" w:hanging="590"/>
        <w:spacing w:after="0"/>
        <w:tabs>
          <w:tab w:leader="none" w:pos="760"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63636"/>
        </w:rPr>
        <w:t>ENGAGEMENT</w:t>
      </w:r>
    </w:p>
    <w:p>
      <w:pPr>
        <w:spacing w:after="0" w:line="197" w:lineRule="exact"/>
        <w:rPr>
          <w:sz w:val="20"/>
          <w:szCs w:val="20"/>
          <w:color w:val="auto"/>
        </w:rPr>
      </w:pPr>
    </w:p>
    <w:p>
      <w:pPr>
        <w:jc w:val="both"/>
        <w:ind w:firstLine="756"/>
        <w:spacing w:after="0" w:line="368" w:lineRule="auto"/>
        <w:rPr>
          <w:sz w:val="20"/>
          <w:szCs w:val="20"/>
          <w:color w:val="auto"/>
        </w:rPr>
      </w:pPr>
      <w:r>
        <w:rPr>
          <w:rFonts w:ascii="Arial" w:cs="Arial" w:eastAsia="Arial" w:hAnsi="Arial"/>
          <w:sz w:val="21"/>
          <w:szCs w:val="21"/>
          <w:color w:val="363636"/>
        </w:rPr>
        <w:t>The Company hereb</w:t>
      </w:r>
      <w:r>
        <w:rPr>
          <w:rFonts w:ascii="Arial" w:cs="Arial" w:eastAsia="Arial" w:hAnsi="Arial"/>
          <w:sz w:val="21"/>
          <w:szCs w:val="21"/>
          <w:color w:val="606060"/>
        </w:rPr>
        <w:t>y</w:t>
      </w:r>
      <w:r>
        <w:rPr>
          <w:rFonts w:ascii="Arial" w:cs="Arial" w:eastAsia="Arial" w:hAnsi="Arial"/>
          <w:sz w:val="21"/>
          <w:szCs w:val="21"/>
          <w:color w:val="363636"/>
        </w:rPr>
        <w:t xml:space="preserve"> retains Consultant to provide such advice and participate in such meetings and e</w:t>
      </w:r>
      <w:r>
        <w:rPr>
          <w:rFonts w:ascii="Arial" w:cs="Arial" w:eastAsia="Arial" w:hAnsi="Arial"/>
          <w:sz w:val="21"/>
          <w:szCs w:val="21"/>
          <w:color w:val="606060"/>
        </w:rPr>
        <w:t>v</w:t>
      </w:r>
      <w:r>
        <w:rPr>
          <w:rFonts w:ascii="Arial" w:cs="Arial" w:eastAsia="Arial" w:hAnsi="Arial"/>
          <w:sz w:val="21"/>
          <w:szCs w:val="21"/>
          <w:color w:val="363636"/>
        </w:rPr>
        <w:t>ents for the benefit of the Company and its affiliates, as may be requested by the Company. Consultant's principal point of contact at the Company with respect to the specific nature and scope of the services to be provided during the Consulting Period shall be Northrop Grumman Corporation</w:t>
      </w:r>
      <w:r>
        <w:rPr>
          <w:rFonts w:ascii="Arial" w:cs="Arial" w:eastAsia="Arial" w:hAnsi="Arial"/>
          <w:sz w:val="21"/>
          <w:szCs w:val="21"/>
          <w:color w:val="606060"/>
        </w:rPr>
        <w:t>'</w:t>
      </w:r>
      <w:r>
        <w:rPr>
          <w:rFonts w:ascii="Arial" w:cs="Arial" w:eastAsia="Arial" w:hAnsi="Arial"/>
          <w:sz w:val="21"/>
          <w:szCs w:val="21"/>
          <w:color w:val="363636"/>
        </w:rPr>
        <w:t>s ("NGC") Chief Executive Officer or her designee</w:t>
      </w:r>
      <w:r>
        <w:rPr>
          <w:rFonts w:ascii="Arial" w:cs="Arial" w:eastAsia="Arial" w:hAnsi="Arial"/>
          <w:sz w:val="21"/>
          <w:szCs w:val="21"/>
          <w:color w:val="606060"/>
        </w:rPr>
        <w:t>. C</w:t>
      </w:r>
      <w:r>
        <w:rPr>
          <w:rFonts w:ascii="Arial" w:cs="Arial" w:eastAsia="Arial" w:hAnsi="Arial"/>
          <w:sz w:val="21"/>
          <w:szCs w:val="21"/>
          <w:color w:val="363636"/>
        </w:rPr>
        <w:t>onsultant shall provide reports of his activities under this Agreement to NGSC at such times and places as NGSC may reasonably require.</w:t>
      </w:r>
    </w:p>
    <w:p>
      <w:pPr>
        <w:spacing w:after="0" w:line="114" w:lineRule="exact"/>
        <w:rPr>
          <w:sz w:val="20"/>
          <w:szCs w:val="20"/>
          <w:color w:val="auto"/>
        </w:rPr>
      </w:pPr>
    </w:p>
    <w:p>
      <w:pPr>
        <w:ind w:left="780" w:hanging="664"/>
        <w:spacing w:after="0"/>
        <w:tabs>
          <w:tab w:leader="none" w:pos="780"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63636"/>
        </w:rPr>
        <w:t>PLACE OF ENGAGEMENT</w:t>
      </w:r>
    </w:p>
    <w:p>
      <w:pPr>
        <w:spacing w:after="0" w:line="200" w:lineRule="exact"/>
        <w:rPr>
          <w:sz w:val="20"/>
          <w:szCs w:val="20"/>
          <w:color w:val="auto"/>
        </w:rPr>
      </w:pPr>
    </w:p>
    <w:p>
      <w:pPr>
        <w:spacing w:after="0" w:line="213" w:lineRule="exact"/>
        <w:rPr>
          <w:sz w:val="20"/>
          <w:szCs w:val="20"/>
          <w:color w:val="auto"/>
        </w:rPr>
      </w:pPr>
    </w:p>
    <w:p>
      <w:pPr>
        <w:ind w:firstLine="770"/>
        <w:spacing w:after="0" w:line="398" w:lineRule="auto"/>
        <w:rPr>
          <w:sz w:val="20"/>
          <w:szCs w:val="20"/>
          <w:color w:val="auto"/>
        </w:rPr>
      </w:pPr>
      <w:r>
        <w:rPr>
          <w:rFonts w:ascii="Arial" w:cs="Arial" w:eastAsia="Arial" w:hAnsi="Arial"/>
          <w:sz w:val="21"/>
          <w:szCs w:val="21"/>
          <w:color w:val="363636"/>
        </w:rPr>
        <w:t xml:space="preserve">Consultant shall perform the services called for under this Agreement </w:t>
      </w:r>
      <w:r>
        <w:rPr>
          <w:rFonts w:ascii="Arial" w:cs="Arial" w:eastAsia="Arial" w:hAnsi="Arial"/>
          <w:sz w:val="21"/>
          <w:szCs w:val="21"/>
          <w:color w:val="4F4F4F"/>
        </w:rPr>
        <w:t>in the Commonwealth of Virginia and, on occasion, in</w:t>
      </w:r>
      <w:r>
        <w:rPr>
          <w:rFonts w:ascii="Arial" w:cs="Arial" w:eastAsia="Arial" w:hAnsi="Arial"/>
          <w:sz w:val="21"/>
          <w:szCs w:val="21"/>
          <w:color w:val="363636"/>
        </w:rPr>
        <w:t xml:space="preserve"> </w:t>
      </w:r>
      <w:r>
        <w:rPr>
          <w:rFonts w:ascii="Arial" w:cs="Arial" w:eastAsia="Arial" w:hAnsi="Arial"/>
          <w:sz w:val="21"/>
          <w:szCs w:val="21"/>
          <w:color w:val="4F4F4F"/>
        </w:rPr>
        <w:t xml:space="preserve">such other places as the parties may </w:t>
      </w:r>
      <w:r>
        <w:rPr>
          <w:rFonts w:ascii="Arial" w:cs="Arial" w:eastAsia="Arial" w:hAnsi="Arial"/>
          <w:sz w:val="21"/>
          <w:szCs w:val="21"/>
          <w:color w:val="363636"/>
        </w:rPr>
        <w:t>agree.</w:t>
      </w:r>
    </w:p>
    <w:p>
      <w:pPr>
        <w:spacing w:after="0" w:line="125" w:lineRule="exact"/>
        <w:rPr>
          <w:sz w:val="20"/>
          <w:szCs w:val="20"/>
          <w:color w:val="auto"/>
        </w:rPr>
      </w:pPr>
    </w:p>
    <w:p>
      <w:pPr>
        <w:ind w:left="780" w:hanging="610"/>
        <w:spacing w:after="0"/>
        <w:tabs>
          <w:tab w:leader="none" w:pos="78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63636"/>
        </w:rPr>
        <w:t>TERM OF ENGAGEMENT</w:t>
      </w:r>
    </w:p>
    <w:p>
      <w:pPr>
        <w:spacing w:after="0" w:line="183" w:lineRule="exact"/>
        <w:rPr>
          <w:sz w:val="20"/>
          <w:szCs w:val="20"/>
          <w:color w:val="auto"/>
        </w:rPr>
      </w:pPr>
    </w:p>
    <w:p>
      <w:pPr>
        <w:jc w:val="both"/>
        <w:ind w:right="20" w:firstLine="810"/>
        <w:spacing w:after="0" w:line="373" w:lineRule="auto"/>
        <w:rPr>
          <w:sz w:val="20"/>
          <w:szCs w:val="20"/>
          <w:color w:val="auto"/>
        </w:rPr>
      </w:pPr>
      <w:r>
        <w:rPr>
          <w:rFonts w:ascii="Arial" w:cs="Arial" w:eastAsia="Arial" w:hAnsi="Arial"/>
          <w:sz w:val="21"/>
          <w:szCs w:val="21"/>
          <w:color w:val="363636"/>
        </w:rPr>
        <w:t>The initial term of this Agreement shall be for a period of five years commencing on August 1</w:t>
      </w:r>
      <w:r>
        <w:rPr>
          <w:rFonts w:ascii="Arial" w:cs="Arial" w:eastAsia="Arial" w:hAnsi="Arial"/>
          <w:sz w:val="21"/>
          <w:szCs w:val="21"/>
          <w:color w:val="606060"/>
        </w:rPr>
        <w:t>,</w:t>
      </w:r>
      <w:r>
        <w:rPr>
          <w:rFonts w:ascii="Arial" w:cs="Arial" w:eastAsia="Arial" w:hAnsi="Arial"/>
          <w:sz w:val="21"/>
          <w:szCs w:val="21"/>
          <w:color w:val="363636"/>
        </w:rPr>
        <w:t xml:space="preserve"> 2019 and terminating five years thereafter (the "Consulting Period")</w:t>
      </w:r>
      <w:r>
        <w:rPr>
          <w:rFonts w:ascii="Arial" w:cs="Arial" w:eastAsia="Arial" w:hAnsi="Arial"/>
          <w:sz w:val="21"/>
          <w:szCs w:val="21"/>
          <w:color w:val="606060"/>
        </w:rPr>
        <w:t>.</w:t>
      </w:r>
      <w:r>
        <w:rPr>
          <w:rFonts w:ascii="Arial" w:cs="Arial" w:eastAsia="Arial" w:hAnsi="Arial"/>
          <w:sz w:val="21"/>
          <w:szCs w:val="21"/>
          <w:color w:val="363636"/>
        </w:rPr>
        <w:t xml:space="preserve"> This Agreement may be renewed or extended in writing, annually or on such other terms as the parties may agree.</w:t>
      </w:r>
    </w:p>
    <w:p>
      <w:pPr>
        <w:spacing w:after="0" w:line="111"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u w:val="single" w:color="auto"/>
          <w:color w:val="363636"/>
        </w:rPr>
        <w:t>COMPENSATION</w:t>
      </w:r>
    </w:p>
    <w:p>
      <w:pPr>
        <w:spacing w:after="0" w:line="353" w:lineRule="exact"/>
        <w:rPr>
          <w:sz w:val="20"/>
          <w:szCs w:val="20"/>
          <w:color w:val="auto"/>
        </w:rPr>
      </w:pPr>
    </w:p>
    <w:p>
      <w:pPr>
        <w:jc w:val="both"/>
        <w:ind w:firstLine="832"/>
        <w:spacing w:after="0" w:line="399" w:lineRule="auto"/>
        <w:tabs>
          <w:tab w:leader="none" w:pos="1223" w:val="left"/>
        </w:tabs>
        <w:numPr>
          <w:ilvl w:val="0"/>
          <w:numId w:val="23"/>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363636"/>
        </w:rPr>
        <w:t>Fee.</w:t>
      </w:r>
      <w:r>
        <w:rPr>
          <w:rFonts w:ascii="Arial" w:cs="Arial" w:eastAsia="Arial" w:hAnsi="Arial"/>
          <w:sz w:val="21"/>
          <w:szCs w:val="21"/>
          <w:b w:val="1"/>
          <w:bCs w:val="1"/>
          <w:color w:val="363636"/>
        </w:rPr>
        <w:t xml:space="preserve"> </w:t>
      </w:r>
      <w:r>
        <w:rPr>
          <w:rFonts w:ascii="Arial" w:cs="Arial" w:eastAsia="Arial" w:hAnsi="Arial"/>
          <w:sz w:val="21"/>
          <w:szCs w:val="21"/>
          <w:color w:val="363636"/>
        </w:rPr>
        <w:t>Consultant agrees to make himself available to perform services for the Company for up to three (3) days per month</w:t>
      </w:r>
      <w:r>
        <w:rPr>
          <w:rFonts w:ascii="Arial" w:cs="Arial" w:eastAsia="Arial" w:hAnsi="Arial"/>
          <w:sz w:val="21"/>
          <w:szCs w:val="21"/>
          <w:b w:val="1"/>
          <w:bCs w:val="1"/>
          <w:color w:val="363636"/>
        </w:rPr>
        <w:t xml:space="preserve"> </w:t>
      </w:r>
      <w:r>
        <w:rPr>
          <w:rFonts w:ascii="Arial" w:cs="Arial" w:eastAsia="Arial" w:hAnsi="Arial"/>
          <w:sz w:val="21"/>
          <w:szCs w:val="21"/>
          <w:color w:val="363636"/>
        </w:rPr>
        <w:t>during the Consulting Period. The Company shall pay Consultant a fixed fee of $16,670 per full or partial month for consulting services performed during the Consulting Period</w:t>
      </w:r>
      <w:r>
        <w:rPr>
          <w:rFonts w:ascii="Arial" w:cs="Arial" w:eastAsia="Arial" w:hAnsi="Arial"/>
          <w:sz w:val="21"/>
          <w:szCs w:val="21"/>
          <w:color w:val="606060"/>
        </w:rPr>
        <w:t>.</w:t>
      </w:r>
      <w:r>
        <w:rPr>
          <w:rFonts w:ascii="Arial" w:cs="Arial" w:eastAsia="Arial" w:hAnsi="Arial"/>
          <w:sz w:val="21"/>
          <w:szCs w:val="21"/>
          <w:color w:val="363636"/>
        </w:rPr>
        <w:t xml:space="preserve"> Any consulting fee due for a calendar month shall be paid by the Company promptly after the </w:t>
      </w:r>
      <w:r>
        <w:rPr>
          <w:rFonts w:ascii="Arial" w:cs="Arial" w:eastAsia="Arial" w:hAnsi="Arial"/>
          <w:sz w:val="21"/>
          <w:szCs w:val="21"/>
          <w:color w:val="2F2F2F"/>
        </w:rPr>
        <w:t>end of such month. Consultant acknowledges and agrees that by accepting these consulting payments he is certifying his compliance with the provisions of this Agreement.</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386" w:lineRule="exact"/>
        <w:rPr>
          <w:sz w:val="20"/>
          <w:szCs w:val="20"/>
          <w:color w:val="auto"/>
        </w:rPr>
      </w:pPr>
    </w:p>
    <w:p>
      <w:pPr>
        <w:jc w:val="both"/>
        <w:ind w:right="20" w:firstLine="832"/>
        <w:spacing w:after="0" w:line="401" w:lineRule="auto"/>
        <w:tabs>
          <w:tab w:leader="none" w:pos="1280" w:val="left"/>
        </w:tabs>
        <w:numPr>
          <w:ilvl w:val="1"/>
          <w:numId w:val="24"/>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auto"/>
        </w:rPr>
        <w:t>Support Services.</w:t>
      </w:r>
      <w:r>
        <w:rPr>
          <w:rFonts w:ascii="Arial" w:cs="Arial" w:eastAsia="Arial" w:hAnsi="Arial"/>
          <w:sz w:val="21"/>
          <w:szCs w:val="21"/>
          <w:b w:val="1"/>
          <w:bCs w:val="1"/>
          <w:color w:val="auto"/>
        </w:rPr>
        <w:t xml:space="preserve"> </w:t>
      </w:r>
      <w:r>
        <w:rPr>
          <w:rFonts w:ascii="Arial" w:cs="Arial" w:eastAsia="Arial" w:hAnsi="Arial"/>
          <w:sz w:val="21"/>
          <w:szCs w:val="21"/>
          <w:color w:val="auto"/>
        </w:rPr>
        <w:t>Further to enable Consultant to perform such services, the Company shall provide Consultant with</w:t>
      </w:r>
      <w:r>
        <w:rPr>
          <w:rFonts w:ascii="Arial" w:cs="Arial" w:eastAsia="Arial" w:hAnsi="Arial"/>
          <w:sz w:val="21"/>
          <w:szCs w:val="21"/>
          <w:b w:val="1"/>
          <w:bCs w:val="1"/>
          <w:color w:val="auto"/>
        </w:rPr>
        <w:t xml:space="preserve"> </w:t>
      </w:r>
      <w:r>
        <w:rPr>
          <w:rFonts w:ascii="Arial" w:cs="Arial" w:eastAsia="Arial" w:hAnsi="Arial"/>
          <w:sz w:val="21"/>
          <w:szCs w:val="21"/>
          <w:color w:val="auto"/>
        </w:rPr>
        <w:t>information technology (“IT”) support and shall continue to hold and maintain appropriate security clearances for Consultant. The IT support shall include providing Consultant with electronics equipment (including a computer and mobile phone) and a Company telephone number and email account, as well as related support services.</w:t>
      </w:r>
    </w:p>
    <w:p>
      <w:pPr>
        <w:spacing w:after="0" w:line="3" w:lineRule="exact"/>
        <w:rPr>
          <w:rFonts w:ascii="Arial" w:cs="Arial" w:eastAsia="Arial" w:hAnsi="Arial"/>
          <w:sz w:val="20"/>
          <w:szCs w:val="20"/>
          <w:b w:val="1"/>
          <w:bCs w:val="1"/>
          <w:color w:val="auto"/>
        </w:rPr>
      </w:pPr>
    </w:p>
    <w:p>
      <w:pPr>
        <w:jc w:val="both"/>
        <w:ind w:firstLine="832"/>
        <w:spacing w:after="0" w:line="506" w:lineRule="auto"/>
        <w:tabs>
          <w:tab w:leader="none" w:pos="1196" w:val="left"/>
        </w:tabs>
        <w:numPr>
          <w:ilvl w:val="1"/>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2F2F2F"/>
        </w:rPr>
        <w:t>Expenses.</w:t>
      </w:r>
      <w:r>
        <w:rPr>
          <w:rFonts w:ascii="Arial" w:cs="Arial" w:eastAsia="Arial" w:hAnsi="Arial"/>
          <w:sz w:val="16"/>
          <w:szCs w:val="16"/>
          <w:b w:val="1"/>
          <w:bCs w:val="1"/>
          <w:color w:val="2F2F2F"/>
        </w:rPr>
        <w:t xml:space="preserve"> </w:t>
      </w:r>
      <w:r>
        <w:rPr>
          <w:rFonts w:ascii="Arial" w:cs="Arial" w:eastAsia="Arial" w:hAnsi="Arial"/>
          <w:sz w:val="16"/>
          <w:szCs w:val="16"/>
          <w:color w:val="2F2F2F"/>
        </w:rPr>
        <w:t>The Company shall reimburse Consultant for all reasonable and appropriate expenses, including first class airfare and</w:t>
      </w:r>
      <w:r>
        <w:rPr>
          <w:rFonts w:ascii="Arial" w:cs="Arial" w:eastAsia="Arial" w:hAnsi="Arial"/>
          <w:sz w:val="16"/>
          <w:szCs w:val="16"/>
          <w:b w:val="1"/>
          <w:bCs w:val="1"/>
          <w:color w:val="2F2F2F"/>
        </w:rPr>
        <w:t xml:space="preserve"> </w:t>
      </w:r>
      <w:r>
        <w:rPr>
          <w:rFonts w:ascii="Arial" w:cs="Arial" w:eastAsia="Arial" w:hAnsi="Arial"/>
          <w:sz w:val="16"/>
          <w:szCs w:val="16"/>
          <w:color w:val="2F2F2F"/>
        </w:rPr>
        <w:t>accommodations, incurred by Consultant in connection with the rendering of services hereunder. Claims for expenses shall be in accordance with the Company's established policies and procedures and documented pursuant to the procedures applicable to the Company’s officers.</w:t>
      </w:r>
    </w:p>
    <w:p>
      <w:pPr>
        <w:spacing w:after="0" w:line="1" w:lineRule="exact"/>
        <w:rPr>
          <w:rFonts w:ascii="Arial" w:cs="Arial" w:eastAsia="Arial" w:hAnsi="Arial"/>
          <w:sz w:val="16"/>
          <w:szCs w:val="16"/>
          <w:b w:val="1"/>
          <w:bCs w:val="1"/>
          <w:color w:val="auto"/>
        </w:rPr>
      </w:pPr>
    </w:p>
    <w:p>
      <w:pPr>
        <w:jc w:val="both"/>
        <w:ind w:firstLine="832"/>
        <w:spacing w:after="0" w:line="397" w:lineRule="auto"/>
        <w:tabs>
          <w:tab w:leader="none" w:pos="1210" w:val="left"/>
        </w:tabs>
        <w:numPr>
          <w:ilvl w:val="1"/>
          <w:numId w:val="24"/>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2F2F2F"/>
        </w:rPr>
        <w:t>Full Extent Of Compensation</w:t>
      </w:r>
      <w:r>
        <w:rPr>
          <w:rFonts w:ascii="Arial" w:cs="Arial" w:eastAsia="Arial" w:hAnsi="Arial"/>
          <w:sz w:val="21"/>
          <w:szCs w:val="21"/>
          <w:b w:val="1"/>
          <w:bCs w:val="1"/>
          <w:color w:val="2F2F2F"/>
        </w:rPr>
        <w:t xml:space="preserve">. </w:t>
      </w:r>
      <w:r>
        <w:rPr>
          <w:rFonts w:ascii="Arial" w:cs="Arial" w:eastAsia="Arial" w:hAnsi="Arial"/>
          <w:sz w:val="21"/>
          <w:szCs w:val="21"/>
          <w:color w:val="2F2F2F"/>
        </w:rPr>
        <w:t>Unless otherwise specifically stated in writing, this Section IV describes the full extent of</w:t>
      </w:r>
      <w:r>
        <w:rPr>
          <w:rFonts w:ascii="Arial" w:cs="Arial" w:eastAsia="Arial" w:hAnsi="Arial"/>
          <w:sz w:val="21"/>
          <w:szCs w:val="21"/>
          <w:b w:val="1"/>
          <w:bCs w:val="1"/>
          <w:color w:val="2F2F2F"/>
        </w:rPr>
        <w:t xml:space="preserve"> </w:t>
      </w:r>
      <w:r>
        <w:rPr>
          <w:rFonts w:ascii="Arial" w:cs="Arial" w:eastAsia="Arial" w:hAnsi="Arial"/>
          <w:sz w:val="21"/>
          <w:szCs w:val="21"/>
          <w:color w:val="2F2F2F"/>
        </w:rPr>
        <w:t>compensation Consultant shall receive under this Agreement and Consultant shall not be entitled by virtue of this Agreement to be paid a commission or to participate in any insurance, saving, retirement or other benefit programs, including, without limitation, stock ownership plans offered by NGSC to its employees, nor shall this Agreement in any way modify any other Agreement that Consultant may have with NGSC or any benefit Consultant my receive or be entitled to receive from NGSC or in connection with his prior employment.</w:t>
      </w:r>
    </w:p>
    <w:p>
      <w:pPr>
        <w:spacing w:after="0" w:line="20" w:lineRule="exact"/>
        <w:rPr>
          <w:rFonts w:ascii="Arial" w:cs="Arial" w:eastAsia="Arial" w:hAnsi="Arial"/>
          <w:sz w:val="20"/>
          <w:szCs w:val="20"/>
          <w:b w:val="1"/>
          <w:bCs w:val="1"/>
          <w:color w:val="auto"/>
        </w:rPr>
      </w:pPr>
    </w:p>
    <w:p>
      <w:pPr>
        <w:jc w:val="both"/>
        <w:ind w:firstLine="832"/>
        <w:spacing w:after="0" w:line="403" w:lineRule="auto"/>
        <w:tabs>
          <w:tab w:leader="none" w:pos="1199" w:val="left"/>
        </w:tabs>
        <w:numPr>
          <w:ilvl w:val="1"/>
          <w:numId w:val="24"/>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2F2F2F"/>
        </w:rPr>
        <w:t>Warranty.</w:t>
      </w:r>
      <w:r>
        <w:rPr>
          <w:rFonts w:ascii="Arial" w:cs="Arial" w:eastAsia="Arial" w:hAnsi="Arial"/>
          <w:sz w:val="21"/>
          <w:szCs w:val="21"/>
          <w:b w:val="1"/>
          <w:bCs w:val="1"/>
          <w:color w:val="2F2F2F"/>
        </w:rPr>
        <w:t xml:space="preserve"> </w:t>
      </w:r>
      <w:r>
        <w:rPr>
          <w:rFonts w:ascii="Arial" w:cs="Arial" w:eastAsia="Arial" w:hAnsi="Arial"/>
          <w:sz w:val="21"/>
          <w:szCs w:val="21"/>
          <w:color w:val="2F2F2F"/>
        </w:rPr>
        <w:t>Consultant certifies and warrants that in the course of performing services under this Agreement, no payments</w:t>
      </w:r>
      <w:r>
        <w:rPr>
          <w:rFonts w:ascii="Arial" w:cs="Arial" w:eastAsia="Arial" w:hAnsi="Arial"/>
          <w:sz w:val="21"/>
          <w:szCs w:val="21"/>
          <w:b w:val="1"/>
          <w:bCs w:val="1"/>
          <w:color w:val="2F2F2F"/>
        </w:rPr>
        <w:t xml:space="preserve"> </w:t>
      </w:r>
      <w:r>
        <w:rPr>
          <w:rFonts w:ascii="Arial" w:cs="Arial" w:eastAsia="Arial" w:hAnsi="Arial"/>
          <w:sz w:val="21"/>
          <w:szCs w:val="21"/>
          <w:color w:val="2F2F2F"/>
        </w:rPr>
        <w:t>will be made to government officials or customer representatives that no government official or customer representative has any direct or indirect investment interest or interest in the revenues or profits of Consultant, and that no expenditure for other than lawful purposes will be made.</w:t>
      </w:r>
    </w:p>
    <w:p>
      <w:pPr>
        <w:spacing w:after="0" w:line="12" w:lineRule="exact"/>
        <w:rPr>
          <w:rFonts w:ascii="Arial" w:cs="Arial" w:eastAsia="Arial" w:hAnsi="Arial"/>
          <w:sz w:val="20"/>
          <w:szCs w:val="20"/>
          <w:b w:val="1"/>
          <w:bCs w:val="1"/>
          <w:color w:val="auto"/>
        </w:rPr>
      </w:pPr>
    </w:p>
    <w:p>
      <w:pPr>
        <w:jc w:val="both"/>
        <w:ind w:firstLine="832"/>
        <w:spacing w:after="0" w:line="397" w:lineRule="auto"/>
        <w:tabs>
          <w:tab w:leader="none" w:pos="1237" w:val="left"/>
        </w:tabs>
        <w:numPr>
          <w:ilvl w:val="1"/>
          <w:numId w:val="24"/>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444444"/>
        </w:rPr>
        <w:t>Exclusion</w:t>
      </w:r>
      <w:r>
        <w:rPr>
          <w:rFonts w:ascii="Arial" w:cs="Arial" w:eastAsia="Arial" w:hAnsi="Arial"/>
          <w:sz w:val="21"/>
          <w:szCs w:val="21"/>
          <w:b w:val="1"/>
          <w:bCs w:val="1"/>
          <w:color w:val="444444"/>
        </w:rPr>
        <w:t xml:space="preserve"> </w:t>
      </w:r>
      <w:r>
        <w:rPr>
          <w:rFonts w:ascii="Arial" w:cs="Arial" w:eastAsia="Arial" w:hAnsi="Arial"/>
          <w:sz w:val="21"/>
          <w:szCs w:val="21"/>
          <w:b w:val="1"/>
          <w:bCs w:val="1"/>
          <w:u w:val="single" w:color="auto"/>
          <w:color w:val="2F2F2F"/>
        </w:rPr>
        <w:t>Of Lobbying Costs From Overhead Rates</w:t>
      </w:r>
      <w:r>
        <w:rPr>
          <w:rFonts w:ascii="Arial" w:cs="Arial" w:eastAsia="Arial" w:hAnsi="Arial"/>
          <w:sz w:val="21"/>
          <w:szCs w:val="21"/>
          <w:b w:val="1"/>
          <w:bCs w:val="1"/>
          <w:color w:val="2F2F2F"/>
        </w:rPr>
        <w:t>.</w:t>
      </w:r>
      <w:r>
        <w:rPr>
          <w:rFonts w:ascii="Arial" w:cs="Arial" w:eastAsia="Arial" w:hAnsi="Arial"/>
          <w:sz w:val="21"/>
          <w:szCs w:val="21"/>
          <w:b w:val="1"/>
          <w:bCs w:val="1"/>
          <w:color w:val="444444"/>
        </w:rPr>
        <w:t xml:space="preserve"> </w:t>
      </w:r>
      <w:r>
        <w:rPr>
          <w:rFonts w:ascii="Arial" w:cs="Arial" w:eastAsia="Arial" w:hAnsi="Arial"/>
          <w:sz w:val="21"/>
          <w:szCs w:val="21"/>
          <w:color w:val="2F2F2F"/>
        </w:rPr>
        <w:t>NGSC is prohibited from charging directly or indirectly, costs</w:t>
      </w:r>
      <w:r>
        <w:rPr>
          <w:rFonts w:ascii="Arial" w:cs="Arial" w:eastAsia="Arial" w:hAnsi="Arial"/>
          <w:sz w:val="21"/>
          <w:szCs w:val="21"/>
          <w:b w:val="1"/>
          <w:bCs w:val="1"/>
          <w:color w:val="444444"/>
        </w:rPr>
        <w:t xml:space="preserve"> </w:t>
      </w:r>
      <w:r>
        <w:rPr>
          <w:rFonts w:ascii="Arial" w:cs="Arial" w:eastAsia="Arial" w:hAnsi="Arial"/>
          <w:sz w:val="21"/>
          <w:szCs w:val="21"/>
          <w:color w:val="2F2F2F"/>
        </w:rPr>
        <w:t>associated with lobbying activities to its contracts with the United States Government. Unallowable costs associated with lobbying activities are defined at Federal Acquisition Regulations (FAR) 31.205-22, effective as of the date of this Agreement. Consultant agrees that in the event that Consultant performs lobbying activities under this Agreement, Consultant shall provide NGSC with a detailed accounting of time expended, individual agency</w:t>
      </w:r>
      <w:r>
        <w:rPr>
          <w:rFonts w:ascii="Arial" w:cs="Arial" w:eastAsia="Arial" w:hAnsi="Arial"/>
          <w:sz w:val="21"/>
          <w:szCs w:val="21"/>
          <w:color w:val="8E8E8E"/>
        </w:rPr>
        <w:t>/</w:t>
      </w:r>
      <w:r>
        <w:rPr>
          <w:rFonts w:ascii="Arial" w:cs="Arial" w:eastAsia="Arial" w:hAnsi="Arial"/>
          <w:sz w:val="21"/>
          <w:szCs w:val="21"/>
          <w:color w:val="2F2F2F"/>
        </w:rPr>
        <w:t>congressional employees contacted, and NGSC programs discussed in the required activity report.</w:t>
      </w:r>
    </w:p>
    <w:p>
      <w:pPr>
        <w:spacing w:after="0" w:line="371" w:lineRule="exact"/>
        <w:rPr>
          <w:rFonts w:ascii="Arial" w:cs="Arial" w:eastAsia="Arial" w:hAnsi="Arial"/>
          <w:sz w:val="20"/>
          <w:szCs w:val="20"/>
          <w:b w:val="1"/>
          <w:bCs w:val="1"/>
          <w:color w:val="auto"/>
        </w:rPr>
      </w:pPr>
    </w:p>
    <w:p>
      <w:pPr>
        <w:ind w:left="800" w:hanging="630"/>
        <w:spacing w:after="0"/>
        <w:tabs>
          <w:tab w:leader="none" w:pos="800"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444444"/>
        </w:rPr>
        <w:t>PROTECTION OF INFORMATION</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373" w:lineRule="exact"/>
        <w:rPr>
          <w:sz w:val="20"/>
          <w:szCs w:val="20"/>
          <w:color w:val="auto"/>
        </w:rPr>
      </w:pPr>
    </w:p>
    <w:p>
      <w:pPr>
        <w:jc w:val="both"/>
        <w:ind w:firstLine="764"/>
        <w:spacing w:after="0" w:line="434" w:lineRule="auto"/>
        <w:tabs>
          <w:tab w:leader="none" w:pos="1291" w:val="left"/>
        </w:tabs>
        <w:numPr>
          <w:ilvl w:val="0"/>
          <w:numId w:val="26"/>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2F2F2F"/>
        </w:rPr>
        <w:t>Use and Disclosure to Third Parties Prohibited.</w:t>
      </w:r>
      <w:r>
        <w:rPr>
          <w:rFonts w:ascii="Arial" w:cs="Arial" w:eastAsia="Arial" w:hAnsi="Arial"/>
          <w:sz w:val="19"/>
          <w:szCs w:val="19"/>
          <w:b w:val="1"/>
          <w:bCs w:val="1"/>
          <w:color w:val="2F2F2F"/>
        </w:rPr>
        <w:t xml:space="preserve"> </w:t>
      </w:r>
      <w:r>
        <w:rPr>
          <w:rFonts w:ascii="Arial" w:cs="Arial" w:eastAsia="Arial" w:hAnsi="Arial"/>
          <w:sz w:val="19"/>
          <w:szCs w:val="19"/>
          <w:color w:val="2F2F2F"/>
        </w:rPr>
        <w:t>Consultant shall protect any and all confidential, proprietary or</w:t>
      </w:r>
      <w:r>
        <w:rPr>
          <w:rFonts w:ascii="Arial" w:cs="Arial" w:eastAsia="Arial" w:hAnsi="Arial"/>
          <w:sz w:val="19"/>
          <w:szCs w:val="19"/>
          <w:b w:val="1"/>
          <w:bCs w:val="1"/>
          <w:color w:val="2F2F2F"/>
        </w:rPr>
        <w:t xml:space="preserve"> </w:t>
      </w:r>
      <w:r>
        <w:rPr>
          <w:rFonts w:ascii="Arial" w:cs="Arial" w:eastAsia="Arial" w:hAnsi="Arial"/>
          <w:sz w:val="19"/>
          <w:szCs w:val="19"/>
          <w:color w:val="2F2F2F"/>
        </w:rPr>
        <w:t xml:space="preserve">otherwise protected information concerning any matter affecting or relating to NGSC or any of its affiliates. Consultant shall not in any way use or disclose any such confidential, proprietary or otherwise protected information other than in performance of this Agreement without the express written consent of NGSC; provided, however, Consultant </w:t>
      </w:r>
      <w:r>
        <w:rPr>
          <w:rFonts w:ascii="Arial" w:cs="Arial" w:eastAsia="Arial" w:hAnsi="Arial"/>
          <w:sz w:val="17"/>
          <w:szCs w:val="17"/>
          <w:color w:val="000000"/>
        </w:rPr>
        <w:t>shall not be held liable under this Agreement for making a</w:t>
      </w:r>
      <w:r>
        <w:rPr>
          <w:rFonts w:ascii="Arial" w:cs="Arial" w:eastAsia="Arial" w:hAnsi="Arial"/>
          <w:sz w:val="19"/>
          <w:szCs w:val="19"/>
          <w:color w:val="2F2F2F"/>
        </w:rPr>
        <w:t xml:space="preserve"> </w:t>
      </w:r>
      <w:r>
        <w:rPr>
          <w:rFonts w:ascii="Arial" w:cs="Arial" w:eastAsia="Arial" w:hAnsi="Arial"/>
          <w:sz w:val="17"/>
          <w:szCs w:val="17"/>
          <w:color w:val="000000"/>
        </w:rPr>
        <w:t xml:space="preserve">confidential disclosure to a government official or an attorney for purposes of investigating or reporting a suspected violation of law or regulation. </w:t>
      </w:r>
      <w:r>
        <w:rPr>
          <w:rFonts w:ascii="Arial" w:cs="Arial" w:eastAsia="Arial" w:hAnsi="Arial"/>
          <w:sz w:val="18"/>
          <w:szCs w:val="18"/>
          <w:color w:val="2F2F2F"/>
        </w:rPr>
        <w:t>The terms of this section shall remain in full force and effect after the termination or expiration of this Agreement.</w:t>
      </w:r>
    </w:p>
    <w:p>
      <w:pPr>
        <w:spacing w:after="0" w:line="108"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u w:val="single" w:color="auto"/>
          <w:color w:val="444444"/>
        </w:rPr>
        <w:t>TRADE SECRETS AND THIRD PARTY PROPRIETARY INFORMATION</w:t>
      </w:r>
    </w:p>
    <w:p>
      <w:pPr>
        <w:spacing w:after="0" w:line="366" w:lineRule="exact"/>
        <w:rPr>
          <w:sz w:val="20"/>
          <w:szCs w:val="20"/>
          <w:color w:val="auto"/>
        </w:rPr>
      </w:pPr>
    </w:p>
    <w:p>
      <w:pPr>
        <w:jc w:val="both"/>
        <w:ind w:firstLine="764"/>
        <w:spacing w:after="0" w:line="417" w:lineRule="auto"/>
        <w:tabs>
          <w:tab w:leader="none" w:pos="1183" w:val="left"/>
        </w:tabs>
        <w:numPr>
          <w:ilvl w:val="2"/>
          <w:numId w:val="27"/>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2F2F2F"/>
        </w:rPr>
        <w:t>Ideas Improvements and Inventions.</w:t>
      </w:r>
      <w:r>
        <w:rPr>
          <w:rFonts w:ascii="Arial" w:cs="Arial" w:eastAsia="Arial" w:hAnsi="Arial"/>
          <w:sz w:val="19"/>
          <w:szCs w:val="19"/>
          <w:b w:val="1"/>
          <w:bCs w:val="1"/>
          <w:color w:val="2F2F2F"/>
        </w:rPr>
        <w:t xml:space="preserve"> </w:t>
      </w:r>
      <w:r>
        <w:rPr>
          <w:rFonts w:ascii="Arial" w:cs="Arial" w:eastAsia="Arial" w:hAnsi="Arial"/>
          <w:sz w:val="19"/>
          <w:szCs w:val="19"/>
          <w:color w:val="2F2F2F"/>
        </w:rPr>
        <w:t>Any and all ideas, improvements and inventions conceived of, developed, or first</w:t>
      </w:r>
      <w:r>
        <w:rPr>
          <w:rFonts w:ascii="Arial" w:cs="Arial" w:eastAsia="Arial" w:hAnsi="Arial"/>
          <w:sz w:val="19"/>
          <w:szCs w:val="19"/>
          <w:b w:val="1"/>
          <w:bCs w:val="1"/>
          <w:color w:val="2F2F2F"/>
        </w:rPr>
        <w:t xml:space="preserve"> </w:t>
      </w:r>
      <w:r>
        <w:rPr>
          <w:rFonts w:ascii="Arial" w:cs="Arial" w:eastAsia="Arial" w:hAnsi="Arial"/>
          <w:sz w:val="19"/>
          <w:szCs w:val="19"/>
          <w:color w:val="2F2F2F"/>
        </w:rPr>
        <w:t>reduced to practice in the performance of work hereunder shall become the exclusive property of NGSC and ideas and developments accruing therefrom shall all be full</w:t>
      </w:r>
      <w:r>
        <w:rPr>
          <w:rFonts w:ascii="Arial" w:cs="Arial" w:eastAsia="Arial" w:hAnsi="Arial"/>
          <w:sz w:val="19"/>
          <w:szCs w:val="19"/>
          <w:color w:val="494949"/>
        </w:rPr>
        <w:t>y</w:t>
      </w:r>
      <w:r>
        <w:rPr>
          <w:rFonts w:ascii="Arial" w:cs="Arial" w:eastAsia="Arial" w:hAnsi="Arial"/>
          <w:sz w:val="19"/>
          <w:szCs w:val="19"/>
          <w:color w:val="2F2F2F"/>
        </w:rPr>
        <w:t xml:space="preserve"> disclosed to NGSC and shall be the exclusive property of NGSC and may be treated and dealt with by NGSC as such without payment of further consideration than is hereinabove specified. Consultant shall preserve such ideas, improvements and inventions as confidential during the term of the contract and thereafter and will execute all papers and documents necessary to vest title to such ideas, developments, information, data improvements and inventions in NGSC or NGC and to enable NGSC or NGC to apply for and obtain letters patent on such ideas, developments, information, data, improvements and inventions in any and all countries and to assign to NGSC or NGC the entire right</w:t>
      </w:r>
      <w:r>
        <w:rPr>
          <w:rFonts w:ascii="Arial" w:cs="Arial" w:eastAsia="Arial" w:hAnsi="Arial"/>
          <w:sz w:val="19"/>
          <w:szCs w:val="19"/>
          <w:color w:val="494949"/>
        </w:rPr>
        <w:t>,</w:t>
      </w:r>
      <w:r>
        <w:rPr>
          <w:rFonts w:ascii="Arial" w:cs="Arial" w:eastAsia="Arial" w:hAnsi="Arial"/>
          <w:sz w:val="19"/>
          <w:szCs w:val="19"/>
          <w:color w:val="2F2F2F"/>
        </w:rPr>
        <w:t xml:space="preserve"> title and interest thereto.</w:t>
      </w:r>
    </w:p>
    <w:p>
      <w:pPr>
        <w:spacing w:after="0" w:line="1" w:lineRule="exact"/>
        <w:rPr>
          <w:rFonts w:ascii="Arial" w:cs="Arial" w:eastAsia="Arial" w:hAnsi="Arial"/>
          <w:sz w:val="18"/>
          <w:szCs w:val="18"/>
          <w:b w:val="1"/>
          <w:bCs w:val="1"/>
          <w:color w:val="auto"/>
        </w:rPr>
      </w:pPr>
    </w:p>
    <w:p>
      <w:pPr>
        <w:jc w:val="both"/>
        <w:ind w:firstLine="778"/>
        <w:spacing w:after="0" w:line="380" w:lineRule="auto"/>
        <w:tabs>
          <w:tab w:leader="none" w:pos="1172" w:val="left"/>
        </w:tabs>
        <w:numPr>
          <w:ilvl w:val="2"/>
          <w:numId w:val="27"/>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2F2F2F"/>
        </w:rPr>
        <w:t>Notes, Memoranda, Reports and Data.</w:t>
      </w:r>
      <w:r>
        <w:rPr>
          <w:rFonts w:ascii="Arial" w:cs="Arial" w:eastAsia="Arial" w:hAnsi="Arial"/>
          <w:sz w:val="21"/>
          <w:szCs w:val="21"/>
          <w:b w:val="1"/>
          <w:bCs w:val="1"/>
          <w:color w:val="2F2F2F"/>
        </w:rPr>
        <w:t xml:space="preserve"> </w:t>
      </w:r>
      <w:r>
        <w:rPr>
          <w:rFonts w:ascii="Arial" w:cs="Arial" w:eastAsia="Arial" w:hAnsi="Arial"/>
          <w:sz w:val="21"/>
          <w:szCs w:val="21"/>
          <w:color w:val="2F2F2F"/>
        </w:rPr>
        <w:t>Consultant agrees that the original and all copies of notes, memoranda, reports,</w:t>
      </w:r>
      <w:r>
        <w:rPr>
          <w:rFonts w:ascii="Arial" w:cs="Arial" w:eastAsia="Arial" w:hAnsi="Arial"/>
          <w:sz w:val="21"/>
          <w:szCs w:val="21"/>
          <w:b w:val="1"/>
          <w:bCs w:val="1"/>
          <w:color w:val="2F2F2F"/>
        </w:rPr>
        <w:t xml:space="preserve"> </w:t>
      </w:r>
      <w:r>
        <w:rPr>
          <w:rFonts w:ascii="Arial" w:cs="Arial" w:eastAsia="Arial" w:hAnsi="Arial"/>
          <w:sz w:val="21"/>
          <w:szCs w:val="21"/>
          <w:color w:val="2F2F2F"/>
        </w:rPr>
        <w:t>findings or other data prepared by Consultant in connection with the services performed hereunder shall become the sole and exclusive property of NGSC.</w:t>
      </w:r>
    </w:p>
    <w:p>
      <w:pPr>
        <w:jc w:val="both"/>
        <w:ind w:firstLine="662"/>
        <w:spacing w:after="0" w:line="400"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 </w:t>
      </w:r>
      <w:r>
        <w:rPr>
          <w:rFonts w:ascii="Arial" w:cs="Arial" w:eastAsia="Arial" w:hAnsi="Arial"/>
          <w:sz w:val="20"/>
          <w:szCs w:val="20"/>
          <w:b w:val="1"/>
          <w:bCs w:val="1"/>
          <w:u w:val="single" w:color="auto"/>
          <w:color w:val="2F2F2F"/>
        </w:rPr>
        <w:t>Disclosure of Confidential</w:t>
      </w:r>
      <w:r>
        <w:rPr>
          <w:rFonts w:ascii="Arial" w:cs="Arial" w:eastAsia="Arial" w:hAnsi="Arial"/>
          <w:sz w:val="20"/>
          <w:szCs w:val="20"/>
          <w:b w:val="1"/>
          <w:bCs w:val="1"/>
          <w:u w:val="single" w:color="auto"/>
          <w:color w:val="AFAFAF"/>
        </w:rPr>
        <w:t>_</w:t>
      </w:r>
      <w:r>
        <w:rPr>
          <w:rFonts w:ascii="Arial" w:cs="Arial" w:eastAsia="Arial" w:hAnsi="Arial"/>
          <w:sz w:val="20"/>
          <w:szCs w:val="20"/>
          <w:b w:val="1"/>
          <w:bCs w:val="1"/>
          <w:u w:val="single" w:color="auto"/>
          <w:color w:val="2F2F2F"/>
        </w:rPr>
        <w:t>o</w:t>
      </w:r>
      <w:r>
        <w:rPr>
          <w:rFonts w:ascii="Arial" w:cs="Arial" w:eastAsia="Arial" w:hAnsi="Arial"/>
          <w:sz w:val="20"/>
          <w:szCs w:val="20"/>
          <w:b w:val="1"/>
          <w:bCs w:val="1"/>
          <w:u w:val="single" w:color="auto"/>
          <w:color w:val="494949"/>
        </w:rPr>
        <w:t>r_P</w:t>
      </w:r>
      <w:r>
        <w:rPr>
          <w:rFonts w:ascii="Arial" w:cs="Arial" w:eastAsia="Arial" w:hAnsi="Arial"/>
          <w:sz w:val="20"/>
          <w:szCs w:val="20"/>
          <w:b w:val="1"/>
          <w:bCs w:val="1"/>
          <w:u w:val="single" w:color="auto"/>
          <w:color w:val="2F2F2F"/>
        </w:rPr>
        <w:t>roprietary</w:t>
      </w:r>
      <w:r>
        <w:rPr>
          <w:rFonts w:ascii="Arial" w:cs="Arial" w:eastAsia="Arial" w:hAnsi="Arial"/>
          <w:sz w:val="20"/>
          <w:szCs w:val="20"/>
          <w:b w:val="1"/>
          <w:bCs w:val="1"/>
          <w:u w:val="single" w:color="auto"/>
          <w:color w:val="626262"/>
        </w:rPr>
        <w:t>_</w:t>
      </w:r>
      <w:r>
        <w:rPr>
          <w:rFonts w:ascii="Arial" w:cs="Arial" w:eastAsia="Arial" w:hAnsi="Arial"/>
          <w:sz w:val="20"/>
          <w:szCs w:val="20"/>
          <w:b w:val="1"/>
          <w:bCs w:val="1"/>
          <w:u w:val="single" w:color="auto"/>
          <w:color w:val="2F2F2F"/>
        </w:rPr>
        <w:t>lnformation of Third Parties Prohibited</w:t>
      </w:r>
      <w:r>
        <w:rPr>
          <w:rFonts w:ascii="Arial" w:cs="Arial" w:eastAsia="Arial" w:hAnsi="Arial"/>
          <w:sz w:val="20"/>
          <w:szCs w:val="20"/>
          <w:b w:val="1"/>
          <w:bCs w:val="1"/>
          <w:color w:val="2F2F2F"/>
        </w:rPr>
        <w:t>.</w:t>
      </w:r>
      <w:r>
        <w:rPr>
          <w:rFonts w:ascii="Arial" w:cs="Arial" w:eastAsia="Arial" w:hAnsi="Arial"/>
          <w:sz w:val="20"/>
          <w:szCs w:val="20"/>
          <w:b w:val="1"/>
          <w:bCs w:val="1"/>
          <w:color w:val="auto"/>
        </w:rPr>
        <w:t xml:space="preserve"> </w:t>
      </w:r>
      <w:r>
        <w:rPr>
          <w:rFonts w:ascii="Arial" w:cs="Arial" w:eastAsia="Arial" w:hAnsi="Arial"/>
          <w:sz w:val="20"/>
          <w:szCs w:val="20"/>
          <w:color w:val="2F2F2F"/>
        </w:rPr>
        <w:t>Consultant will not disclose to</w:t>
      </w:r>
      <w:r>
        <w:rPr>
          <w:rFonts w:ascii="Arial" w:cs="Arial" w:eastAsia="Arial" w:hAnsi="Arial"/>
          <w:sz w:val="20"/>
          <w:szCs w:val="20"/>
          <w:b w:val="1"/>
          <w:bCs w:val="1"/>
          <w:color w:val="auto"/>
        </w:rPr>
        <w:t xml:space="preserve"> </w:t>
      </w:r>
      <w:r>
        <w:rPr>
          <w:rFonts w:ascii="Arial" w:cs="Arial" w:eastAsia="Arial" w:hAnsi="Arial"/>
          <w:sz w:val="20"/>
          <w:szCs w:val="20"/>
          <w:color w:val="2F2F2F"/>
        </w:rPr>
        <w:t>NGSC or its affiliates or induce NGSC or its affiliates to use any secret process, trade secret, or other confidential or proprietary knowledge or information belonging to others, including but not limited to the United States. Such information includes but is not limited to information relating to bids, offers, technical proposals, responses to requests for procurement, rankings of competitors and other similar procurement sensitive information.</w:t>
      </w:r>
    </w:p>
    <w:p>
      <w:pPr>
        <w:spacing w:after="0" w:line="1" w:lineRule="exact"/>
        <w:rPr>
          <w:rFonts w:ascii="Arial" w:cs="Arial" w:eastAsia="Arial" w:hAnsi="Arial"/>
          <w:sz w:val="20"/>
          <w:szCs w:val="20"/>
          <w:b w:val="1"/>
          <w:bCs w:val="1"/>
          <w:color w:val="auto"/>
        </w:rPr>
      </w:pPr>
    </w:p>
    <w:p>
      <w:pPr>
        <w:jc w:val="both"/>
        <w:ind w:firstLine="648"/>
        <w:spacing w:after="0" w:line="451" w:lineRule="auto"/>
        <w:rPr>
          <w:rFonts w:ascii="Arial" w:cs="Arial" w:eastAsia="Arial" w:hAnsi="Arial"/>
          <w:sz w:val="20"/>
          <w:szCs w:val="20"/>
          <w:b w:val="1"/>
          <w:bCs w:val="1"/>
          <w:color w:val="auto"/>
        </w:rPr>
      </w:pPr>
      <w:r>
        <w:rPr>
          <w:rFonts w:ascii="Arial" w:cs="Arial" w:eastAsia="Arial" w:hAnsi="Arial"/>
          <w:sz w:val="19"/>
          <w:szCs w:val="19"/>
          <w:b w:val="1"/>
          <w:bCs w:val="1"/>
          <w:color w:val="auto"/>
        </w:rPr>
        <w:t xml:space="preserve">D. </w:t>
      </w:r>
      <w:r>
        <w:rPr>
          <w:rFonts w:ascii="Arial" w:cs="Arial" w:eastAsia="Arial" w:hAnsi="Arial"/>
          <w:sz w:val="19"/>
          <w:szCs w:val="19"/>
          <w:b w:val="1"/>
          <w:bCs w:val="1"/>
          <w:u w:val="single" w:color="auto"/>
          <w:color w:val="2F2F2F"/>
        </w:rPr>
        <w:t>Non-Public Information</w:t>
      </w:r>
      <w:r>
        <w:rPr>
          <w:rFonts w:ascii="Arial" w:cs="Arial" w:eastAsia="Arial" w:hAnsi="Arial"/>
          <w:sz w:val="19"/>
          <w:szCs w:val="19"/>
          <w:b w:val="1"/>
          <w:bCs w:val="1"/>
          <w:color w:val="2F2F2F"/>
        </w:rPr>
        <w:t>.</w:t>
      </w:r>
      <w:r>
        <w:rPr>
          <w:rFonts w:ascii="Arial" w:cs="Arial" w:eastAsia="Arial" w:hAnsi="Arial"/>
          <w:sz w:val="19"/>
          <w:szCs w:val="19"/>
          <w:b w:val="1"/>
          <w:bCs w:val="1"/>
          <w:color w:val="auto"/>
        </w:rPr>
        <w:t xml:space="preserve"> </w:t>
      </w:r>
      <w:r>
        <w:rPr>
          <w:rFonts w:ascii="Arial" w:cs="Arial" w:eastAsia="Arial" w:hAnsi="Arial"/>
          <w:sz w:val="19"/>
          <w:szCs w:val="19"/>
          <w:color w:val="2F2F2F"/>
        </w:rPr>
        <w:t>Consultant's duties under this Agreement may involve access to material information that is not</w:t>
      </w:r>
      <w:r>
        <w:rPr>
          <w:rFonts w:ascii="Arial" w:cs="Arial" w:eastAsia="Arial" w:hAnsi="Arial"/>
          <w:sz w:val="19"/>
          <w:szCs w:val="19"/>
          <w:b w:val="1"/>
          <w:bCs w:val="1"/>
          <w:color w:val="auto"/>
        </w:rPr>
        <w:t xml:space="preserve"> </w:t>
      </w:r>
      <w:r>
        <w:rPr>
          <w:rFonts w:ascii="Arial" w:cs="Arial" w:eastAsia="Arial" w:hAnsi="Arial"/>
          <w:sz w:val="19"/>
          <w:szCs w:val="19"/>
          <w:color w:val="2F2F2F"/>
        </w:rPr>
        <w:t>publicly available about Northrop Grumman Corporation. Consultant acknowledges that the securities laws of the United States impose certain restrictions upon the use of material non-public information and he agrees to abide by such laws and regulations with</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338" w:lineRule="exact"/>
        <w:rPr>
          <w:sz w:val="20"/>
          <w:szCs w:val="20"/>
          <w:color w:val="auto"/>
        </w:rPr>
      </w:pPr>
    </w:p>
    <w:p>
      <w:pPr>
        <w:jc w:val="both"/>
        <w:spacing w:after="0" w:line="398" w:lineRule="auto"/>
        <w:rPr>
          <w:sz w:val="20"/>
          <w:szCs w:val="20"/>
          <w:color w:val="auto"/>
        </w:rPr>
      </w:pPr>
      <w:r>
        <w:rPr>
          <w:rFonts w:ascii="Arial" w:cs="Arial" w:eastAsia="Arial" w:hAnsi="Arial"/>
          <w:sz w:val="21"/>
          <w:szCs w:val="21"/>
          <w:color w:val="2F2F2F"/>
        </w:rPr>
        <w:t>respect to his and his family’s transactions in Northrop Grumman stock and also with respect to his communication of such material, non-public information to others.</w:t>
      </w:r>
    </w:p>
    <w:p>
      <w:pPr>
        <w:spacing w:after="0" w:line="219"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1"/>
          <w:szCs w:val="21"/>
          <w:b w:val="1"/>
          <w:bCs w:val="1"/>
          <w:color w:val="auto"/>
        </w:rPr>
        <w:t>VII.</w:t>
      </w:r>
      <w:r>
        <w:rPr>
          <w:sz w:val="20"/>
          <w:szCs w:val="20"/>
          <w:color w:val="auto"/>
        </w:rPr>
        <w:tab/>
      </w:r>
      <w:r>
        <w:rPr>
          <w:rFonts w:ascii="Arial" w:cs="Arial" w:eastAsia="Arial" w:hAnsi="Arial"/>
          <w:sz w:val="21"/>
          <w:szCs w:val="21"/>
          <w:b w:val="1"/>
          <w:bCs w:val="1"/>
          <w:u w:val="single" w:color="auto"/>
          <w:color w:val="2F2F2F"/>
        </w:rPr>
        <w:t>PRESERVATION OF TRADE NAMES</w:t>
      </w:r>
      <w:r>
        <w:rPr>
          <w:rFonts w:ascii="Arial" w:cs="Arial" w:eastAsia="Arial" w:hAnsi="Arial"/>
          <w:sz w:val="21"/>
          <w:szCs w:val="21"/>
          <w:b w:val="1"/>
          <w:bCs w:val="1"/>
          <w:u w:val="single" w:color="auto"/>
          <w:color w:val="494949"/>
        </w:rPr>
        <w:t>,</w:t>
      </w:r>
      <w:r>
        <w:rPr>
          <w:rFonts w:ascii="Arial" w:cs="Arial" w:eastAsia="Arial" w:hAnsi="Arial"/>
          <w:sz w:val="21"/>
          <w:szCs w:val="21"/>
          <w:b w:val="1"/>
          <w:bCs w:val="1"/>
          <w:u w:val="single" w:color="auto"/>
          <w:color w:val="2F2F2F"/>
        </w:rPr>
        <w:t xml:space="preserve"> TRADEMARKS AND PATENT</w:t>
      </w:r>
      <w:r>
        <w:rPr>
          <w:rFonts w:ascii="Arial" w:cs="Arial" w:eastAsia="Arial" w:hAnsi="Arial"/>
          <w:sz w:val="21"/>
          <w:szCs w:val="21"/>
          <w:b w:val="1"/>
          <w:bCs w:val="1"/>
          <w:u w:val="single" w:color="auto"/>
          <w:color w:val="C1C1C1"/>
        </w:rPr>
        <w:t>_</w:t>
      </w:r>
      <w:r>
        <w:rPr>
          <w:rFonts w:ascii="Arial" w:cs="Arial" w:eastAsia="Arial" w:hAnsi="Arial"/>
          <w:sz w:val="21"/>
          <w:szCs w:val="21"/>
          <w:b w:val="1"/>
          <w:bCs w:val="1"/>
          <w:u w:val="single" w:color="auto"/>
          <w:color w:val="2F2F2F"/>
        </w:rPr>
        <w:t>RIGHTS</w:t>
      </w:r>
    </w:p>
    <w:p>
      <w:pPr>
        <w:spacing w:after="0" w:line="200" w:lineRule="exact"/>
        <w:rPr>
          <w:sz w:val="20"/>
          <w:szCs w:val="20"/>
          <w:color w:val="auto"/>
        </w:rPr>
      </w:pPr>
    </w:p>
    <w:p>
      <w:pPr>
        <w:spacing w:after="0" w:line="213" w:lineRule="exact"/>
        <w:rPr>
          <w:sz w:val="20"/>
          <w:szCs w:val="20"/>
          <w:color w:val="auto"/>
        </w:rPr>
      </w:pPr>
    </w:p>
    <w:p>
      <w:pPr>
        <w:jc w:val="both"/>
        <w:ind w:firstLine="770"/>
        <w:spacing w:after="0" w:line="456" w:lineRule="auto"/>
        <w:rPr>
          <w:sz w:val="20"/>
          <w:szCs w:val="20"/>
          <w:color w:val="auto"/>
        </w:rPr>
      </w:pPr>
      <w:r>
        <w:rPr>
          <w:rFonts w:ascii="Arial" w:cs="Arial" w:eastAsia="Arial" w:hAnsi="Arial"/>
          <w:sz w:val="18"/>
          <w:szCs w:val="18"/>
          <w:color w:val="2F2F2F"/>
        </w:rPr>
        <w:t xml:space="preserve">All trade names, trademarks and patent rights of NGSC and NGC pertaining to products of NGSC and/or its affiliates, including the names </w:t>
      </w:r>
      <w:r>
        <w:rPr>
          <w:rFonts w:ascii="Arial" w:cs="Arial" w:eastAsia="Arial" w:hAnsi="Arial"/>
          <w:sz w:val="18"/>
          <w:szCs w:val="18"/>
          <w:color w:val="363636"/>
        </w:rPr>
        <w:t>"</w:t>
      </w:r>
      <w:r>
        <w:rPr>
          <w:rFonts w:ascii="Arial" w:cs="Arial" w:eastAsia="Arial" w:hAnsi="Arial"/>
          <w:sz w:val="18"/>
          <w:szCs w:val="18"/>
          <w:color w:val="2F2F2F"/>
        </w:rPr>
        <w:t>Northrop,</w:t>
      </w:r>
      <w:r>
        <w:rPr>
          <w:rFonts w:ascii="Arial" w:cs="Arial" w:eastAsia="Arial" w:hAnsi="Arial"/>
          <w:sz w:val="18"/>
          <w:szCs w:val="18"/>
          <w:color w:val="363636"/>
        </w:rPr>
        <w:t>" "</w:t>
      </w:r>
      <w:r>
        <w:rPr>
          <w:rFonts w:ascii="Arial" w:cs="Arial" w:eastAsia="Arial" w:hAnsi="Arial"/>
          <w:sz w:val="18"/>
          <w:szCs w:val="18"/>
          <w:color w:val="2F2F2F"/>
        </w:rPr>
        <w:t>Grumman'' and "Northrop Grumman Corporation'' shall remain the sole property of NGC, and Consultant agrees to do all things necessary to protect and preserve such trade names, trademarks and patent rights from claims by other persons or entities.</w:t>
      </w:r>
    </w:p>
    <w:p>
      <w:pPr>
        <w:spacing w:after="0" w:line="178"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1"/>
          <w:szCs w:val="21"/>
          <w:b w:val="1"/>
          <w:bCs w:val="1"/>
          <w:color w:val="auto"/>
        </w:rPr>
        <w:t>VIII.</w:t>
      </w:r>
      <w:r>
        <w:rPr>
          <w:sz w:val="20"/>
          <w:szCs w:val="20"/>
          <w:color w:val="auto"/>
        </w:rPr>
        <w:tab/>
      </w:r>
      <w:r>
        <w:rPr>
          <w:rFonts w:ascii="Arial" w:cs="Arial" w:eastAsia="Arial" w:hAnsi="Arial"/>
          <w:sz w:val="20"/>
          <w:szCs w:val="20"/>
          <w:b w:val="1"/>
          <w:bCs w:val="1"/>
          <w:u w:val="single" w:color="auto"/>
          <w:color w:val="2F2F2F"/>
        </w:rPr>
        <w:t>COOPERATION WITH NGSC</w:t>
      </w:r>
    </w:p>
    <w:p>
      <w:pPr>
        <w:spacing w:after="0" w:line="200" w:lineRule="exact"/>
        <w:rPr>
          <w:sz w:val="20"/>
          <w:szCs w:val="20"/>
          <w:color w:val="auto"/>
        </w:rPr>
      </w:pPr>
    </w:p>
    <w:p>
      <w:pPr>
        <w:spacing w:after="0" w:line="240" w:lineRule="exact"/>
        <w:rPr>
          <w:sz w:val="20"/>
          <w:szCs w:val="20"/>
          <w:color w:val="auto"/>
        </w:rPr>
      </w:pPr>
    </w:p>
    <w:p>
      <w:pPr>
        <w:jc w:val="both"/>
        <w:ind w:firstLine="770"/>
        <w:spacing w:after="0" w:line="410" w:lineRule="auto"/>
        <w:rPr>
          <w:sz w:val="20"/>
          <w:szCs w:val="20"/>
          <w:color w:val="auto"/>
        </w:rPr>
      </w:pPr>
      <w:r>
        <w:rPr>
          <w:rFonts w:ascii="Arial" w:cs="Arial" w:eastAsia="Arial" w:hAnsi="Arial"/>
          <w:sz w:val="21"/>
          <w:szCs w:val="21"/>
          <w:color w:val="313131"/>
        </w:rPr>
        <w:t>During and after the expiration of this Agreement, Consultant shall fully cooperate with the Company in regard to any matter, dispute or controversy in which the Company or an affiliate is involved, or may become involved and of which Consultant may have knowledge. To the extent such cooperation requires significant time and expenses, the Company shall provide for reasonable compensation and reimbursement.</w:t>
      </w:r>
    </w:p>
    <w:p>
      <w:pPr>
        <w:spacing w:after="0" w:line="5"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1"/>
          <w:szCs w:val="21"/>
          <w:b w:val="1"/>
          <w:bCs w:val="1"/>
          <w:color w:val="auto"/>
        </w:rPr>
        <w:t>IX.</w:t>
      </w:r>
      <w:r>
        <w:rPr>
          <w:sz w:val="20"/>
          <w:szCs w:val="20"/>
          <w:color w:val="auto"/>
        </w:rPr>
        <w:tab/>
      </w:r>
      <w:r>
        <w:rPr>
          <w:rFonts w:ascii="Arial" w:cs="Arial" w:eastAsia="Arial" w:hAnsi="Arial"/>
          <w:sz w:val="21"/>
          <w:szCs w:val="21"/>
          <w:b w:val="1"/>
          <w:bCs w:val="1"/>
          <w:u w:val="single" w:color="auto"/>
          <w:color w:val="313131"/>
        </w:rPr>
        <w:t>INDEPENDENT CONTRACTOR</w:t>
      </w:r>
    </w:p>
    <w:p>
      <w:pPr>
        <w:spacing w:after="0" w:line="197" w:lineRule="exact"/>
        <w:rPr>
          <w:sz w:val="20"/>
          <w:szCs w:val="20"/>
          <w:color w:val="auto"/>
        </w:rPr>
      </w:pPr>
    </w:p>
    <w:p>
      <w:pPr>
        <w:jc w:val="both"/>
        <w:ind w:firstLine="770"/>
        <w:spacing w:after="0" w:line="387" w:lineRule="auto"/>
        <w:rPr>
          <w:sz w:val="20"/>
          <w:szCs w:val="20"/>
          <w:color w:val="auto"/>
        </w:rPr>
      </w:pPr>
      <w:r>
        <w:rPr>
          <w:rFonts w:ascii="Arial" w:cs="Arial" w:eastAsia="Arial" w:hAnsi="Arial"/>
          <w:sz w:val="21"/>
          <w:szCs w:val="21"/>
          <w:color w:val="313131"/>
        </w:rPr>
        <w:t>Consultant shall render all services hereunder during the Consulting Period as an independent contractor and shall not hold himself out as an agent of the Company. Nothing herein shall be construed to create or confer upon Consultant the right during the Consulting Period to make contracts or commitments for or on behalf of the Company.</w:t>
      </w:r>
    </w:p>
    <w:p>
      <w:pPr>
        <w:spacing w:after="0" w:line="392" w:lineRule="exact"/>
        <w:rPr>
          <w:sz w:val="20"/>
          <w:szCs w:val="20"/>
          <w:color w:val="auto"/>
        </w:rPr>
      </w:pPr>
    </w:p>
    <w:p>
      <w:pPr>
        <w:ind w:left="740" w:hanging="610"/>
        <w:spacing w:after="0"/>
        <w:tabs>
          <w:tab w:leader="none" w:pos="74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313131"/>
        </w:rPr>
        <w:t>TAXES</w:t>
      </w:r>
    </w:p>
    <w:p>
      <w:pPr>
        <w:spacing w:after="0" w:line="210" w:lineRule="exact"/>
        <w:rPr>
          <w:sz w:val="20"/>
          <w:szCs w:val="20"/>
          <w:color w:val="auto"/>
        </w:rPr>
      </w:pPr>
    </w:p>
    <w:p>
      <w:pPr>
        <w:jc w:val="both"/>
        <w:ind w:firstLine="770"/>
        <w:spacing w:after="0" w:line="432" w:lineRule="auto"/>
        <w:rPr>
          <w:sz w:val="20"/>
          <w:szCs w:val="20"/>
          <w:color w:val="auto"/>
        </w:rPr>
      </w:pPr>
      <w:r>
        <w:rPr>
          <w:rFonts w:ascii="Arial" w:cs="Arial" w:eastAsia="Arial" w:hAnsi="Arial"/>
          <w:sz w:val="19"/>
          <w:szCs w:val="19"/>
          <w:color w:val="313131"/>
        </w:rPr>
        <w:t>Consultant shall provide all services contemplated by this Agreement as a non-employee of the Company and the Company shall withhold (or not withhold, as applicable) income and employment taxes on such basis. Consultant shall pay all taxes which are imposed on him with respect to the compensation paid hereunder (including, without limitation, all taxes that may be due if the classification contemplated by the preceding paragraph is erroneous or if the Company is required to revise such classification).</w:t>
      </w:r>
    </w:p>
    <w:p>
      <w:pPr>
        <w:spacing w:after="0" w:line="379"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21"/>
          <w:szCs w:val="21"/>
          <w:b w:val="1"/>
          <w:bCs w:val="1"/>
          <w:color w:val="auto"/>
        </w:rPr>
        <w:t>XI.</w:t>
      </w:r>
      <w:r>
        <w:rPr>
          <w:sz w:val="20"/>
          <w:szCs w:val="20"/>
          <w:color w:val="auto"/>
        </w:rPr>
        <w:tab/>
      </w:r>
      <w:r>
        <w:rPr>
          <w:rFonts w:ascii="Arial" w:cs="Arial" w:eastAsia="Arial" w:hAnsi="Arial"/>
          <w:sz w:val="21"/>
          <w:szCs w:val="21"/>
          <w:b w:val="1"/>
          <w:bCs w:val="1"/>
          <w:u w:val="single" w:color="auto"/>
          <w:color w:val="313131"/>
        </w:rPr>
        <w:t>OBSERVANCE OF APPLICABLE LAWS AND REGULATIONS</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0" w:lineRule="exact"/>
        <w:rPr>
          <w:sz w:val="20"/>
          <w:szCs w:val="20"/>
          <w:color w:val="auto"/>
        </w:rPr>
      </w:pPr>
    </w:p>
    <w:p>
      <w:pPr>
        <w:jc w:val="both"/>
        <w:ind w:firstLine="670"/>
        <w:spacing w:after="0" w:line="422" w:lineRule="auto"/>
        <w:tabs>
          <w:tab w:leader="none" w:pos="1034" w:val="left"/>
        </w:tabs>
        <w:numPr>
          <w:ilvl w:val="0"/>
          <w:numId w:val="29"/>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313131"/>
        </w:rPr>
        <w:t>United States Laws</w:t>
      </w:r>
      <w:r>
        <w:rPr>
          <w:rFonts w:ascii="Arial" w:cs="Arial" w:eastAsia="Arial" w:hAnsi="Arial"/>
          <w:sz w:val="19"/>
          <w:szCs w:val="19"/>
          <w:b w:val="1"/>
          <w:bCs w:val="1"/>
          <w:color w:val="313131"/>
        </w:rPr>
        <w:t xml:space="preserve">. </w:t>
      </w:r>
      <w:r>
        <w:rPr>
          <w:rFonts w:ascii="Arial" w:cs="Arial" w:eastAsia="Arial" w:hAnsi="Arial"/>
          <w:sz w:val="19"/>
          <w:szCs w:val="19"/>
          <w:color w:val="313131"/>
        </w:rPr>
        <w:t>Consultant shall comply with and act in accordance with all things necessary for NGSC to comply with</w:t>
      </w:r>
      <w:r>
        <w:rPr>
          <w:rFonts w:ascii="Arial" w:cs="Arial" w:eastAsia="Arial" w:hAnsi="Arial"/>
          <w:sz w:val="19"/>
          <w:szCs w:val="19"/>
          <w:b w:val="1"/>
          <w:bCs w:val="1"/>
          <w:color w:val="313131"/>
        </w:rPr>
        <w:t xml:space="preserve"> </w:t>
      </w:r>
      <w:r>
        <w:rPr>
          <w:rFonts w:ascii="Arial" w:cs="Arial" w:eastAsia="Arial" w:hAnsi="Arial"/>
          <w:sz w:val="19"/>
          <w:szCs w:val="19"/>
          <w:color w:val="313131"/>
        </w:rPr>
        <w:t xml:space="preserve">all applicable United States laws and regulations of the United States Government, including but not limited to the requirements of the Foreign Corrupt Practices Act, 15 U.S.C. Section 78 dd-1 </w:t>
      </w:r>
      <w:r>
        <w:rPr>
          <w:rFonts w:ascii="Arial" w:cs="Arial" w:eastAsia="Arial" w:hAnsi="Arial"/>
          <w:sz w:val="19"/>
          <w:szCs w:val="19"/>
          <w:u w:val="single" w:color="auto"/>
          <w:color w:val="313131"/>
        </w:rPr>
        <w:t>et seq</w:t>
      </w:r>
      <w:r>
        <w:rPr>
          <w:rFonts w:ascii="Arial" w:cs="Arial" w:eastAsia="Arial" w:hAnsi="Arial"/>
          <w:sz w:val="19"/>
          <w:szCs w:val="19"/>
          <w:color w:val="313131"/>
        </w:rPr>
        <w:t xml:space="preserve">., the Federal Acquisition Regulation, 48 CFR section 1.101 </w:t>
      </w:r>
      <w:r>
        <w:rPr>
          <w:rFonts w:ascii="Arial" w:cs="Arial" w:eastAsia="Arial" w:hAnsi="Arial"/>
          <w:sz w:val="19"/>
          <w:szCs w:val="19"/>
          <w:u w:val="single" w:color="auto"/>
          <w:color w:val="313131"/>
        </w:rPr>
        <w:t>et seq.</w:t>
      </w:r>
      <w:r>
        <w:rPr>
          <w:rFonts w:ascii="Arial" w:cs="Arial" w:eastAsia="Arial" w:hAnsi="Arial"/>
          <w:sz w:val="19"/>
          <w:szCs w:val="19"/>
          <w:color w:val="313131"/>
        </w:rPr>
        <w:t>(</w:t>
      </w:r>
    </w:p>
    <w:p>
      <w:pPr>
        <w:spacing w:after="0" w:line="1" w:lineRule="exact"/>
        <w:rPr>
          <w:sz w:val="20"/>
          <w:szCs w:val="20"/>
          <w:color w:val="auto"/>
        </w:rPr>
      </w:pPr>
    </w:p>
    <w:p>
      <w:pPr>
        <w:jc w:val="both"/>
        <w:spacing w:after="0" w:line="393" w:lineRule="auto"/>
        <w:rPr>
          <w:sz w:val="20"/>
          <w:szCs w:val="20"/>
          <w:color w:val="auto"/>
        </w:rPr>
      </w:pPr>
      <w:r>
        <w:rPr>
          <w:rFonts w:ascii="Arial" w:cs="Arial" w:eastAsia="Arial" w:hAnsi="Arial"/>
          <w:sz w:val="20"/>
          <w:szCs w:val="20"/>
          <w:color w:val="363636"/>
        </w:rPr>
        <w:t>"</w:t>
      </w:r>
      <w:r>
        <w:rPr>
          <w:rFonts w:ascii="Arial" w:cs="Arial" w:eastAsia="Arial" w:hAnsi="Arial"/>
          <w:sz w:val="20"/>
          <w:szCs w:val="20"/>
          <w:color w:val="313131"/>
        </w:rPr>
        <w:t>FAR''), the International Traffic in Arms Regulations, 22 CFR Parts 120 through 130 and applicable regulations; the Byrd Amendment</w:t>
      </w:r>
      <w:r>
        <w:rPr>
          <w:rFonts w:ascii="Arial" w:cs="Arial" w:eastAsia="Arial" w:hAnsi="Arial"/>
          <w:sz w:val="20"/>
          <w:szCs w:val="20"/>
          <w:color w:val="363636"/>
        </w:rPr>
        <w:t xml:space="preserve"> </w:t>
      </w:r>
      <w:r>
        <w:rPr>
          <w:rFonts w:ascii="Arial" w:cs="Arial" w:eastAsia="Arial" w:hAnsi="Arial"/>
          <w:sz w:val="20"/>
          <w:szCs w:val="20"/>
          <w:color w:val="313131"/>
        </w:rPr>
        <w:t>(31 U.S.C. Section 1352) and applicable regulations; the Office of Federal Procurement Policy Act (41 U.S.C. Section 423) and applicable regulations; and the DoD Joint Ethics Regulation (DoD 5500.7-R). No part of any compensation or fee paid by NGSC will be used directly or indirectly to make any kickbacks to any person or entity, or to make payments, gratuities, emoluments or to confer any other benefit to an official of any government or any political party. Consultant shall not seek, nor relay to NGSC or its affiliates, any classified, proprietary or source selection information not generally available to the public. Consultant shall also comply with and act in accordance with all things necessary for NGSC and its affiliates to comply with provisions of contracts between agencies of the United States Government or their contractors and NGSC and its affiliates that relate either to patent rights or the safeguarding of information pertaining to the security of the United States. This Agreement or sections thereof may be disclosed to the United States Government as reasonably required by law.</w:t>
      </w:r>
    </w:p>
    <w:p>
      <w:pPr>
        <w:spacing w:after="0" w:line="10" w:lineRule="exact"/>
        <w:rPr>
          <w:sz w:val="20"/>
          <w:szCs w:val="20"/>
          <w:color w:val="auto"/>
        </w:rPr>
      </w:pPr>
    </w:p>
    <w:p>
      <w:pPr>
        <w:jc w:val="both"/>
        <w:ind w:firstLine="778"/>
        <w:spacing w:after="0" w:line="414" w:lineRule="auto"/>
        <w:tabs>
          <w:tab w:leader="none" w:pos="1131" w:val="left"/>
        </w:tabs>
        <w:numPr>
          <w:ilvl w:val="1"/>
          <w:numId w:val="30"/>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313131"/>
        </w:rPr>
        <w:t>No Selling Agency Employed</w:t>
      </w:r>
      <w:r>
        <w:rPr>
          <w:rFonts w:ascii="Arial" w:cs="Arial" w:eastAsia="Arial" w:hAnsi="Arial"/>
          <w:sz w:val="19"/>
          <w:szCs w:val="19"/>
          <w:b w:val="1"/>
          <w:bCs w:val="1"/>
          <w:color w:val="313131"/>
        </w:rPr>
        <w:t xml:space="preserve">. </w:t>
      </w:r>
      <w:r>
        <w:rPr>
          <w:rFonts w:ascii="Arial" w:cs="Arial" w:eastAsia="Arial" w:hAnsi="Arial"/>
          <w:sz w:val="19"/>
          <w:szCs w:val="19"/>
          <w:color w:val="313131"/>
        </w:rPr>
        <w:t>Consultant further represents and warrants that no person or selling agency has been or will</w:t>
      </w:r>
      <w:r>
        <w:rPr>
          <w:rFonts w:ascii="Arial" w:cs="Arial" w:eastAsia="Arial" w:hAnsi="Arial"/>
          <w:sz w:val="19"/>
          <w:szCs w:val="19"/>
          <w:b w:val="1"/>
          <w:bCs w:val="1"/>
          <w:color w:val="313131"/>
        </w:rPr>
        <w:t xml:space="preserve"> </w:t>
      </w:r>
      <w:r>
        <w:rPr>
          <w:rFonts w:ascii="Arial" w:cs="Arial" w:eastAsia="Arial" w:hAnsi="Arial"/>
          <w:sz w:val="19"/>
          <w:szCs w:val="19"/>
          <w:color w:val="313131"/>
        </w:rPr>
        <w:t>be employed or retained to solicit or secure any contract, including, but not limited to a United States Government contract, upon an agreement or understanding for a commission, percentage, brokerage, or contingent fee, excepting bona fide employees or bona fide established commercial or selling agencies maintained by the Consultant for the purpose of receiving business. In the event of a breach or violation of this warranty, NGSC shall have the right to annul this Agreement without liability or in its discretion to deduct from the fee or consideration, or otherwise recover the full amount of such commission, percentage, brokerage or contingent fee.</w:t>
      </w:r>
    </w:p>
    <w:p>
      <w:pPr>
        <w:spacing w:after="0" w:line="7" w:lineRule="exact"/>
        <w:rPr>
          <w:rFonts w:ascii="Arial" w:cs="Arial" w:eastAsia="Arial" w:hAnsi="Arial"/>
          <w:sz w:val="18"/>
          <w:szCs w:val="18"/>
          <w:b w:val="1"/>
          <w:bCs w:val="1"/>
          <w:color w:val="auto"/>
        </w:rPr>
      </w:pPr>
    </w:p>
    <w:p>
      <w:pPr>
        <w:jc w:val="both"/>
        <w:ind w:firstLine="737"/>
        <w:spacing w:after="0" w:line="410" w:lineRule="auto"/>
        <w:tabs>
          <w:tab w:leader="none" w:pos="1115" w:val="left"/>
        </w:tabs>
        <w:numPr>
          <w:ilvl w:val="0"/>
          <w:numId w:val="31"/>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2F2F2F"/>
        </w:rPr>
        <w:t>State and Local Laws And Regulations.</w:t>
      </w:r>
      <w:r>
        <w:rPr>
          <w:rFonts w:ascii="Arial" w:cs="Arial" w:eastAsia="Arial" w:hAnsi="Arial"/>
          <w:sz w:val="21"/>
          <w:szCs w:val="21"/>
          <w:b w:val="1"/>
          <w:bCs w:val="1"/>
          <w:color w:val="2F2F2F"/>
        </w:rPr>
        <w:t xml:space="preserve"> </w:t>
      </w:r>
      <w:r>
        <w:rPr>
          <w:rFonts w:ascii="Arial" w:cs="Arial" w:eastAsia="Arial" w:hAnsi="Arial"/>
          <w:sz w:val="21"/>
          <w:szCs w:val="21"/>
          <w:color w:val="2F2F2F"/>
        </w:rPr>
        <w:t>Consultant shall comply with and act in accordance with all things necessary for</w:t>
      </w:r>
      <w:r>
        <w:rPr>
          <w:rFonts w:ascii="Arial" w:cs="Arial" w:eastAsia="Arial" w:hAnsi="Arial"/>
          <w:sz w:val="21"/>
          <w:szCs w:val="21"/>
          <w:b w:val="1"/>
          <w:bCs w:val="1"/>
          <w:color w:val="2F2F2F"/>
        </w:rPr>
        <w:t xml:space="preserve"> </w:t>
      </w:r>
      <w:r>
        <w:rPr>
          <w:rFonts w:ascii="Arial" w:cs="Arial" w:eastAsia="Arial" w:hAnsi="Arial"/>
          <w:sz w:val="21"/>
          <w:szCs w:val="21"/>
          <w:color w:val="2F2F2F"/>
        </w:rPr>
        <w:t>Consultant and NGSC each to comply with all laws and regulations of the Commonwealth of Virginia and any other state or locality in which services hereunder are or may be rendered.</w:t>
      </w:r>
    </w:p>
    <w:p>
      <w:pPr>
        <w:spacing w:after="0" w:line="4" w:lineRule="exact"/>
        <w:rPr>
          <w:rFonts w:ascii="Arial" w:cs="Arial" w:eastAsia="Arial" w:hAnsi="Arial"/>
          <w:sz w:val="20"/>
          <w:szCs w:val="20"/>
          <w:b w:val="1"/>
          <w:bCs w:val="1"/>
          <w:color w:val="auto"/>
        </w:rPr>
      </w:pPr>
    </w:p>
    <w:p>
      <w:pPr>
        <w:ind w:firstLine="737"/>
        <w:spacing w:after="0" w:line="465" w:lineRule="auto"/>
        <w:tabs>
          <w:tab w:leader="none" w:pos="1264" w:val="left"/>
        </w:tabs>
        <w:numPr>
          <w:ilvl w:val="0"/>
          <w:numId w:val="31"/>
        </w:numPr>
        <w:rPr>
          <w:rFonts w:ascii="Arial" w:cs="Arial" w:eastAsia="Arial" w:hAnsi="Arial"/>
          <w:sz w:val="19"/>
          <w:szCs w:val="19"/>
          <w:b w:val="1"/>
          <w:bCs w:val="1"/>
          <w:color w:val="auto"/>
        </w:rPr>
      </w:pPr>
      <w:r>
        <w:rPr>
          <w:rFonts w:ascii="Arial" w:cs="Arial" w:eastAsia="Arial" w:hAnsi="Arial"/>
          <w:sz w:val="20"/>
          <w:szCs w:val="20"/>
          <w:b w:val="1"/>
          <w:bCs w:val="1"/>
          <w:u w:val="single" w:color="auto"/>
          <w:color w:val="2F2F2F"/>
        </w:rPr>
        <w:t>Foreign Laws and Regulations.</w:t>
      </w:r>
      <w:r>
        <w:rPr>
          <w:rFonts w:ascii="Arial" w:cs="Arial" w:eastAsia="Arial" w:hAnsi="Arial"/>
          <w:sz w:val="20"/>
          <w:szCs w:val="20"/>
          <w:b w:val="1"/>
          <w:bCs w:val="1"/>
          <w:color w:val="2F2F2F"/>
        </w:rPr>
        <w:t xml:space="preserve"> </w:t>
      </w:r>
      <w:r>
        <w:rPr>
          <w:rFonts w:ascii="Arial" w:cs="Arial" w:eastAsia="Arial" w:hAnsi="Arial"/>
          <w:sz w:val="20"/>
          <w:szCs w:val="20"/>
          <w:color w:val="2F2F2F"/>
        </w:rPr>
        <w:t>Consultant shall comply with and act in accordance with all things necessary for</w:t>
      </w:r>
      <w:r>
        <w:rPr>
          <w:rFonts w:ascii="Arial" w:cs="Arial" w:eastAsia="Arial" w:hAnsi="Arial"/>
          <w:sz w:val="20"/>
          <w:szCs w:val="20"/>
          <w:b w:val="1"/>
          <w:bCs w:val="1"/>
          <w:color w:val="2F2F2F"/>
        </w:rPr>
        <w:t xml:space="preserve"> </w:t>
      </w:r>
      <w:r>
        <w:rPr>
          <w:rFonts w:ascii="Arial" w:cs="Arial" w:eastAsia="Arial" w:hAnsi="Arial"/>
          <w:sz w:val="20"/>
          <w:szCs w:val="20"/>
          <w:color w:val="2F2F2F"/>
        </w:rPr>
        <w:t>Consultant and NGSC and its affiliates each to comply with all applicable laws and regulations outside the United States.</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332" w:lineRule="exact"/>
        <w:rPr>
          <w:sz w:val="20"/>
          <w:szCs w:val="20"/>
          <w:color w:val="auto"/>
        </w:rPr>
      </w:pPr>
    </w:p>
    <w:p>
      <w:pPr>
        <w:jc w:val="both"/>
        <w:ind w:left="120" w:firstLine="644"/>
        <w:spacing w:after="0" w:line="413" w:lineRule="auto"/>
        <w:tabs>
          <w:tab w:leader="none" w:pos="1143" w:val="left"/>
        </w:tabs>
        <w:numPr>
          <w:ilvl w:val="0"/>
          <w:numId w:val="32"/>
        </w:numPr>
        <w:rPr>
          <w:rFonts w:ascii="Arial" w:cs="Arial" w:eastAsia="Arial" w:hAnsi="Arial"/>
          <w:sz w:val="19"/>
          <w:szCs w:val="19"/>
          <w:b w:val="1"/>
          <w:bCs w:val="1"/>
          <w:color w:val="auto"/>
        </w:rPr>
      </w:pPr>
      <w:r>
        <w:rPr>
          <w:rFonts w:ascii="Arial" w:cs="Arial" w:eastAsia="Arial" w:hAnsi="Arial"/>
          <w:sz w:val="20"/>
          <w:szCs w:val="20"/>
          <w:b w:val="1"/>
          <w:bCs w:val="1"/>
          <w:u w:val="single" w:color="auto"/>
          <w:color w:val="2F2F2F"/>
        </w:rPr>
        <w:t>Maintenance Of Time And Expense Records</w:t>
      </w:r>
      <w:r>
        <w:rPr>
          <w:rFonts w:ascii="Arial" w:cs="Arial" w:eastAsia="Arial" w:hAnsi="Arial"/>
          <w:sz w:val="20"/>
          <w:szCs w:val="20"/>
          <w:b w:val="1"/>
          <w:bCs w:val="1"/>
          <w:color w:val="2F2F2F"/>
        </w:rPr>
        <w:t xml:space="preserve">. </w:t>
      </w:r>
      <w:r>
        <w:rPr>
          <w:rFonts w:ascii="Arial" w:cs="Arial" w:eastAsia="Arial" w:hAnsi="Arial"/>
          <w:sz w:val="20"/>
          <w:szCs w:val="20"/>
          <w:color w:val="2F2F2F"/>
        </w:rPr>
        <w:t>Consultant shall maintain appropriate time and expense records pertaining</w:t>
      </w:r>
      <w:r>
        <w:rPr>
          <w:rFonts w:ascii="Arial" w:cs="Arial" w:eastAsia="Arial" w:hAnsi="Arial"/>
          <w:sz w:val="20"/>
          <w:szCs w:val="20"/>
          <w:b w:val="1"/>
          <w:bCs w:val="1"/>
          <w:color w:val="2F2F2F"/>
        </w:rPr>
        <w:t xml:space="preserve"> </w:t>
      </w:r>
      <w:r>
        <w:rPr>
          <w:rFonts w:ascii="Arial" w:cs="Arial" w:eastAsia="Arial" w:hAnsi="Arial"/>
          <w:sz w:val="20"/>
          <w:szCs w:val="20"/>
          <w:color w:val="2F2F2F"/>
        </w:rPr>
        <w:t>to the services performed under this Agreement. Said records shall be subject to examination and audit by NGSC and the United States Government until notified by NGSC in writing that the records no longer need to be maintained.</w:t>
      </w:r>
    </w:p>
    <w:p>
      <w:pPr>
        <w:spacing w:after="0" w:line="1" w:lineRule="exact"/>
        <w:rPr>
          <w:sz w:val="20"/>
          <w:szCs w:val="20"/>
          <w:color w:val="auto"/>
        </w:rPr>
      </w:pPr>
    </w:p>
    <w:p>
      <w:pPr>
        <w:jc w:val="both"/>
        <w:ind w:firstLine="778"/>
        <w:spacing w:after="0" w:line="398" w:lineRule="auto"/>
        <w:tabs>
          <w:tab w:leader="none" w:pos="1156" w:val="left"/>
        </w:tabs>
        <w:numPr>
          <w:ilvl w:val="1"/>
          <w:numId w:val="33"/>
        </w:numPr>
        <w:rPr>
          <w:rFonts w:ascii="Arial" w:cs="Arial" w:eastAsia="Arial" w:hAnsi="Arial"/>
          <w:sz w:val="19"/>
          <w:szCs w:val="19"/>
          <w:b w:val="1"/>
          <w:bCs w:val="1"/>
          <w:color w:val="auto"/>
        </w:rPr>
      </w:pPr>
      <w:r>
        <w:rPr>
          <w:rFonts w:ascii="Arial" w:cs="Arial" w:eastAsia="Arial" w:hAnsi="Arial"/>
          <w:sz w:val="20"/>
          <w:szCs w:val="20"/>
          <w:b w:val="1"/>
          <w:bCs w:val="1"/>
          <w:u w:val="single" w:color="auto"/>
          <w:color w:val="2F2F2F"/>
        </w:rPr>
        <w:t>Certification</w:t>
      </w:r>
      <w:r>
        <w:rPr>
          <w:rFonts w:ascii="Arial" w:cs="Arial" w:eastAsia="Arial" w:hAnsi="Arial"/>
          <w:sz w:val="20"/>
          <w:szCs w:val="20"/>
          <w:b w:val="1"/>
          <w:bCs w:val="1"/>
          <w:color w:val="2F2F2F"/>
        </w:rPr>
        <w:t xml:space="preserve">. </w:t>
      </w:r>
      <w:r>
        <w:rPr>
          <w:rFonts w:ascii="Arial" w:cs="Arial" w:eastAsia="Arial" w:hAnsi="Arial"/>
          <w:sz w:val="20"/>
          <w:szCs w:val="20"/>
          <w:color w:val="2F2F2F"/>
        </w:rPr>
        <w:t>This Agreement is made in material reliance upon the representations and warranties made by Consultant.</w:t>
      </w:r>
      <w:r>
        <w:rPr>
          <w:rFonts w:ascii="Arial" w:cs="Arial" w:eastAsia="Arial" w:hAnsi="Arial"/>
          <w:sz w:val="20"/>
          <w:szCs w:val="20"/>
          <w:b w:val="1"/>
          <w:bCs w:val="1"/>
          <w:color w:val="2F2F2F"/>
        </w:rPr>
        <w:t xml:space="preserve"> </w:t>
      </w:r>
      <w:r>
        <w:rPr>
          <w:rFonts w:ascii="Arial" w:cs="Arial" w:eastAsia="Arial" w:hAnsi="Arial"/>
          <w:sz w:val="20"/>
          <w:szCs w:val="20"/>
          <w:color w:val="2F2F2F"/>
        </w:rPr>
        <w:t>The effectiveness of this Agreement is contingent upon and will not commence until receipt by NGSC of the certifications set forth in Attachments A and D hereto. In the event that NGSC has reason to believe that these certifications are incorrect, NGSC may treat this Agreement as being null and void or may terminate this Agreement pursuant to Section XVI.</w:t>
      </w:r>
    </w:p>
    <w:p>
      <w:pPr>
        <w:jc w:val="both"/>
        <w:ind w:firstLine="648"/>
        <w:spacing w:after="0" w:line="408" w:lineRule="auto"/>
        <w:rPr>
          <w:rFonts w:ascii="Arial" w:cs="Arial" w:eastAsia="Arial" w:hAnsi="Arial"/>
          <w:sz w:val="19"/>
          <w:szCs w:val="19"/>
          <w:b w:val="1"/>
          <w:bCs w:val="1"/>
          <w:color w:val="auto"/>
        </w:rPr>
      </w:pPr>
      <w:r>
        <w:rPr>
          <w:rFonts w:ascii="Arial" w:cs="Arial" w:eastAsia="Arial" w:hAnsi="Arial"/>
          <w:sz w:val="20"/>
          <w:szCs w:val="20"/>
          <w:b w:val="1"/>
          <w:bCs w:val="1"/>
          <w:color w:val="auto"/>
        </w:rPr>
        <w:t xml:space="preserve">G. </w:t>
      </w:r>
      <w:r>
        <w:rPr>
          <w:rFonts w:ascii="Arial" w:cs="Arial" w:eastAsia="Arial" w:hAnsi="Arial"/>
          <w:sz w:val="20"/>
          <w:szCs w:val="20"/>
          <w:b w:val="1"/>
          <w:bCs w:val="1"/>
          <w:u w:val="single" w:color="auto"/>
          <w:color w:val="2F2F2F"/>
        </w:rPr>
        <w:t>Standards of Business Conduct.</w:t>
      </w:r>
      <w:r>
        <w:rPr>
          <w:rFonts w:ascii="Arial" w:cs="Arial" w:eastAsia="Arial" w:hAnsi="Arial"/>
          <w:sz w:val="20"/>
          <w:szCs w:val="20"/>
          <w:b w:val="1"/>
          <w:bCs w:val="1"/>
          <w:color w:val="auto"/>
        </w:rPr>
        <w:t xml:space="preserve"> </w:t>
      </w:r>
      <w:r>
        <w:rPr>
          <w:rFonts w:ascii="Arial" w:cs="Arial" w:eastAsia="Arial" w:hAnsi="Arial"/>
          <w:sz w:val="20"/>
          <w:szCs w:val="20"/>
          <w:color w:val="2F2F2F"/>
        </w:rPr>
        <w:t>Consultant hereby acknowledges that he has received a copy of the Northrop Grumman</w:t>
      </w:r>
      <w:r>
        <w:rPr>
          <w:rFonts w:ascii="Arial" w:cs="Arial" w:eastAsia="Arial" w:hAnsi="Arial"/>
          <w:sz w:val="20"/>
          <w:szCs w:val="20"/>
          <w:b w:val="1"/>
          <w:bCs w:val="1"/>
          <w:color w:val="auto"/>
        </w:rPr>
        <w:t xml:space="preserve"> </w:t>
      </w:r>
      <w:r>
        <w:rPr>
          <w:rFonts w:ascii="Arial" w:cs="Arial" w:eastAsia="Arial" w:hAnsi="Arial"/>
          <w:sz w:val="20"/>
          <w:szCs w:val="20"/>
          <w:color w:val="2F2F2F"/>
        </w:rPr>
        <w:t>Standards of Business Conduct and Northrop Grumman policies and agrees to conduct his activities for or on behalf of NGSC or its affiliates in full accordance therewith as a condition of this Agreement.</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2F2F2F"/>
        </w:rPr>
        <w:t xml:space="preserve">XII. </w:t>
      </w:r>
      <w:r>
        <w:rPr>
          <w:rFonts w:ascii="Arial" w:cs="Arial" w:eastAsia="Arial" w:hAnsi="Arial"/>
          <w:sz w:val="21"/>
          <w:szCs w:val="21"/>
          <w:b w:val="1"/>
          <w:bCs w:val="1"/>
          <w:u w:val="single" w:color="auto"/>
          <w:color w:val="2F2F2F"/>
        </w:rPr>
        <w:t>ASSIGNMENT OF RIGHTS</w:t>
      </w:r>
    </w:p>
    <w:p>
      <w:pPr>
        <w:spacing w:after="0" w:line="200" w:lineRule="exact"/>
        <w:rPr>
          <w:sz w:val="20"/>
          <w:szCs w:val="20"/>
          <w:color w:val="auto"/>
        </w:rPr>
      </w:pPr>
    </w:p>
    <w:p>
      <w:pPr>
        <w:spacing w:after="0" w:line="213" w:lineRule="exact"/>
        <w:rPr>
          <w:sz w:val="20"/>
          <w:szCs w:val="20"/>
          <w:color w:val="auto"/>
        </w:rPr>
      </w:pPr>
    </w:p>
    <w:p>
      <w:pPr>
        <w:jc w:val="both"/>
        <w:ind w:firstLine="770"/>
        <w:spacing w:after="0" w:line="387" w:lineRule="auto"/>
        <w:rPr>
          <w:sz w:val="20"/>
          <w:szCs w:val="20"/>
          <w:color w:val="auto"/>
        </w:rPr>
      </w:pPr>
      <w:r>
        <w:rPr>
          <w:rFonts w:ascii="Arial" w:cs="Arial" w:eastAsia="Arial" w:hAnsi="Arial"/>
          <w:sz w:val="21"/>
          <w:szCs w:val="21"/>
          <w:color w:val="2F2F2F"/>
        </w:rPr>
        <w:t>This Agreement and the rights, benefits, duties and obligations contained herein may not be assigned or otherwise transferred in any manner to third parties without the express written approval of NGSC. Any such assignment or transfer without prior approval of NGSC will be null, void and without effect.</w:t>
      </w:r>
    </w:p>
    <w:p>
      <w:pPr>
        <w:spacing w:after="0" w:line="109"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1"/>
          <w:szCs w:val="21"/>
          <w:b w:val="1"/>
          <w:bCs w:val="1"/>
          <w:color w:val="auto"/>
        </w:rPr>
        <w:t>XIII.</w:t>
      </w:r>
      <w:r>
        <w:rPr>
          <w:sz w:val="20"/>
          <w:szCs w:val="20"/>
          <w:color w:val="auto"/>
        </w:rPr>
        <w:tab/>
      </w:r>
      <w:r>
        <w:rPr>
          <w:rFonts w:ascii="Arial" w:cs="Arial" w:eastAsia="Arial" w:hAnsi="Arial"/>
          <w:sz w:val="21"/>
          <w:szCs w:val="21"/>
          <w:b w:val="1"/>
          <w:bCs w:val="1"/>
          <w:u w:val="single" w:color="auto"/>
          <w:color w:val="2F2F2F"/>
        </w:rPr>
        <w:t>MODIFICATION</w:t>
      </w:r>
    </w:p>
    <w:p>
      <w:pPr>
        <w:spacing w:after="0" w:line="200" w:lineRule="exact"/>
        <w:rPr>
          <w:sz w:val="20"/>
          <w:szCs w:val="20"/>
          <w:color w:val="auto"/>
        </w:rPr>
      </w:pPr>
    </w:p>
    <w:p>
      <w:pPr>
        <w:spacing w:after="0" w:line="213" w:lineRule="exact"/>
        <w:rPr>
          <w:sz w:val="20"/>
          <w:szCs w:val="20"/>
          <w:color w:val="auto"/>
        </w:rPr>
      </w:pPr>
    </w:p>
    <w:p>
      <w:pPr>
        <w:jc w:val="both"/>
        <w:ind w:right="20" w:firstLine="770"/>
        <w:spacing w:after="0" w:line="398" w:lineRule="auto"/>
        <w:rPr>
          <w:sz w:val="20"/>
          <w:szCs w:val="20"/>
          <w:color w:val="auto"/>
        </w:rPr>
      </w:pPr>
      <w:r>
        <w:rPr>
          <w:rFonts w:ascii="Arial" w:cs="Arial" w:eastAsia="Arial" w:hAnsi="Arial"/>
          <w:sz w:val="21"/>
          <w:szCs w:val="21"/>
          <w:color w:val="2F2F2F"/>
        </w:rPr>
        <w:t>No waiver or modification of this Agreement or of any covenant, condition, or limitation herein shall be valid and enforceable unless such waiver or modification is in writing and agreed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21"/>
          <w:szCs w:val="21"/>
          <w:b w:val="1"/>
          <w:bCs w:val="1"/>
          <w:color w:val="auto"/>
        </w:rPr>
        <w:t>XIV.</w:t>
      </w:r>
      <w:r>
        <w:rPr>
          <w:sz w:val="20"/>
          <w:szCs w:val="20"/>
          <w:color w:val="auto"/>
        </w:rPr>
        <w:tab/>
      </w:r>
      <w:r>
        <w:rPr>
          <w:rFonts w:ascii="Arial" w:cs="Arial" w:eastAsia="Arial" w:hAnsi="Arial"/>
          <w:sz w:val="20"/>
          <w:szCs w:val="20"/>
          <w:b w:val="1"/>
          <w:bCs w:val="1"/>
          <w:u w:val="single" w:color="auto"/>
          <w:color w:val="2F2F2F"/>
        </w:rPr>
        <w:t>USE OR EMPLOYMENT OF THIRD PARTIES</w:t>
      </w:r>
    </w:p>
    <w:p>
      <w:pPr>
        <w:spacing w:after="0" w:line="200" w:lineRule="exact"/>
        <w:rPr>
          <w:sz w:val="20"/>
          <w:szCs w:val="20"/>
          <w:color w:val="auto"/>
        </w:rPr>
      </w:pPr>
    </w:p>
    <w:p>
      <w:pPr>
        <w:spacing w:after="0" w:line="213" w:lineRule="exact"/>
        <w:rPr>
          <w:sz w:val="20"/>
          <w:szCs w:val="20"/>
          <w:color w:val="auto"/>
        </w:rPr>
      </w:pPr>
    </w:p>
    <w:p>
      <w:pPr>
        <w:jc w:val="both"/>
        <w:ind w:right="20" w:firstLine="770"/>
        <w:spacing w:after="0" w:line="398" w:lineRule="auto"/>
        <w:rPr>
          <w:sz w:val="20"/>
          <w:szCs w:val="20"/>
          <w:color w:val="auto"/>
        </w:rPr>
      </w:pPr>
      <w:r>
        <w:rPr>
          <w:rFonts w:ascii="Arial" w:cs="Arial" w:eastAsia="Arial" w:hAnsi="Arial"/>
          <w:sz w:val="21"/>
          <w:szCs w:val="21"/>
          <w:color w:val="2F2F2F"/>
        </w:rPr>
        <w:t>Consultant shall not utilize or employ any third party, individual or entity, in connection with Consultant's performance of services under this Agreement without the express written approval of NGSC.</w:t>
      </w:r>
    </w:p>
    <w:p>
      <w:pPr>
        <w:spacing w:after="0" w:line="98"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21"/>
          <w:szCs w:val="21"/>
          <w:b w:val="1"/>
          <w:bCs w:val="1"/>
          <w:color w:val="auto"/>
        </w:rPr>
        <w:t>XV.</w:t>
      </w:r>
      <w:r>
        <w:rPr>
          <w:sz w:val="20"/>
          <w:szCs w:val="20"/>
          <w:color w:val="auto"/>
        </w:rPr>
        <w:tab/>
      </w:r>
      <w:r>
        <w:rPr>
          <w:rFonts w:ascii="Arial" w:cs="Arial" w:eastAsia="Arial" w:hAnsi="Arial"/>
          <w:sz w:val="21"/>
          <w:szCs w:val="21"/>
          <w:b w:val="1"/>
          <w:bCs w:val="1"/>
          <w:u w:val="single" w:color="auto"/>
          <w:color w:val="auto"/>
        </w:rPr>
        <w:t>CONFLICTS OF INTEREST</w:t>
      </w:r>
    </w:p>
    <w:p>
      <w:pPr>
        <w:spacing w:after="0" w:line="200" w:lineRule="exact"/>
        <w:rPr>
          <w:sz w:val="20"/>
          <w:szCs w:val="20"/>
          <w:color w:val="auto"/>
        </w:rPr>
      </w:pPr>
    </w:p>
    <w:p>
      <w:pPr>
        <w:spacing w:after="0" w:line="240" w:lineRule="exact"/>
        <w:rPr>
          <w:sz w:val="20"/>
          <w:szCs w:val="20"/>
          <w:color w:val="auto"/>
        </w:rPr>
      </w:pPr>
    </w:p>
    <w:p>
      <w:pPr>
        <w:jc w:val="both"/>
        <w:ind w:firstLine="756"/>
        <w:spacing w:after="0" w:line="412" w:lineRule="auto"/>
        <w:rPr>
          <w:sz w:val="20"/>
          <w:szCs w:val="20"/>
          <w:color w:val="auto"/>
        </w:rPr>
      </w:pPr>
      <w:r>
        <w:rPr>
          <w:rFonts w:ascii="Arial" w:cs="Arial" w:eastAsia="Arial" w:hAnsi="Arial"/>
          <w:sz w:val="21"/>
          <w:szCs w:val="21"/>
          <w:color w:val="2F2F2F"/>
        </w:rPr>
        <w:t>No business or legal conflicts of interest shall exist between services performed or to be performed by Consultant on behalf of NGSC and by Consultant on behalf of any other entity. The identity</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2F2F2F"/>
        </w:rPr>
        <w:t>of Consultant’s directorships, other employment and clients shall be fully disclosed in Attachment C and promptly updated.</w:t>
      </w:r>
    </w:p>
    <w:p>
      <w:pPr>
        <w:spacing w:after="0" w:line="279"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1"/>
          <w:szCs w:val="21"/>
          <w:b w:val="1"/>
          <w:bCs w:val="1"/>
          <w:color w:val="auto"/>
        </w:rPr>
        <w:t>XVI.</w:t>
      </w:r>
      <w:r>
        <w:rPr>
          <w:sz w:val="20"/>
          <w:szCs w:val="20"/>
          <w:color w:val="auto"/>
        </w:rPr>
        <w:tab/>
      </w:r>
      <w:r>
        <w:rPr>
          <w:rFonts w:ascii="Arial" w:cs="Arial" w:eastAsia="Arial" w:hAnsi="Arial"/>
          <w:sz w:val="21"/>
          <w:szCs w:val="21"/>
          <w:b w:val="1"/>
          <w:bCs w:val="1"/>
          <w:u w:val="single" w:color="auto"/>
          <w:color w:val="2F2F2F"/>
        </w:rPr>
        <w:t>EXCLUSIVITY OF CONSULTING ARRANGEMENT</w:t>
      </w:r>
    </w:p>
    <w:p>
      <w:pPr>
        <w:spacing w:after="0" w:line="200" w:lineRule="exact"/>
        <w:rPr>
          <w:sz w:val="20"/>
          <w:szCs w:val="20"/>
          <w:color w:val="auto"/>
        </w:rPr>
      </w:pPr>
    </w:p>
    <w:p>
      <w:pPr>
        <w:spacing w:after="0" w:line="226" w:lineRule="exact"/>
        <w:rPr>
          <w:sz w:val="20"/>
          <w:szCs w:val="20"/>
          <w:color w:val="auto"/>
        </w:rPr>
      </w:pPr>
    </w:p>
    <w:p>
      <w:pPr>
        <w:jc w:val="both"/>
        <w:ind w:firstLine="756"/>
        <w:spacing w:after="0" w:line="381" w:lineRule="auto"/>
        <w:rPr>
          <w:sz w:val="20"/>
          <w:szCs w:val="20"/>
          <w:color w:val="auto"/>
        </w:rPr>
      </w:pPr>
      <w:r>
        <w:rPr>
          <w:rFonts w:ascii="Arial" w:cs="Arial" w:eastAsia="Arial" w:hAnsi="Arial"/>
          <w:sz w:val="21"/>
          <w:szCs w:val="21"/>
          <w:color w:val="2F2F2F"/>
        </w:rPr>
        <w:t>During the term of this Agreement, Consultant shall not directly or indirectly engage in any activities designed to deprive or which may have the effect of depriving NGSC or its affiliates of the good will of customers or potential customers of its products and services. Further, Consultant shall not, during the term of this Agreement, and for a period of twelve (12) months after expiration or termination of this Agreement, represent, act as representative for, or market or sell, directly or indirectly, products competing with NGSC’s or its affiliates’ products and services.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 xml:space="preserve">XVII. </w:t>
      </w:r>
      <w:r>
        <w:rPr>
          <w:rFonts w:ascii="Arial" w:cs="Arial" w:eastAsia="Arial" w:hAnsi="Arial"/>
          <w:sz w:val="21"/>
          <w:szCs w:val="21"/>
          <w:b w:val="1"/>
          <w:bCs w:val="1"/>
          <w:u w:val="single" w:color="auto"/>
          <w:color w:val="2F2F2F"/>
        </w:rPr>
        <w:t>TERMINATION</w:t>
      </w:r>
    </w:p>
    <w:p>
      <w:pPr>
        <w:spacing w:after="0" w:line="204" w:lineRule="exact"/>
        <w:rPr>
          <w:sz w:val="20"/>
          <w:szCs w:val="20"/>
          <w:color w:val="auto"/>
        </w:rPr>
      </w:pPr>
    </w:p>
    <w:p>
      <w:pPr>
        <w:ind w:left="1140" w:hanging="403"/>
        <w:spacing w:after="0"/>
        <w:tabs>
          <w:tab w:leader="none" w:pos="1140" w:val="left"/>
        </w:tabs>
        <w:numPr>
          <w:ilvl w:val="0"/>
          <w:numId w:val="34"/>
        </w:numPr>
        <w:rPr>
          <w:rFonts w:ascii="Arial" w:cs="Arial" w:eastAsia="Arial" w:hAnsi="Arial"/>
          <w:sz w:val="19"/>
          <w:szCs w:val="19"/>
          <w:b w:val="1"/>
          <w:bCs w:val="1"/>
          <w:color w:val="2F2F2F"/>
        </w:rPr>
      </w:pPr>
      <w:r>
        <w:rPr>
          <w:rFonts w:ascii="Arial" w:cs="Arial" w:eastAsia="Arial" w:hAnsi="Arial"/>
          <w:sz w:val="19"/>
          <w:szCs w:val="19"/>
          <w:b w:val="1"/>
          <w:bCs w:val="1"/>
          <w:u w:val="single" w:color="auto"/>
          <w:color w:val="2F2F2F"/>
        </w:rPr>
        <w:t>Termination upon Notice.</w:t>
      </w:r>
      <w:r>
        <w:rPr>
          <w:rFonts w:ascii="Arial" w:cs="Arial" w:eastAsia="Arial" w:hAnsi="Arial"/>
          <w:sz w:val="19"/>
          <w:szCs w:val="19"/>
          <w:b w:val="1"/>
          <w:bCs w:val="1"/>
          <w:color w:val="2F2F2F"/>
        </w:rPr>
        <w:t xml:space="preserve"> </w:t>
      </w:r>
      <w:r>
        <w:rPr>
          <w:rFonts w:ascii="Arial" w:cs="Arial" w:eastAsia="Arial" w:hAnsi="Arial"/>
          <w:sz w:val="19"/>
          <w:szCs w:val="19"/>
          <w:color w:val="2F2F2F"/>
        </w:rPr>
        <w:t>Either party may terminate this Agreement upon 10 days written notice to the other party.</w:t>
      </w:r>
    </w:p>
    <w:p>
      <w:pPr>
        <w:spacing w:after="0" w:line="281" w:lineRule="exact"/>
        <w:rPr>
          <w:rFonts w:ascii="Arial" w:cs="Arial" w:eastAsia="Arial" w:hAnsi="Arial"/>
          <w:sz w:val="19"/>
          <w:szCs w:val="19"/>
          <w:b w:val="1"/>
          <w:bCs w:val="1"/>
          <w:color w:val="2F2F2F"/>
        </w:rPr>
      </w:pPr>
    </w:p>
    <w:p>
      <w:pPr>
        <w:ind w:right="240" w:firstLine="737"/>
        <w:spacing w:after="0" w:line="369" w:lineRule="auto"/>
        <w:tabs>
          <w:tab w:leader="none" w:pos="1126" w:val="left"/>
        </w:tabs>
        <w:numPr>
          <w:ilvl w:val="0"/>
          <w:numId w:val="34"/>
        </w:numPr>
        <w:rPr>
          <w:rFonts w:ascii="Arial" w:cs="Arial" w:eastAsia="Arial" w:hAnsi="Arial"/>
          <w:sz w:val="21"/>
          <w:szCs w:val="21"/>
          <w:b w:val="1"/>
          <w:bCs w:val="1"/>
          <w:color w:val="2F2F2F"/>
        </w:rPr>
      </w:pPr>
      <w:r>
        <w:rPr>
          <w:rFonts w:ascii="Arial" w:cs="Arial" w:eastAsia="Arial" w:hAnsi="Arial"/>
          <w:sz w:val="21"/>
          <w:szCs w:val="21"/>
          <w:b w:val="1"/>
          <w:bCs w:val="1"/>
          <w:u w:val="single" w:color="auto"/>
          <w:color w:val="2F2F2F"/>
        </w:rPr>
        <w:t>Violation of Term or Condition.</w:t>
      </w:r>
      <w:r>
        <w:rPr>
          <w:rFonts w:ascii="Arial" w:cs="Arial" w:eastAsia="Arial" w:hAnsi="Arial"/>
          <w:sz w:val="21"/>
          <w:szCs w:val="21"/>
          <w:b w:val="1"/>
          <w:bCs w:val="1"/>
          <w:color w:val="2F2F2F"/>
        </w:rPr>
        <w:t xml:space="preserve"> </w:t>
      </w:r>
      <w:r>
        <w:rPr>
          <w:rFonts w:ascii="Arial" w:cs="Arial" w:eastAsia="Arial" w:hAnsi="Arial"/>
          <w:sz w:val="21"/>
          <w:szCs w:val="21"/>
          <w:color w:val="2F2F2F"/>
        </w:rPr>
        <w:t>In the event of a violation or what the Company reasonably believes to be an imminent</w:t>
      </w:r>
      <w:r>
        <w:rPr>
          <w:rFonts w:ascii="Arial" w:cs="Arial" w:eastAsia="Arial" w:hAnsi="Arial"/>
          <w:sz w:val="21"/>
          <w:szCs w:val="21"/>
          <w:b w:val="1"/>
          <w:bCs w:val="1"/>
          <w:color w:val="2F2F2F"/>
        </w:rPr>
        <w:t xml:space="preserve"> </w:t>
      </w:r>
      <w:r>
        <w:rPr>
          <w:rFonts w:ascii="Arial" w:cs="Arial" w:eastAsia="Arial" w:hAnsi="Arial"/>
          <w:sz w:val="21"/>
          <w:szCs w:val="21"/>
          <w:color w:val="2F2F2F"/>
        </w:rPr>
        <w:t>violation by Consultant of any term or condition, express or implied, of this Agreement or of any federal or state law or regulation pertaining to or arising from Consultant's performance of services under this Agreement, NGSC may, in its discretion, terminate this Agreement immediately, without notice and in such event. Consultant shall only be entitled to compensation up to the time of such violation.</w:t>
      </w:r>
    </w:p>
    <w:p>
      <w:pPr>
        <w:spacing w:after="0" w:line="101" w:lineRule="exact"/>
        <w:rPr>
          <w:rFonts w:ascii="Arial" w:cs="Arial" w:eastAsia="Arial" w:hAnsi="Arial"/>
          <w:sz w:val="21"/>
          <w:szCs w:val="21"/>
          <w:b w:val="1"/>
          <w:bCs w:val="1"/>
          <w:color w:val="2F2F2F"/>
        </w:rPr>
      </w:pPr>
    </w:p>
    <w:p>
      <w:pPr>
        <w:ind w:right="100" w:firstLine="737"/>
        <w:spacing w:after="0" w:line="372" w:lineRule="auto"/>
        <w:tabs>
          <w:tab w:leader="none" w:pos="1137" w:val="left"/>
        </w:tabs>
        <w:numPr>
          <w:ilvl w:val="0"/>
          <w:numId w:val="34"/>
        </w:numPr>
        <w:rPr>
          <w:rFonts w:ascii="Arial" w:cs="Arial" w:eastAsia="Arial" w:hAnsi="Arial"/>
          <w:sz w:val="21"/>
          <w:szCs w:val="21"/>
          <w:b w:val="1"/>
          <w:bCs w:val="1"/>
          <w:color w:val="2F2F2F"/>
        </w:rPr>
      </w:pPr>
      <w:r>
        <w:rPr>
          <w:rFonts w:ascii="Arial" w:cs="Arial" w:eastAsia="Arial" w:hAnsi="Arial"/>
          <w:sz w:val="21"/>
          <w:szCs w:val="21"/>
          <w:b w:val="1"/>
          <w:bCs w:val="1"/>
          <w:u w:val="single" w:color="auto"/>
          <w:color w:val="2F2F2F"/>
        </w:rPr>
        <w:t>Bankruptcy; Death</w:t>
      </w:r>
      <w:r>
        <w:rPr>
          <w:rFonts w:ascii="Arial" w:cs="Arial" w:eastAsia="Arial" w:hAnsi="Arial"/>
          <w:sz w:val="21"/>
          <w:szCs w:val="21"/>
          <w:b w:val="1"/>
          <w:bCs w:val="1"/>
          <w:color w:val="2F2F2F"/>
        </w:rPr>
        <w:t xml:space="preserve">. </w:t>
      </w:r>
      <w:r>
        <w:rPr>
          <w:rFonts w:ascii="Arial" w:cs="Arial" w:eastAsia="Arial" w:hAnsi="Arial"/>
          <w:sz w:val="21"/>
          <w:szCs w:val="21"/>
          <w:color w:val="2F2F2F"/>
        </w:rPr>
        <w:t>In the event Consultant dies or is adjudicated a bankrupt or petitions for relief under bankruptcy,</w:t>
      </w:r>
      <w:r>
        <w:rPr>
          <w:rFonts w:ascii="Arial" w:cs="Arial" w:eastAsia="Arial" w:hAnsi="Arial"/>
          <w:sz w:val="21"/>
          <w:szCs w:val="21"/>
          <w:b w:val="1"/>
          <w:bCs w:val="1"/>
          <w:color w:val="2F2F2F"/>
        </w:rPr>
        <w:t xml:space="preserve"> </w:t>
      </w:r>
      <w:r>
        <w:rPr>
          <w:rFonts w:ascii="Arial" w:cs="Arial" w:eastAsia="Arial" w:hAnsi="Arial"/>
          <w:sz w:val="21"/>
          <w:szCs w:val="21"/>
          <w:color w:val="2F2F2F"/>
        </w:rPr>
        <w:t>reorganization, receivership, liquidation, compromise or other arrangement or attempts to make an assignment for the benefit of creditors, this Agreement shall be deemed terminated automatically, without requirement of notice, without further liability or obligation to the Company.</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 xml:space="preserve">XVIII. </w:t>
      </w:r>
      <w:r>
        <w:rPr>
          <w:rFonts w:ascii="Arial" w:cs="Arial" w:eastAsia="Arial" w:hAnsi="Arial"/>
          <w:sz w:val="21"/>
          <w:szCs w:val="21"/>
          <w:b w:val="1"/>
          <w:bCs w:val="1"/>
          <w:u w:val="single" w:color="auto"/>
          <w:color w:val="2F2F2F"/>
        </w:rPr>
        <w:t>SEVERABILITY OF PROVISIONS</w:t>
      </w:r>
    </w:p>
    <w:p>
      <w:pPr>
        <w:spacing w:after="0" w:line="200" w:lineRule="exact"/>
        <w:rPr>
          <w:sz w:val="20"/>
          <w:szCs w:val="20"/>
          <w:color w:val="auto"/>
        </w:rPr>
      </w:pPr>
    </w:p>
    <w:p>
      <w:pPr>
        <w:spacing w:after="0" w:line="226" w:lineRule="exact"/>
        <w:rPr>
          <w:sz w:val="20"/>
          <w:szCs w:val="20"/>
          <w:color w:val="auto"/>
        </w:rPr>
      </w:pPr>
    </w:p>
    <w:p>
      <w:pPr>
        <w:ind w:firstLine="770"/>
        <w:spacing w:after="0" w:line="352" w:lineRule="auto"/>
        <w:rPr>
          <w:sz w:val="20"/>
          <w:szCs w:val="20"/>
          <w:color w:val="auto"/>
        </w:rPr>
      </w:pPr>
      <w:r>
        <w:rPr>
          <w:rFonts w:ascii="Arial" w:cs="Arial" w:eastAsia="Arial" w:hAnsi="Arial"/>
          <w:sz w:val="21"/>
          <w:szCs w:val="21"/>
          <w:color w:val="2F2F2F"/>
        </w:rPr>
        <w:t>All provisions contained herein are severable and in the event any of them are held to be invalid by any competent court, this Agreement shall be interpreted as if such invalid provision was not contained herein.</w:t>
      </w:r>
    </w:p>
    <w:p>
      <w:pPr>
        <w:spacing w:after="0" w:line="1"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21"/>
          <w:szCs w:val="21"/>
          <w:b w:val="1"/>
          <w:bCs w:val="1"/>
          <w:color w:val="auto"/>
        </w:rPr>
        <w:t>XIX.</w:t>
      </w:r>
      <w:r>
        <w:rPr>
          <w:sz w:val="20"/>
          <w:szCs w:val="20"/>
          <w:color w:val="auto"/>
        </w:rPr>
        <w:tab/>
      </w:r>
      <w:r>
        <w:rPr>
          <w:rFonts w:ascii="Arial" w:cs="Arial" w:eastAsia="Arial" w:hAnsi="Arial"/>
          <w:sz w:val="21"/>
          <w:szCs w:val="21"/>
          <w:b w:val="1"/>
          <w:bCs w:val="1"/>
          <w:u w:val="single" w:color="auto"/>
          <w:color w:val="2F2F2F"/>
        </w:rPr>
        <w:t>AVAILABILITY OF E</w:t>
      </w:r>
      <w:r>
        <w:rPr>
          <w:rFonts w:ascii="Arial" w:cs="Arial" w:eastAsia="Arial" w:hAnsi="Arial"/>
          <w:sz w:val="21"/>
          <w:szCs w:val="21"/>
          <w:b w:val="1"/>
          <w:bCs w:val="1"/>
          <w:u w:val="single" w:color="auto"/>
          <w:color w:val="6E6E6E"/>
        </w:rPr>
        <w:t>Q</w:t>
      </w:r>
      <w:r>
        <w:rPr>
          <w:rFonts w:ascii="Arial" w:cs="Arial" w:eastAsia="Arial" w:hAnsi="Arial"/>
          <w:sz w:val="21"/>
          <w:szCs w:val="21"/>
          <w:b w:val="1"/>
          <w:bCs w:val="1"/>
          <w:u w:val="single" w:color="auto"/>
          <w:color w:val="2F2F2F"/>
        </w:rPr>
        <w:t>UITABLE REMEDIES</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jc w:val="both"/>
        <w:ind w:right="20" w:firstLine="729"/>
        <w:spacing w:after="0" w:line="400" w:lineRule="auto"/>
        <w:rPr>
          <w:sz w:val="20"/>
          <w:szCs w:val="20"/>
          <w:color w:val="auto"/>
        </w:rPr>
      </w:pPr>
      <w:r>
        <w:rPr>
          <w:rFonts w:ascii="Arial" w:cs="Arial" w:eastAsia="Arial" w:hAnsi="Arial"/>
          <w:sz w:val="21"/>
          <w:szCs w:val="21"/>
          <w:color w:val="2F2F2F"/>
        </w:rPr>
        <w:t>Consultant understands and agrees that any breach or evasion of any of the terms of this Agreement will result in immediate and irreparable injury to NGSC and will entitle NGSC to all legal and equitable remedies including, without limitation, injunction or specific performance.</w:t>
      </w:r>
    </w:p>
    <w:p>
      <w:pPr>
        <w:spacing w:after="0" w:line="200" w:lineRule="exact"/>
        <w:rPr>
          <w:sz w:val="20"/>
          <w:szCs w:val="20"/>
          <w:color w:val="auto"/>
        </w:rPr>
      </w:pPr>
    </w:p>
    <w:p>
      <w:pPr>
        <w:spacing w:after="0" w:line="207" w:lineRule="exact"/>
        <w:rPr>
          <w:sz w:val="20"/>
          <w:szCs w:val="20"/>
          <w:color w:val="auto"/>
        </w:rPr>
      </w:pPr>
    </w:p>
    <w:p>
      <w:pPr>
        <w:ind w:left="740" w:hanging="624"/>
        <w:spacing w:after="0"/>
        <w:tabs>
          <w:tab w:leader="none" w:pos="74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2F2F2F"/>
        </w:rPr>
        <w:t>GOVERNING LAW</w:t>
      </w:r>
    </w:p>
    <w:p>
      <w:pPr>
        <w:spacing w:after="0" w:line="200" w:lineRule="exact"/>
        <w:rPr>
          <w:sz w:val="20"/>
          <w:szCs w:val="20"/>
          <w:color w:val="auto"/>
        </w:rPr>
      </w:pPr>
    </w:p>
    <w:p>
      <w:pPr>
        <w:spacing w:after="0" w:line="240" w:lineRule="exact"/>
        <w:rPr>
          <w:sz w:val="20"/>
          <w:szCs w:val="20"/>
          <w:color w:val="auto"/>
        </w:rPr>
      </w:pPr>
    </w:p>
    <w:p>
      <w:pPr>
        <w:ind w:firstLine="729"/>
        <w:spacing w:after="0" w:line="412" w:lineRule="auto"/>
        <w:rPr>
          <w:sz w:val="20"/>
          <w:szCs w:val="20"/>
          <w:color w:val="auto"/>
        </w:rPr>
      </w:pPr>
      <w:r>
        <w:rPr>
          <w:rFonts w:ascii="Arial" w:cs="Arial" w:eastAsia="Arial" w:hAnsi="Arial"/>
          <w:sz w:val="21"/>
          <w:szCs w:val="21"/>
          <w:color w:val="2F2F2F"/>
        </w:rPr>
        <w:t xml:space="preserve">This Agreement and the performance hereunder shall be governed by and construed in accordance </w:t>
      </w:r>
      <w:r>
        <w:rPr>
          <w:rFonts w:ascii="Arial" w:cs="Arial" w:eastAsia="Arial" w:hAnsi="Arial"/>
          <w:sz w:val="21"/>
          <w:szCs w:val="21"/>
          <w:color w:val="3F3F3F"/>
        </w:rPr>
        <w:t>with</w:t>
      </w:r>
      <w:r>
        <w:rPr>
          <w:rFonts w:ascii="Arial" w:cs="Arial" w:eastAsia="Arial" w:hAnsi="Arial"/>
          <w:sz w:val="21"/>
          <w:szCs w:val="21"/>
          <w:color w:val="2F2F2F"/>
        </w:rPr>
        <w:t xml:space="preserve"> the laws of the Commonwealth of Virginia (excluding any conflicts of laws provisions) which shall be the exclusive applicable law.</w:t>
      </w:r>
    </w:p>
    <w:p>
      <w:pPr>
        <w:spacing w:after="0" w:line="110"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21"/>
          <w:szCs w:val="21"/>
          <w:b w:val="1"/>
          <w:bCs w:val="1"/>
          <w:color w:val="auto"/>
        </w:rPr>
        <w:t>XXI.</w:t>
      </w:r>
      <w:r>
        <w:rPr>
          <w:sz w:val="20"/>
          <w:szCs w:val="20"/>
          <w:color w:val="auto"/>
        </w:rPr>
        <w:tab/>
      </w:r>
      <w:r>
        <w:rPr>
          <w:rFonts w:ascii="Arial" w:cs="Arial" w:eastAsia="Arial" w:hAnsi="Arial"/>
          <w:sz w:val="21"/>
          <w:szCs w:val="21"/>
          <w:b w:val="1"/>
          <w:bCs w:val="1"/>
          <w:u w:val="single" w:color="auto"/>
          <w:color w:val="2F2F2F"/>
        </w:rPr>
        <w:t>SETTLEMENT OF DISPUTES</w:t>
      </w:r>
    </w:p>
    <w:p>
      <w:pPr>
        <w:spacing w:after="0" w:line="197" w:lineRule="exact"/>
        <w:rPr>
          <w:sz w:val="20"/>
          <w:szCs w:val="20"/>
          <w:color w:val="auto"/>
        </w:rPr>
      </w:pPr>
    </w:p>
    <w:p>
      <w:pPr>
        <w:jc w:val="both"/>
        <w:ind w:firstLine="764"/>
        <w:spacing w:after="0" w:line="416" w:lineRule="auto"/>
        <w:tabs>
          <w:tab w:leader="none" w:pos="1142" w:val="left"/>
        </w:tabs>
        <w:numPr>
          <w:ilvl w:val="1"/>
          <w:numId w:val="36"/>
        </w:numPr>
        <w:rPr>
          <w:rFonts w:ascii="Arial" w:cs="Arial" w:eastAsia="Arial" w:hAnsi="Arial"/>
          <w:sz w:val="18"/>
          <w:szCs w:val="18"/>
          <w:b w:val="1"/>
          <w:bCs w:val="1"/>
          <w:color w:val="auto"/>
        </w:rPr>
      </w:pPr>
      <w:r>
        <w:rPr>
          <w:rFonts w:ascii="Arial" w:cs="Arial" w:eastAsia="Arial" w:hAnsi="Arial"/>
          <w:sz w:val="19"/>
          <w:szCs w:val="19"/>
          <w:color w:val="2F2F2F"/>
        </w:rPr>
        <w:t xml:space="preserve">NGSC and Consultant hereby consent to the resolution by arbitration of all disputes, issues, claims or controversies arising out of or in connection with this Agreement, that NGSC may have against Consultant, or that Consultant may have against NGSC, or against its officers, directors, employees or agents acting in their capacity as such; provided however, that in order to comply with the requirements of section 8116 of P.L.111-118 (the </w:t>
      </w:r>
      <w:r>
        <w:rPr>
          <w:rFonts w:ascii="Arial" w:cs="Arial" w:eastAsia="Arial" w:hAnsi="Arial"/>
          <w:sz w:val="19"/>
          <w:szCs w:val="19"/>
          <w:color w:val="3F3F3F"/>
        </w:rPr>
        <w:t>"Franken</w:t>
      </w:r>
      <w:r>
        <w:rPr>
          <w:rFonts w:ascii="Arial" w:cs="Arial" w:eastAsia="Arial" w:hAnsi="Arial"/>
          <w:sz w:val="19"/>
          <w:szCs w:val="19"/>
          <w:color w:val="2F2F2F"/>
        </w:rPr>
        <w:t xml:space="preserve"> Amendment") and its implementing regulations, Consultant is not required to arbitrate any claim under Title VII of the Civil Rights Act of 1964 or any tort related to or arising out of sexual assault or harassment, including assault and battery, intentional infliction of emotional distress, false imprisonment, or negligent hiring, supervision, or retention, regardless of when that claim arises or has arisen. Consultant may, but is not required to, request arbitration of such claims. Each party's promise to resolve all such claims, issues, or disputes by arbitration, except as noted above, in accordance with this Agreement rather than through the courts, is consideration for the other party's like promise. It is further agreed that the decision of an arbitrator on any issue, dispute, claim or controversy submitted for arbitration</w:t>
      </w:r>
      <w:r>
        <w:rPr>
          <w:rFonts w:ascii="Arial" w:cs="Arial" w:eastAsia="Arial" w:hAnsi="Arial"/>
          <w:sz w:val="19"/>
          <w:szCs w:val="19"/>
          <w:color w:val="545454"/>
        </w:rPr>
        <w:t>,</w:t>
      </w:r>
      <w:r>
        <w:rPr>
          <w:rFonts w:ascii="Arial" w:cs="Arial" w:eastAsia="Arial" w:hAnsi="Arial"/>
          <w:sz w:val="19"/>
          <w:szCs w:val="19"/>
          <w:color w:val="2F2F2F"/>
        </w:rPr>
        <w:t xml:space="preserve"> shall be final and binding upon the NGSC and Consultant and that judgment may be entered on the award of the arbitrator in any court having proper jurisdiction.</w:t>
      </w:r>
    </w:p>
    <w:p>
      <w:pPr>
        <w:spacing w:after="0" w:line="7" w:lineRule="exact"/>
        <w:rPr>
          <w:rFonts w:ascii="Arial" w:cs="Arial" w:eastAsia="Arial" w:hAnsi="Arial"/>
          <w:sz w:val="18"/>
          <w:szCs w:val="18"/>
          <w:b w:val="1"/>
          <w:bCs w:val="1"/>
          <w:color w:val="auto"/>
        </w:rPr>
      </w:pPr>
    </w:p>
    <w:p>
      <w:pPr>
        <w:jc w:val="both"/>
        <w:ind w:left="120" w:firstLine="644"/>
        <w:spacing w:after="0" w:line="374" w:lineRule="auto"/>
        <w:tabs>
          <w:tab w:leader="none" w:pos="1278" w:val="left"/>
        </w:tabs>
        <w:numPr>
          <w:ilvl w:val="1"/>
          <w:numId w:val="36"/>
        </w:numPr>
        <w:rPr>
          <w:rFonts w:ascii="Arial" w:cs="Arial" w:eastAsia="Arial" w:hAnsi="Arial"/>
          <w:sz w:val="20"/>
          <w:szCs w:val="20"/>
          <w:b w:val="1"/>
          <w:bCs w:val="1"/>
          <w:color w:val="auto"/>
        </w:rPr>
      </w:pPr>
      <w:r>
        <w:rPr>
          <w:rFonts w:ascii="Arial" w:cs="Arial" w:eastAsia="Arial" w:hAnsi="Arial"/>
          <w:sz w:val="21"/>
          <w:szCs w:val="21"/>
          <w:color w:val="2F2F2F"/>
        </w:rPr>
        <w:t>Except as otherwise provided herein or by mutual agreement of the parties, any arbitration shall be administered in accordance with the then-current Model Arbitration Procedures of the American Arbitration Association (AAA) before an arbitrator who is licensed to practice law in the state in which the arbitration is convened. The arbitration shall be held in Fairfax County. VA or at any other location mutually agreed upon by the parties.</w:t>
      </w:r>
    </w:p>
    <w:p>
      <w:pPr>
        <w:spacing w:after="0" w:line="47" w:lineRule="exact"/>
        <w:rPr>
          <w:rFonts w:ascii="Arial" w:cs="Arial" w:eastAsia="Arial" w:hAnsi="Arial"/>
          <w:sz w:val="20"/>
          <w:szCs w:val="20"/>
          <w:b w:val="1"/>
          <w:bCs w:val="1"/>
          <w:color w:val="auto"/>
        </w:rPr>
      </w:pPr>
    </w:p>
    <w:p>
      <w:pPr>
        <w:ind w:left="72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  </w:t>
      </w:r>
      <w:r>
        <w:rPr>
          <w:rFonts w:ascii="Arial" w:cs="Arial" w:eastAsia="Arial" w:hAnsi="Arial"/>
          <w:sz w:val="20"/>
          <w:szCs w:val="20"/>
          <w:color w:val="2F2F2F"/>
        </w:rPr>
        <w:t>The parties shall act reasonably and in good faith to agree upon the arbitrator.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73" w:lineRule="exact"/>
        <w:rPr>
          <w:sz w:val="20"/>
          <w:szCs w:val="20"/>
          <w:color w:val="auto"/>
        </w:rPr>
      </w:pPr>
    </w:p>
    <w:p>
      <w:pPr>
        <w:ind w:left="120" w:firstLine="617"/>
        <w:spacing w:after="0" w:line="425" w:lineRule="auto"/>
        <w:tabs>
          <w:tab w:leader="none" w:pos="1127" w:val="left"/>
        </w:tabs>
        <w:numPr>
          <w:ilvl w:val="0"/>
          <w:numId w:val="37"/>
        </w:numPr>
        <w:rPr>
          <w:rFonts w:ascii="Arial" w:cs="Arial" w:eastAsia="Arial" w:hAnsi="Arial"/>
          <w:sz w:val="20"/>
          <w:szCs w:val="20"/>
          <w:b w:val="1"/>
          <w:bCs w:val="1"/>
          <w:color w:val="auto"/>
        </w:rPr>
      </w:pPr>
      <w:r>
        <w:rPr>
          <w:rFonts w:ascii="Arial" w:cs="Arial" w:eastAsia="Arial" w:hAnsi="Arial"/>
          <w:sz w:val="21"/>
          <w:szCs w:val="21"/>
          <w:color w:val="2F2F2F"/>
        </w:rPr>
        <w:t>In reaching his or her decision, the arbitrator shall have no authority to change or modify any lawful NGSC or NGC policy, rule or regulation or this Agreement.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 xml:space="preserve">XXII.  </w:t>
      </w:r>
      <w:r>
        <w:rPr>
          <w:rFonts w:ascii="Arial" w:cs="Arial" w:eastAsia="Arial" w:hAnsi="Arial"/>
          <w:sz w:val="21"/>
          <w:szCs w:val="21"/>
          <w:b w:val="1"/>
          <w:bCs w:val="1"/>
          <w:u w:val="single" w:color="auto"/>
          <w:color w:val="2F2F2F"/>
        </w:rPr>
        <w:t>NOTICE</w:t>
      </w:r>
    </w:p>
    <w:p>
      <w:pPr>
        <w:spacing w:after="0" w:line="210" w:lineRule="exact"/>
        <w:rPr>
          <w:sz w:val="20"/>
          <w:szCs w:val="20"/>
          <w:color w:val="auto"/>
        </w:rPr>
      </w:pPr>
    </w:p>
    <w:p>
      <w:pPr>
        <w:jc w:val="both"/>
        <w:ind w:firstLine="756"/>
        <w:spacing w:after="0" w:line="412" w:lineRule="auto"/>
        <w:rPr>
          <w:sz w:val="20"/>
          <w:szCs w:val="20"/>
          <w:color w:val="auto"/>
        </w:rPr>
      </w:pPr>
      <w:r>
        <w:rPr>
          <w:rFonts w:ascii="Arial" w:cs="Arial" w:eastAsia="Arial" w:hAnsi="Arial"/>
          <w:sz w:val="21"/>
          <w:szCs w:val="21"/>
          <w:color w:val="2F2F2F"/>
        </w:rPr>
        <w:t>Any notice to be given hereunder shall be in writing, mailed by certified or registered mail with return receipt requested addressed to NGSC:</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Northrop Grumman Systems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2980 Fairview Park Drive</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Falls Church. VA 22042</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Attn.: General Counsel</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1"/>
          <w:szCs w:val="21"/>
          <w:color w:val="2F2F2F"/>
        </w:rPr>
        <w:t>or to Consultant: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Wesley G. Bush</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903 Turkey Run Road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1"/>
          <w:szCs w:val="21"/>
          <w:color w:val="2F2F2F"/>
        </w:rPr>
        <w:t>McLean VA 22101</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2F2F2F"/>
        </w:rPr>
        <w:t>or to such other address as may have been furnished prior to the date of mailing either by NGSC or Consultant in writing.</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 xml:space="preserve">XXIII. </w:t>
      </w:r>
      <w:r>
        <w:rPr>
          <w:rFonts w:ascii="Arial" w:cs="Arial" w:eastAsia="Arial" w:hAnsi="Arial"/>
          <w:sz w:val="21"/>
          <w:szCs w:val="21"/>
          <w:b w:val="1"/>
          <w:bCs w:val="1"/>
          <w:u w:val="single" w:color="auto"/>
          <w:color w:val="2F2F2F"/>
        </w:rPr>
        <w:t>COMPLETE AGREEMENT</w:t>
      </w:r>
    </w:p>
    <w:p>
      <w:pPr>
        <w:spacing w:after="0" w:line="200" w:lineRule="exact"/>
        <w:rPr>
          <w:sz w:val="20"/>
          <w:szCs w:val="20"/>
          <w:color w:val="auto"/>
        </w:rPr>
      </w:pPr>
    </w:p>
    <w:p>
      <w:pPr>
        <w:spacing w:after="0" w:line="226" w:lineRule="exact"/>
        <w:rPr>
          <w:sz w:val="20"/>
          <w:szCs w:val="20"/>
          <w:color w:val="auto"/>
        </w:rPr>
      </w:pPr>
    </w:p>
    <w:p>
      <w:pPr>
        <w:jc w:val="both"/>
        <w:ind w:firstLine="770"/>
        <w:spacing w:after="0" w:line="394" w:lineRule="auto"/>
        <w:rPr>
          <w:sz w:val="20"/>
          <w:szCs w:val="20"/>
          <w:color w:val="auto"/>
        </w:rPr>
      </w:pPr>
      <w:r>
        <w:rPr>
          <w:rFonts w:ascii="Arial" w:cs="Arial" w:eastAsia="Arial" w:hAnsi="Arial"/>
          <w:sz w:val="21"/>
          <w:szCs w:val="21"/>
          <w:color w:val="2F2F2F"/>
        </w:rPr>
        <w:t>This Agreement constitutes the entire agreement of the parties with respect to the engagement of Consultant by NGSC. The parties stipulate and agree that neither of them has made any representation with respect to this Agreement except that such representations are specifically set forth herein. The parties acknowledge that any other payments or representations that may have been made are of no effect and that neither party has relied on such pa</w:t>
      </w:r>
      <w:r>
        <w:rPr>
          <w:rFonts w:ascii="Arial" w:cs="Arial" w:eastAsia="Arial" w:hAnsi="Arial"/>
          <w:sz w:val="21"/>
          <w:szCs w:val="21"/>
          <w:color w:val="494949"/>
        </w:rPr>
        <w:t>y</w:t>
      </w:r>
      <w:r>
        <w:rPr>
          <w:rFonts w:ascii="Arial" w:cs="Arial" w:eastAsia="Arial" w:hAnsi="Arial"/>
          <w:sz w:val="21"/>
          <w:szCs w:val="21"/>
          <w:color w:val="2F2F2F"/>
        </w:rPr>
        <w:t>ments or representations in connection with this Agreement nor the performance of services contemplated herein.</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F2F2F"/>
        </w:rPr>
        <w:t xml:space="preserve">IN WITNESS WHEREOF, </w:t>
      </w:r>
      <w:r>
        <w:rPr>
          <w:rFonts w:ascii="Arial" w:cs="Arial" w:eastAsia="Arial" w:hAnsi="Arial"/>
          <w:sz w:val="20"/>
          <w:szCs w:val="20"/>
          <w:color w:val="2F2F2F"/>
        </w:rPr>
        <w:t>the parties hereto have caused this Agreement to be entered into and executed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2F2F2F"/>
        </w:rPr>
        <w:t>NORTHROP GRUMMAN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5104765</wp:posOffset>
            </wp:positionH>
            <wp:positionV relativeFrom="paragraph">
              <wp:posOffset>588010</wp:posOffset>
            </wp:positionV>
            <wp:extent cx="685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94"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2F2F2F"/>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588010</wp:posOffset>
            </wp:positionV>
            <wp:extent cx="685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160"/>
        <w:spacing w:after="0"/>
        <w:rPr>
          <w:sz w:val="20"/>
          <w:szCs w:val="20"/>
          <w:color w:val="auto"/>
        </w:rPr>
      </w:pPr>
      <w:r>
        <w:rPr>
          <w:rFonts w:ascii="Arial" w:cs="Arial" w:eastAsia="Arial" w:hAnsi="Arial"/>
          <w:sz w:val="21"/>
          <w:szCs w:val="21"/>
          <w:b w:val="1"/>
          <w:bCs w:val="1"/>
          <w:color w:val="2F2F2F"/>
        </w:rPr>
        <w:t>Wesley G. Bush</w:t>
      </w:r>
    </w:p>
    <w:p>
      <w:pPr>
        <w:sectPr>
          <w:pgSz w:w="11900" w:h="16838" w:orient="portrait"/>
          <w:cols w:equalWidth="0" w:num="1">
            <w:col w:w="10220"/>
          </w:cols>
          <w:pgMar w:left="14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060"/>
        <w:spacing w:after="0"/>
        <w:rPr>
          <w:sz w:val="20"/>
          <w:szCs w:val="20"/>
          <w:color w:val="auto"/>
        </w:rPr>
      </w:pPr>
      <w:r>
        <w:rPr>
          <w:rFonts w:ascii="Arial" w:cs="Arial" w:eastAsia="Arial" w:hAnsi="Arial"/>
          <w:sz w:val="21"/>
          <w:szCs w:val="21"/>
          <w:b w:val="1"/>
          <w:bCs w:val="1"/>
          <w:color w:val="313131"/>
        </w:rPr>
        <w:t xml:space="preserve">ATTACHMENT A </w:t>
      </w:r>
      <w:r>
        <w:rPr>
          <w:rFonts w:ascii="Arial" w:cs="Arial" w:eastAsia="Arial" w:hAnsi="Arial"/>
          <w:sz w:val="21"/>
          <w:szCs w:val="21"/>
          <w:b w:val="1"/>
          <w:bCs w:val="1"/>
          <w:u w:val="single" w:color="auto"/>
          <w:color w:val="313131"/>
        </w:rPr>
        <w:t>CERTIFICATION</w:t>
      </w:r>
    </w:p>
    <w:p>
      <w:pPr>
        <w:spacing w:after="0" w:line="83" w:lineRule="exact"/>
        <w:rPr>
          <w:sz w:val="20"/>
          <w:szCs w:val="20"/>
          <w:color w:val="auto"/>
        </w:rPr>
      </w:pPr>
    </w:p>
    <w:p>
      <w:pPr>
        <w:jc w:val="center"/>
        <w:ind w:left="3060"/>
        <w:spacing w:after="0"/>
        <w:rPr>
          <w:sz w:val="20"/>
          <w:szCs w:val="20"/>
          <w:color w:val="auto"/>
        </w:rPr>
      </w:pPr>
      <w:r>
        <w:rPr>
          <w:rFonts w:ascii="Arial" w:cs="Arial" w:eastAsia="Arial" w:hAnsi="Arial"/>
          <w:sz w:val="21"/>
          <w:szCs w:val="21"/>
          <w:b w:val="1"/>
          <w:bCs w:val="1"/>
          <w:color w:val="313131"/>
        </w:rPr>
        <w:t>Wesley G. Bush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313131"/>
        </w:rPr>
        <w:t>The undersigned. Wesley G. Bush ("Consultant"), hereby certifies, represents and warrants the following:</w:t>
      </w:r>
    </w:p>
    <w:p>
      <w:pPr>
        <w:spacing w:after="0" w:line="200" w:lineRule="exact"/>
        <w:rPr>
          <w:sz w:val="20"/>
          <w:szCs w:val="20"/>
          <w:color w:val="auto"/>
        </w:rPr>
      </w:pPr>
    </w:p>
    <w:p>
      <w:pPr>
        <w:spacing w:after="0" w:line="342" w:lineRule="exact"/>
        <w:rPr>
          <w:sz w:val="20"/>
          <w:szCs w:val="20"/>
          <w:color w:val="auto"/>
        </w:rPr>
      </w:pPr>
    </w:p>
    <w:p>
      <w:pPr>
        <w:ind w:firstLine="8"/>
        <w:spacing w:after="0" w:line="425" w:lineRule="auto"/>
        <w:tabs>
          <w:tab w:leader="none" w:pos="641" w:val="left"/>
        </w:tabs>
        <w:numPr>
          <w:ilvl w:val="0"/>
          <w:numId w:val="38"/>
        </w:numPr>
        <w:rPr>
          <w:rFonts w:ascii="Arial" w:cs="Arial" w:eastAsia="Arial" w:hAnsi="Arial"/>
          <w:sz w:val="21"/>
          <w:szCs w:val="21"/>
          <w:color w:val="auto"/>
        </w:rPr>
      </w:pPr>
      <w:r>
        <w:rPr>
          <w:rFonts w:ascii="Arial" w:cs="Arial" w:eastAsia="Arial" w:hAnsi="Arial"/>
          <w:sz w:val="21"/>
          <w:szCs w:val="21"/>
          <w:color w:val="313131"/>
        </w:rPr>
        <w:t>In past dealings with Northrop Grumman Corporation ("'NGSC") or other clients, Consultant has complied with all applicable laws, rules and regulations.</w:t>
      </w:r>
    </w:p>
    <w:p>
      <w:pPr>
        <w:spacing w:after="0" w:line="346" w:lineRule="exact"/>
        <w:rPr>
          <w:rFonts w:ascii="Arial" w:cs="Arial" w:eastAsia="Arial" w:hAnsi="Arial"/>
          <w:sz w:val="21"/>
          <w:szCs w:val="21"/>
          <w:color w:val="auto"/>
        </w:rPr>
      </w:pPr>
    </w:p>
    <w:p>
      <w:pPr>
        <w:ind w:left="600" w:hanging="592"/>
        <w:spacing w:after="0"/>
        <w:tabs>
          <w:tab w:leader="none" w:pos="600" w:val="left"/>
        </w:tabs>
        <w:numPr>
          <w:ilvl w:val="0"/>
          <w:numId w:val="38"/>
        </w:numPr>
        <w:rPr>
          <w:rFonts w:ascii="Arial" w:cs="Arial" w:eastAsia="Arial" w:hAnsi="Arial"/>
          <w:sz w:val="20"/>
          <w:szCs w:val="20"/>
          <w:color w:val="auto"/>
        </w:rPr>
      </w:pPr>
      <w:r>
        <w:rPr>
          <w:rFonts w:ascii="Arial" w:cs="Arial" w:eastAsia="Arial" w:hAnsi="Arial"/>
          <w:sz w:val="20"/>
          <w:szCs w:val="20"/>
          <w:color w:val="313131"/>
        </w:rPr>
        <w:t>In performing the services under this Agreement, Consultant will comply with all applicable laws, rules and regulations</w:t>
      </w:r>
      <w:r>
        <w:rPr>
          <w:rFonts w:ascii="Arial" w:cs="Arial" w:eastAsia="Arial" w:hAnsi="Arial"/>
          <w:sz w:val="20"/>
          <w:szCs w:val="20"/>
          <w:color w:val="666666"/>
        </w:rPr>
        <w:t>.</w:t>
      </w:r>
    </w:p>
    <w:p>
      <w:pPr>
        <w:spacing w:after="0" w:line="200" w:lineRule="exact"/>
        <w:rPr>
          <w:rFonts w:ascii="Arial" w:cs="Arial" w:eastAsia="Arial" w:hAnsi="Arial"/>
          <w:sz w:val="20"/>
          <w:szCs w:val="20"/>
          <w:color w:val="auto"/>
        </w:rPr>
      </w:pPr>
    </w:p>
    <w:p>
      <w:pPr>
        <w:spacing w:after="0" w:line="339" w:lineRule="exact"/>
        <w:rPr>
          <w:rFonts w:ascii="Arial" w:cs="Arial" w:eastAsia="Arial" w:hAnsi="Arial"/>
          <w:sz w:val="20"/>
          <w:szCs w:val="20"/>
          <w:color w:val="auto"/>
        </w:rPr>
      </w:pPr>
    </w:p>
    <w:p>
      <w:pPr>
        <w:ind w:right="20" w:firstLine="8"/>
        <w:spacing w:after="0" w:line="412" w:lineRule="auto"/>
        <w:tabs>
          <w:tab w:leader="none" w:pos="641" w:val="left"/>
        </w:tabs>
        <w:numPr>
          <w:ilvl w:val="0"/>
          <w:numId w:val="38"/>
        </w:numPr>
        <w:rPr>
          <w:rFonts w:ascii="Arial" w:cs="Arial" w:eastAsia="Arial" w:hAnsi="Arial"/>
          <w:sz w:val="21"/>
          <w:szCs w:val="21"/>
          <w:color w:val="auto"/>
        </w:rPr>
      </w:pPr>
      <w:r>
        <w:rPr>
          <w:rFonts w:ascii="Arial" w:cs="Arial" w:eastAsia="Arial" w:hAnsi="Arial"/>
          <w:sz w:val="21"/>
          <w:szCs w:val="21"/>
          <w:color w:val="313131"/>
        </w:rPr>
        <w:t>There have been no kickbacks or other payments made, either directly or indirectly to or by Mr. Bush or to or by any member of his family.</w:t>
      </w:r>
    </w:p>
    <w:p>
      <w:pPr>
        <w:spacing w:after="0" w:line="197" w:lineRule="exact"/>
        <w:rPr>
          <w:rFonts w:ascii="Arial" w:cs="Arial" w:eastAsia="Arial" w:hAnsi="Arial"/>
          <w:sz w:val="21"/>
          <w:szCs w:val="21"/>
          <w:color w:val="auto"/>
        </w:rPr>
      </w:pPr>
    </w:p>
    <w:p>
      <w:pPr>
        <w:ind w:left="640" w:hanging="632"/>
        <w:spacing w:after="0"/>
        <w:tabs>
          <w:tab w:leader="none" w:pos="640" w:val="left"/>
        </w:tabs>
        <w:numPr>
          <w:ilvl w:val="0"/>
          <w:numId w:val="38"/>
        </w:numPr>
        <w:rPr>
          <w:rFonts w:ascii="Arial" w:cs="Arial" w:eastAsia="Arial" w:hAnsi="Arial"/>
          <w:sz w:val="19"/>
          <w:szCs w:val="19"/>
          <w:color w:val="auto"/>
        </w:rPr>
      </w:pPr>
      <w:r>
        <w:rPr>
          <w:rFonts w:ascii="Arial" w:cs="Arial" w:eastAsia="Arial" w:hAnsi="Arial"/>
          <w:sz w:val="19"/>
          <w:szCs w:val="19"/>
          <w:color w:val="313131"/>
        </w:rPr>
        <w:t xml:space="preserve">No kickbacks or other payments will be made either directly or indirectly to or </w:t>
      </w:r>
      <w:r>
        <w:rPr>
          <w:rFonts w:ascii="Arial" w:cs="Arial" w:eastAsia="Arial" w:hAnsi="Arial"/>
          <w:sz w:val="19"/>
          <w:szCs w:val="19"/>
          <w:color w:val="464646"/>
        </w:rPr>
        <w:t>by</w:t>
      </w:r>
      <w:r>
        <w:rPr>
          <w:rFonts w:ascii="Arial" w:cs="Arial" w:eastAsia="Arial" w:hAnsi="Arial"/>
          <w:sz w:val="19"/>
          <w:szCs w:val="19"/>
          <w:color w:val="313131"/>
        </w:rPr>
        <w:t xml:space="preserve"> Mr. Bush or to or by any member of his family.</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firstLine="8"/>
        <w:spacing w:after="0" w:line="400" w:lineRule="auto"/>
        <w:tabs>
          <w:tab w:leader="none" w:pos="641" w:val="left"/>
        </w:tabs>
        <w:numPr>
          <w:ilvl w:val="0"/>
          <w:numId w:val="38"/>
        </w:numPr>
        <w:rPr>
          <w:rFonts w:ascii="Arial" w:cs="Arial" w:eastAsia="Arial" w:hAnsi="Arial"/>
          <w:sz w:val="21"/>
          <w:szCs w:val="21"/>
          <w:color w:val="auto"/>
        </w:rPr>
      </w:pPr>
      <w:r>
        <w:rPr>
          <w:rFonts w:ascii="Arial" w:cs="Arial" w:eastAsia="Arial" w:hAnsi="Arial"/>
          <w:sz w:val="21"/>
          <w:szCs w:val="21"/>
          <w:color w:val="313131"/>
        </w:rPr>
        <w:t xml:space="preserve">Consultant has not used and will not use any part of the compensation paid by </w:t>
      </w:r>
      <w:r>
        <w:rPr>
          <w:rFonts w:ascii="Arial" w:cs="Arial" w:eastAsia="Arial" w:hAnsi="Arial"/>
          <w:sz w:val="21"/>
          <w:szCs w:val="21"/>
          <w:color w:val="666666"/>
        </w:rPr>
        <w:t>N</w:t>
      </w:r>
      <w:r>
        <w:rPr>
          <w:rFonts w:ascii="Arial" w:cs="Arial" w:eastAsia="Arial" w:hAnsi="Arial"/>
          <w:sz w:val="21"/>
          <w:szCs w:val="21"/>
          <w:color w:val="313131"/>
        </w:rPr>
        <w:t xml:space="preserve">GSC to make payments, gratuities, emoluments or to confer any other benefit to an official of any government, or any political party, or official of any political party on behalf of NGSC or an affiliate. </w:t>
      </w:r>
      <w:r>
        <w:rPr>
          <w:rFonts w:ascii="Arial" w:cs="Arial" w:eastAsia="Arial" w:hAnsi="Arial"/>
          <w:sz w:val="19"/>
          <w:szCs w:val="19"/>
          <w:color w:val="000000"/>
        </w:rPr>
        <w:t>This does not include personal political contributions permitted by law</w:t>
      </w:r>
      <w:r>
        <w:rPr>
          <w:rFonts w:ascii="Arial" w:cs="Arial" w:eastAsia="Arial" w:hAnsi="Arial"/>
          <w:sz w:val="19"/>
          <w:szCs w:val="19"/>
          <w:color w:val="1F497D"/>
        </w:rPr>
        <w:t>.</w:t>
      </w:r>
    </w:p>
    <w:p>
      <w:pPr>
        <w:spacing w:after="0" w:line="224" w:lineRule="exact"/>
        <w:rPr>
          <w:rFonts w:ascii="Arial" w:cs="Arial" w:eastAsia="Arial" w:hAnsi="Arial"/>
          <w:sz w:val="21"/>
          <w:szCs w:val="21"/>
          <w:color w:val="auto"/>
        </w:rPr>
      </w:pPr>
    </w:p>
    <w:p>
      <w:pPr>
        <w:jc w:val="both"/>
        <w:ind w:firstLine="8"/>
        <w:spacing w:after="0" w:line="396" w:lineRule="auto"/>
        <w:tabs>
          <w:tab w:leader="none" w:pos="641" w:val="left"/>
        </w:tabs>
        <w:numPr>
          <w:ilvl w:val="0"/>
          <w:numId w:val="38"/>
        </w:numPr>
        <w:rPr>
          <w:rFonts w:ascii="Arial" w:cs="Arial" w:eastAsia="Arial" w:hAnsi="Arial"/>
          <w:sz w:val="21"/>
          <w:szCs w:val="21"/>
          <w:color w:val="auto"/>
        </w:rPr>
      </w:pPr>
      <w:r>
        <w:rPr>
          <w:rFonts w:ascii="Arial" w:cs="Arial" w:eastAsia="Arial" w:hAnsi="Arial"/>
          <w:sz w:val="21"/>
          <w:szCs w:val="21"/>
          <w:color w:val="313131"/>
        </w:rPr>
        <w:t>No person or selling agency has been or will be employed or retained to solicit or secure any contract, including but not limited to, a United States government contract, upon an agreement or understanding for a commission, percentage, brokerage, or contingent fee, excepting bona fide employees or bona fide established commercial selling agencies maintained by the Consultant for the purpose of receiving business.</w:t>
      </w:r>
    </w:p>
    <w:p>
      <w:pPr>
        <w:spacing w:after="0" w:line="283" w:lineRule="exact"/>
        <w:rPr>
          <w:rFonts w:ascii="Arial" w:cs="Arial" w:eastAsia="Arial" w:hAnsi="Arial"/>
          <w:sz w:val="21"/>
          <w:szCs w:val="21"/>
          <w:color w:val="auto"/>
        </w:rPr>
      </w:pPr>
    </w:p>
    <w:p>
      <w:pPr>
        <w:ind w:firstLine="8"/>
        <w:spacing w:after="0" w:line="425" w:lineRule="auto"/>
        <w:tabs>
          <w:tab w:leader="none" w:pos="641" w:val="left"/>
        </w:tabs>
        <w:numPr>
          <w:ilvl w:val="0"/>
          <w:numId w:val="38"/>
        </w:numPr>
        <w:rPr>
          <w:rFonts w:ascii="Arial" w:cs="Arial" w:eastAsia="Arial" w:hAnsi="Arial"/>
          <w:sz w:val="21"/>
          <w:szCs w:val="21"/>
          <w:color w:val="auto"/>
        </w:rPr>
      </w:pPr>
      <w:r>
        <w:rPr>
          <w:rFonts w:ascii="Arial" w:cs="Arial" w:eastAsia="Arial" w:hAnsi="Arial"/>
          <w:sz w:val="21"/>
          <w:szCs w:val="21"/>
          <w:color w:val="313131"/>
        </w:rPr>
        <w:t>No classified, proprietary, source selection or procurement sensitive information has been or will be improperly solicited on behalf of or conveyed to NGSC or its affiliates.</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392" w:lineRule="exact"/>
        <w:rPr>
          <w:sz w:val="20"/>
          <w:szCs w:val="20"/>
          <w:color w:val="auto"/>
        </w:rPr>
      </w:pPr>
    </w:p>
    <w:p>
      <w:pPr>
        <w:jc w:val="both"/>
        <w:ind w:firstLine="8"/>
        <w:spacing w:after="0" w:line="470" w:lineRule="auto"/>
        <w:tabs>
          <w:tab w:leader="none" w:pos="641" w:val="left"/>
        </w:tabs>
        <w:numPr>
          <w:ilvl w:val="0"/>
          <w:numId w:val="39"/>
        </w:numPr>
        <w:rPr>
          <w:rFonts w:ascii="Arial" w:cs="Arial" w:eastAsia="Arial" w:hAnsi="Arial"/>
          <w:sz w:val="19"/>
          <w:szCs w:val="19"/>
          <w:color w:val="auto"/>
        </w:rPr>
      </w:pPr>
      <w:r>
        <w:rPr>
          <w:rFonts w:ascii="Arial" w:cs="Arial" w:eastAsia="Arial" w:hAnsi="Arial"/>
          <w:sz w:val="19"/>
          <w:szCs w:val="19"/>
          <w:color w:val="313131"/>
        </w:rPr>
        <w:t xml:space="preserve">Consultant has not improperly influenced or attempted to influence and will not influence or attempt to influence any United States government official or employee in connection with the award, extension, continuation, renewal, amendment or modification of a federal contract or otherwise engage in </w:t>
      </w:r>
      <w:r>
        <w:rPr>
          <w:rFonts w:ascii="Arial" w:cs="Arial" w:eastAsia="Arial" w:hAnsi="Arial"/>
          <w:sz w:val="17"/>
          <w:szCs w:val="17"/>
          <w:color w:val="313131"/>
        </w:rPr>
        <w:t>"</w:t>
      </w:r>
      <w:r>
        <w:rPr>
          <w:rFonts w:ascii="Arial" w:cs="Arial" w:eastAsia="Arial" w:hAnsi="Arial"/>
          <w:sz w:val="19"/>
          <w:szCs w:val="19"/>
          <w:color w:val="313131"/>
        </w:rPr>
        <w:t>non-exempt services</w:t>
      </w:r>
      <w:r>
        <w:rPr>
          <w:rFonts w:ascii="Arial" w:cs="Arial" w:eastAsia="Arial" w:hAnsi="Arial"/>
          <w:sz w:val="17"/>
          <w:szCs w:val="17"/>
          <w:color w:val="313131"/>
        </w:rPr>
        <w:t>"</w:t>
      </w:r>
      <w:r>
        <w:rPr>
          <w:rFonts w:ascii="Arial" w:cs="Arial" w:eastAsia="Arial" w:hAnsi="Arial"/>
          <w:sz w:val="19"/>
          <w:szCs w:val="19"/>
          <w:color w:val="313131"/>
        </w:rPr>
        <w:t xml:space="preserve"> within the meaning of the Byrd Amendment, 31 U.S.C. Section 1352.</w:t>
      </w:r>
    </w:p>
    <w:p>
      <w:pPr>
        <w:spacing w:after="0" w:line="174" w:lineRule="exact"/>
        <w:rPr>
          <w:rFonts w:ascii="Arial" w:cs="Arial" w:eastAsia="Arial" w:hAnsi="Arial"/>
          <w:sz w:val="19"/>
          <w:szCs w:val="19"/>
          <w:color w:val="auto"/>
        </w:rPr>
      </w:pPr>
    </w:p>
    <w:p>
      <w:pPr>
        <w:ind w:firstLine="8"/>
        <w:spacing w:after="0" w:line="480" w:lineRule="auto"/>
        <w:tabs>
          <w:tab w:leader="none" w:pos="641" w:val="left"/>
        </w:tabs>
        <w:numPr>
          <w:ilvl w:val="0"/>
          <w:numId w:val="39"/>
        </w:numPr>
        <w:rPr>
          <w:rFonts w:ascii="Arial" w:cs="Arial" w:eastAsia="Arial" w:hAnsi="Arial"/>
          <w:sz w:val="19"/>
          <w:szCs w:val="19"/>
          <w:color w:val="auto"/>
        </w:rPr>
      </w:pPr>
      <w:r>
        <w:rPr>
          <w:rFonts w:ascii="Arial" w:cs="Arial" w:eastAsia="Arial" w:hAnsi="Arial"/>
          <w:sz w:val="19"/>
          <w:szCs w:val="19"/>
          <w:color w:val="313131"/>
        </w:rPr>
        <w:t>Consultant has not utilized or employed and will not utilize or employ any third party, individual or entity, in connection with the performance of services on behalf of NGSC, except for administrative support (as subsequently identified) and as follows: None</w:t>
      </w:r>
    </w:p>
    <w:p>
      <w:pPr>
        <w:spacing w:after="0" w:line="125" w:lineRule="exact"/>
        <w:rPr>
          <w:rFonts w:ascii="Arial" w:cs="Arial" w:eastAsia="Arial" w:hAnsi="Arial"/>
          <w:sz w:val="19"/>
          <w:szCs w:val="19"/>
          <w:color w:val="auto"/>
        </w:rPr>
      </w:pPr>
    </w:p>
    <w:p>
      <w:pPr>
        <w:ind w:firstLine="8"/>
        <w:spacing w:after="0" w:line="444" w:lineRule="auto"/>
        <w:tabs>
          <w:tab w:leader="none" w:pos="745" w:val="left"/>
        </w:tabs>
        <w:numPr>
          <w:ilvl w:val="0"/>
          <w:numId w:val="39"/>
        </w:numPr>
        <w:rPr>
          <w:rFonts w:ascii="Arial" w:cs="Arial" w:eastAsia="Arial" w:hAnsi="Arial"/>
          <w:sz w:val="20"/>
          <w:szCs w:val="20"/>
          <w:color w:val="auto"/>
        </w:rPr>
      </w:pPr>
      <w:r>
        <w:rPr>
          <w:rFonts w:ascii="Arial" w:cs="Arial" w:eastAsia="Arial" w:hAnsi="Arial"/>
          <w:sz w:val="20"/>
          <w:szCs w:val="20"/>
          <w:color w:val="313131"/>
        </w:rPr>
        <w:t>No business or legal conflicts of interest exist between services performed or to be performed by Consultant on behalf of NGSC and by Consultant on behalf of any other client, the identities of which Consultant has fully disclosed to NGSC.</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21"/>
          <w:szCs w:val="21"/>
          <w:color w:val="313131"/>
        </w:rPr>
        <w:t>I declare under penalty of perjury that the foregoing certificate is true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____________________________</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Wesley G. Bush</w:t>
      </w:r>
    </w:p>
    <w:p>
      <w:pPr>
        <w:sectPr>
          <w:pgSz w:w="11900" w:h="16838" w:orient="portrait"/>
          <w:cols w:equalWidth="0" w:num="1">
            <w:col w:w="11420"/>
          </w:cols>
          <w:pgMar w:left="240" w:top="121" w:right="239" w:bottom="1440" w:gutter="0" w:footer="0" w:header="0"/>
        </w:sectPr>
      </w:pPr>
    </w:p>
    <w:bookmarkStart w:id="53" w:name="page54"/>
    <w:bookmarkEnd w:id="53"/>
    <w:p>
      <w:pPr>
        <w:jc w:val="center"/>
        <w:ind w:left="3120"/>
        <w:spacing w:after="0"/>
        <w:rPr>
          <w:sz w:val="20"/>
          <w:szCs w:val="20"/>
          <w:color w:val="auto"/>
        </w:rPr>
      </w:pPr>
      <w:r>
        <w:rPr>
          <w:rFonts w:ascii="Arial" w:cs="Arial" w:eastAsia="Arial" w:hAnsi="Arial"/>
          <w:sz w:val="21"/>
          <w:szCs w:val="21"/>
          <w:b w:val="1"/>
          <w:bCs w:val="1"/>
          <w:u w:val="single" w:color="auto"/>
          <w:color w:val="212121"/>
        </w:rPr>
        <w:t>ATTACHMENT B</w:t>
      </w:r>
    </w:p>
    <w:p>
      <w:pPr>
        <w:spacing w:after="0" w:line="110" w:lineRule="exact"/>
        <w:rPr>
          <w:sz w:val="20"/>
          <w:szCs w:val="20"/>
          <w:color w:val="auto"/>
        </w:rPr>
      </w:pPr>
    </w:p>
    <w:p>
      <w:pPr>
        <w:jc w:val="center"/>
        <w:ind w:left="3120"/>
        <w:spacing w:after="0"/>
        <w:rPr>
          <w:sz w:val="20"/>
          <w:szCs w:val="20"/>
          <w:color w:val="auto"/>
        </w:rPr>
      </w:pPr>
      <w:r>
        <w:rPr>
          <w:rFonts w:ascii="Arial" w:cs="Arial" w:eastAsia="Arial" w:hAnsi="Arial"/>
          <w:sz w:val="21"/>
          <w:szCs w:val="21"/>
          <w:b w:val="1"/>
          <w:bCs w:val="1"/>
          <w:u w:val="single" w:color="auto"/>
          <w:color w:val="212121"/>
        </w:rPr>
        <w:t>INVOICES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40" w:firstLine="662"/>
        <w:spacing w:after="0" w:line="313" w:lineRule="auto"/>
        <w:rPr>
          <w:sz w:val="20"/>
          <w:szCs w:val="20"/>
          <w:color w:val="auto"/>
        </w:rPr>
      </w:pPr>
      <w:r>
        <w:rPr>
          <w:rFonts w:ascii="Arial" w:cs="Arial" w:eastAsia="Arial" w:hAnsi="Arial"/>
          <w:sz w:val="19"/>
          <w:szCs w:val="19"/>
          <w:color w:val="343434"/>
        </w:rPr>
        <w:t>Each month Consultant shall submit an invoice clearly identifying the Agreement, specifying the time period covered, any days worked in excess of three (3) days in that month, and the fees and expenses claimed for that time period for which Consultant desires to be paid and enclosing the original receipts for all claimed expenses. NGSC shall pay Consultant's invoice within 45 days of receipt provided the invoice meets all of the requirements of this Attachment B. Each invoice must include the following certification:</w:t>
      </w:r>
    </w:p>
    <w:p>
      <w:pPr>
        <w:spacing w:after="0" w:line="197" w:lineRule="exact"/>
        <w:rPr>
          <w:sz w:val="20"/>
          <w:szCs w:val="20"/>
          <w:color w:val="auto"/>
        </w:rPr>
      </w:pPr>
    </w:p>
    <w:p>
      <w:pPr>
        <w:jc w:val="both"/>
        <w:ind w:left="680" w:firstLine="13"/>
        <w:spacing w:after="0" w:line="259" w:lineRule="auto"/>
        <w:rPr>
          <w:sz w:val="20"/>
          <w:szCs w:val="20"/>
          <w:color w:val="auto"/>
        </w:rPr>
      </w:pPr>
      <w:r>
        <w:rPr>
          <w:rFonts w:ascii="Arial" w:cs="Arial" w:eastAsia="Arial" w:hAnsi="Arial"/>
          <w:sz w:val="21"/>
          <w:szCs w:val="21"/>
          <w:color w:val="343434"/>
        </w:rPr>
        <w:t>"The undersigned certifies that the payment requested herein is correct and just, and that payment has not been received. The undersigned certifies that this invoice does not include any charges for services not authorized by the Agreement and, specifically, that no services have been performed involving the influence or attempt to influence any Federal agency officer or employee, any Member of Congress, officer or employee of Congress, or employee of a Member of Congress, in connection with any Federal action as defined in the Byrd Amendment (including the awarding, extension. continuation. renewal. amendment, or modification of any Federal contract).''</w:t>
      </w:r>
    </w:p>
    <w:p>
      <w:pPr>
        <w:spacing w:after="0" w:line="219" w:lineRule="exact"/>
        <w:rPr>
          <w:sz w:val="20"/>
          <w:szCs w:val="20"/>
          <w:color w:val="auto"/>
        </w:rPr>
      </w:pPr>
    </w:p>
    <w:p>
      <w:pPr>
        <w:jc w:val="both"/>
        <w:ind w:firstLine="662"/>
        <w:spacing w:after="0" w:line="271" w:lineRule="auto"/>
        <w:rPr>
          <w:sz w:val="20"/>
          <w:szCs w:val="20"/>
          <w:color w:val="auto"/>
        </w:rPr>
      </w:pPr>
      <w:r>
        <w:rPr>
          <w:rFonts w:ascii="Arial" w:cs="Arial" w:eastAsia="Arial" w:hAnsi="Arial"/>
          <w:sz w:val="20"/>
          <w:szCs w:val="20"/>
          <w:color w:val="343434"/>
        </w:rPr>
        <w:t>Unless your services are fully described and accurately recorded in this fashion, your fees will not be paid by NGSC. You are not authorized to engage in any activity covered by the Byrd Amendment (31 U.S.C. Section 1352), but if you do so you must clearly identify it in your invoice. Any and all liability arising from an erroneous representation shall be borne solely by you.</w:t>
      </w:r>
    </w:p>
    <w:p>
      <w:pPr>
        <w:sectPr>
          <w:pgSz w:w="11900" w:h="16838" w:orient="portrait"/>
          <w:cols w:equalWidth="0" w:num="1">
            <w:col w:w="11340"/>
          </w:cols>
          <w:pgMar w:left="320" w:top="458" w:right="239" w:bottom="1440" w:gutter="0" w:footer="0" w:header="0"/>
        </w:sectPr>
      </w:pPr>
    </w:p>
    <w:bookmarkStart w:id="54" w:name="page55"/>
    <w:bookmarkEnd w:id="54"/>
    <w:p>
      <w:pPr>
        <w:jc w:val="center"/>
        <w:ind w:right="-1320"/>
        <w:spacing w:after="0"/>
        <w:rPr>
          <w:sz w:val="20"/>
          <w:szCs w:val="20"/>
          <w:color w:val="auto"/>
        </w:rPr>
      </w:pPr>
      <w:r>
        <w:rPr>
          <w:rFonts w:ascii="Arial" w:cs="Arial" w:eastAsia="Arial" w:hAnsi="Arial"/>
          <w:sz w:val="21"/>
          <w:szCs w:val="21"/>
          <w:b w:val="1"/>
          <w:bCs w:val="1"/>
          <w:u w:val="single" w:color="auto"/>
          <w:color w:val="242424"/>
        </w:rPr>
        <w:t>ATTACHMENT C</w:t>
      </w:r>
    </w:p>
    <w:p>
      <w:pPr>
        <w:spacing w:after="0" w:line="258" w:lineRule="exact"/>
        <w:rPr>
          <w:sz w:val="20"/>
          <w:szCs w:val="20"/>
          <w:color w:val="auto"/>
        </w:rPr>
      </w:pPr>
    </w:p>
    <w:p>
      <w:pPr>
        <w:ind w:left="3880"/>
        <w:spacing w:after="0"/>
        <w:rPr>
          <w:sz w:val="20"/>
          <w:szCs w:val="20"/>
          <w:color w:val="auto"/>
        </w:rPr>
      </w:pPr>
      <w:r>
        <w:rPr>
          <w:rFonts w:ascii="Arial" w:cs="Arial" w:eastAsia="Arial" w:hAnsi="Arial"/>
          <w:sz w:val="20"/>
          <w:szCs w:val="20"/>
          <w:b w:val="1"/>
          <w:bCs w:val="1"/>
          <w:u w:val="single" w:color="auto"/>
          <w:color w:val="242424"/>
        </w:rPr>
        <w:t>DIRECTORSHI</w:t>
      </w:r>
      <w:r>
        <w:rPr>
          <w:rFonts w:ascii="Arial" w:cs="Arial" w:eastAsia="Arial" w:hAnsi="Arial"/>
          <w:sz w:val="20"/>
          <w:szCs w:val="20"/>
          <w:b w:val="1"/>
          <w:bCs w:val="1"/>
          <w:u w:val="single" w:color="auto"/>
          <w:color w:val="626262"/>
        </w:rPr>
        <w:t>P</w:t>
      </w:r>
      <w:r>
        <w:rPr>
          <w:rFonts w:ascii="Arial" w:cs="Arial" w:eastAsia="Arial" w:hAnsi="Arial"/>
          <w:sz w:val="20"/>
          <w:szCs w:val="20"/>
          <w:b w:val="1"/>
          <w:bCs w:val="1"/>
          <w:u w:val="single" w:color="auto"/>
          <w:color w:val="242424"/>
        </w:rPr>
        <w:t>S AND EM</w:t>
      </w:r>
      <w:r>
        <w:rPr>
          <w:rFonts w:ascii="Arial" w:cs="Arial" w:eastAsia="Arial" w:hAnsi="Arial"/>
          <w:sz w:val="20"/>
          <w:szCs w:val="20"/>
          <w:b w:val="1"/>
          <w:bCs w:val="1"/>
          <w:u w:val="single" w:color="auto"/>
          <w:color w:val="626262"/>
        </w:rPr>
        <w:t>P</w:t>
      </w:r>
      <w:r>
        <w:rPr>
          <w:rFonts w:ascii="Arial" w:cs="Arial" w:eastAsia="Arial" w:hAnsi="Arial"/>
          <w:sz w:val="20"/>
          <w:szCs w:val="20"/>
          <w:b w:val="1"/>
          <w:bCs w:val="1"/>
          <w:u w:val="single" w:color="auto"/>
          <w:color w:val="242424"/>
        </w:rPr>
        <w:t>LO</w:t>
      </w:r>
      <w:r>
        <w:rPr>
          <w:rFonts w:ascii="Arial" w:cs="Arial" w:eastAsia="Arial" w:hAnsi="Arial"/>
          <w:sz w:val="20"/>
          <w:szCs w:val="20"/>
          <w:b w:val="1"/>
          <w:bCs w:val="1"/>
          <w:u w:val="single" w:color="auto"/>
          <w:color w:val="626262"/>
        </w:rPr>
        <w:t>Y</w:t>
      </w:r>
      <w:r>
        <w:rPr>
          <w:rFonts w:ascii="Arial" w:cs="Arial" w:eastAsia="Arial" w:hAnsi="Arial"/>
          <w:sz w:val="20"/>
          <w:szCs w:val="20"/>
          <w:b w:val="1"/>
          <w:bCs w:val="1"/>
          <w:u w:val="single" w:color="auto"/>
          <w:color w:val="242424"/>
        </w:rPr>
        <w:t>MENT</w:t>
      </w:r>
    </w:p>
    <w:p>
      <w:pPr>
        <w:spacing w:after="0" w:line="270" w:lineRule="exact"/>
        <w:rPr>
          <w:sz w:val="20"/>
          <w:szCs w:val="20"/>
          <w:color w:val="auto"/>
        </w:rPr>
      </w:pPr>
    </w:p>
    <w:p>
      <w:pPr>
        <w:ind w:left="120"/>
        <w:spacing w:after="0"/>
        <w:tabs>
          <w:tab w:leader="none" w:pos="1960" w:val="left"/>
        </w:tabs>
        <w:rPr>
          <w:sz w:val="20"/>
          <w:szCs w:val="20"/>
          <w:color w:val="auto"/>
        </w:rPr>
      </w:pPr>
      <w:r>
        <w:rPr>
          <w:rFonts w:ascii="Arial" w:cs="Arial" w:eastAsia="Arial" w:hAnsi="Arial"/>
          <w:sz w:val="21"/>
          <w:szCs w:val="21"/>
          <w:b w:val="1"/>
          <w:bCs w:val="1"/>
          <w:u w:val="single" w:color="auto"/>
          <w:color w:val="242424"/>
        </w:rPr>
        <w:t>Name of Com</w:t>
      </w:r>
      <w:r>
        <w:rPr>
          <w:rFonts w:ascii="Arial" w:cs="Arial" w:eastAsia="Arial" w:hAnsi="Arial"/>
          <w:sz w:val="21"/>
          <w:szCs w:val="21"/>
          <w:b w:val="1"/>
          <w:bCs w:val="1"/>
          <w:u w:val="single" w:color="auto"/>
          <w:color w:val="626262"/>
        </w:rPr>
        <w:t>p</w:t>
      </w:r>
      <w:r>
        <w:rPr>
          <w:rFonts w:ascii="Arial" w:cs="Arial" w:eastAsia="Arial" w:hAnsi="Arial"/>
          <w:sz w:val="21"/>
          <w:szCs w:val="21"/>
          <w:b w:val="1"/>
          <w:bCs w:val="1"/>
          <w:u w:val="single" w:color="auto"/>
          <w:color w:val="242424"/>
        </w:rPr>
        <w:t>an</w:t>
      </w:r>
      <w:r>
        <w:rPr>
          <w:rFonts w:ascii="Arial" w:cs="Arial" w:eastAsia="Arial" w:hAnsi="Arial"/>
          <w:sz w:val="21"/>
          <w:szCs w:val="21"/>
          <w:b w:val="1"/>
          <w:bCs w:val="1"/>
          <w:u w:val="single" w:color="auto"/>
          <w:color w:val="626262"/>
        </w:rPr>
        <w:t>y</w:t>
      </w:r>
      <w:r>
        <w:rPr>
          <w:sz w:val="20"/>
          <w:szCs w:val="20"/>
          <w:color w:val="auto"/>
        </w:rPr>
        <w:tab/>
      </w:r>
      <w:r>
        <w:rPr>
          <w:rFonts w:ascii="Arial" w:cs="Arial" w:eastAsia="Arial" w:hAnsi="Arial"/>
          <w:sz w:val="18"/>
          <w:szCs w:val="18"/>
          <w:b w:val="1"/>
          <w:bCs w:val="1"/>
          <w:u w:val="single" w:color="auto"/>
          <w:color w:val="242424"/>
        </w:rPr>
        <w:t>Res</w:t>
      </w:r>
      <w:r>
        <w:rPr>
          <w:rFonts w:ascii="Arial" w:cs="Arial" w:eastAsia="Arial" w:hAnsi="Arial"/>
          <w:sz w:val="18"/>
          <w:szCs w:val="18"/>
          <w:b w:val="1"/>
          <w:bCs w:val="1"/>
          <w:u w:val="single" w:color="auto"/>
          <w:color w:val="626262"/>
        </w:rPr>
        <w:t>p</w:t>
      </w:r>
      <w:r>
        <w:rPr>
          <w:rFonts w:ascii="Arial" w:cs="Arial" w:eastAsia="Arial" w:hAnsi="Arial"/>
          <w:sz w:val="18"/>
          <w:szCs w:val="18"/>
          <w:b w:val="1"/>
          <w:bCs w:val="1"/>
          <w:u w:val="single" w:color="auto"/>
          <w:color w:val="242424"/>
        </w:rPr>
        <w:t>onsibilities/Duties</w:t>
      </w:r>
    </w:p>
    <w:p>
      <w:pPr>
        <w:sectPr>
          <w:pgSz w:w="11900" w:h="16838" w:orient="portrait"/>
          <w:cols w:equalWidth="0" w:num="1">
            <w:col w:w="10219"/>
          </w:cols>
          <w:pgMar w:left="240" w:top="431"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Dow</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General Motors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Cisco</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Director</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Director</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Director</w:t>
      </w:r>
    </w:p>
    <w:p>
      <w:pPr>
        <w:spacing w:after="0" w:line="200" w:lineRule="exact"/>
        <w:rPr>
          <w:sz w:val="20"/>
          <w:szCs w:val="20"/>
          <w:color w:val="auto"/>
        </w:rPr>
      </w:pPr>
    </w:p>
    <w:p>
      <w:pPr>
        <w:sectPr>
          <w:pgSz w:w="11900" w:h="16838" w:orient="portrait"/>
          <w:cols w:equalWidth="0" w:num="2">
            <w:col w:w="1440" w:space="720"/>
            <w:col w:w="8059"/>
          </w:cols>
          <w:pgMar w:left="240" w:top="431" w:right="1440" w:bottom="1440" w:gutter="0" w:footer="0" w:header="0"/>
          <w:type w:val="continuous"/>
        </w:sectPr>
      </w:pPr>
    </w:p>
    <w:p>
      <w:pPr>
        <w:spacing w:after="0" w:line="42"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Conservation International Inova Health Systems MIT Corporation Darden Foundation Capital CoLab</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9"/>
          <w:szCs w:val="19"/>
          <w:color w:val="auto"/>
        </w:rPr>
        <w:t>Director</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Trustee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9"/>
          <w:szCs w:val="19"/>
          <w:color w:val="auto"/>
        </w:rPr>
        <w:t>Term Member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Trustee</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Board Member</w:t>
      </w:r>
    </w:p>
    <w:p>
      <w:pPr>
        <w:spacing w:after="0" w:line="200" w:lineRule="exact"/>
        <w:rPr>
          <w:sz w:val="20"/>
          <w:szCs w:val="20"/>
          <w:color w:val="auto"/>
        </w:rPr>
      </w:pPr>
    </w:p>
    <w:p>
      <w:pPr>
        <w:sectPr>
          <w:pgSz w:w="11900" w:h="16838" w:orient="portrait"/>
          <w:cols w:equalWidth="0" w:num="2">
            <w:col w:w="2320" w:space="460"/>
            <w:col w:w="7439"/>
          </w:cols>
          <w:pgMar w:left="240" w:top="431" w:right="1440"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Golden Paws Foundation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Director</w:t>
      </w:r>
    </w:p>
    <w:p>
      <w:pPr>
        <w:sectPr>
          <w:pgSz w:w="11900" w:h="16838" w:orient="portrait"/>
          <w:cols w:equalWidth="0" w:num="2">
            <w:col w:w="2560" w:space="720"/>
            <w:col w:w="6939"/>
          </w:cols>
          <w:pgMar w:left="240" w:top="431" w:right="1440" w:bottom="1440" w:gutter="0" w:footer="0" w:header="0"/>
          <w:type w:val="continuous"/>
        </w:sectPr>
      </w:pPr>
    </w:p>
    <w:bookmarkStart w:id="55" w:name="page56"/>
    <w:bookmarkEnd w:id="55"/>
    <w:p>
      <w:pPr>
        <w:ind w:left="6340"/>
        <w:spacing w:after="0"/>
        <w:rPr>
          <w:sz w:val="20"/>
          <w:szCs w:val="20"/>
          <w:color w:val="auto"/>
        </w:rPr>
      </w:pPr>
      <w:r>
        <w:rPr>
          <w:rFonts w:ascii="Arial" w:cs="Arial" w:eastAsia="Arial" w:hAnsi="Arial"/>
          <w:sz w:val="21"/>
          <w:szCs w:val="21"/>
          <w:b w:val="1"/>
          <w:bCs w:val="1"/>
          <w:u w:val="single" w:color="auto"/>
          <w:color w:val="212121"/>
        </w:rPr>
        <w:t>ATTACHMENT D</w:t>
      </w:r>
    </w:p>
    <w:p>
      <w:pPr>
        <w:spacing w:after="0" w:line="272"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525252"/>
        </w:rPr>
        <w:t>C</w:t>
      </w:r>
      <w:r>
        <w:rPr>
          <w:rFonts w:ascii="Arial" w:cs="Arial" w:eastAsia="Arial" w:hAnsi="Arial"/>
          <w:sz w:val="21"/>
          <w:szCs w:val="21"/>
          <w:b w:val="1"/>
          <w:bCs w:val="1"/>
          <w:color w:val="212121"/>
        </w:rPr>
        <w:t>ONSULTANT CERTIFICATE REGARDING NORTHROP GRUMMAN CORPORATION STANDARDS OF</w:t>
      </w:r>
    </w:p>
    <w:p>
      <w:pPr>
        <w:spacing w:after="0" w:line="42"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212121"/>
        </w:rPr>
        <w:t>BUSINESS CONDUCT</w:t>
      </w:r>
    </w:p>
    <w:p>
      <w:pPr>
        <w:spacing w:after="0" w:line="258" w:lineRule="exact"/>
        <w:rPr>
          <w:sz w:val="20"/>
          <w:szCs w:val="20"/>
          <w:color w:val="auto"/>
        </w:rPr>
      </w:pPr>
    </w:p>
    <w:p>
      <w:pPr>
        <w:ind w:left="6480"/>
        <w:spacing w:after="0"/>
        <w:rPr>
          <w:sz w:val="20"/>
          <w:szCs w:val="20"/>
          <w:color w:val="auto"/>
        </w:rPr>
      </w:pPr>
      <w:r>
        <w:rPr>
          <w:rFonts w:ascii="Arial" w:cs="Arial" w:eastAsia="Arial" w:hAnsi="Arial"/>
          <w:sz w:val="21"/>
          <w:szCs w:val="21"/>
          <w:b w:val="1"/>
          <w:bCs w:val="1"/>
          <w:color w:val="212121"/>
        </w:rPr>
        <w:t>Wesley G. Bush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945"/>
        <w:spacing w:after="0" w:line="304" w:lineRule="auto"/>
        <w:rPr>
          <w:sz w:val="20"/>
          <w:szCs w:val="20"/>
          <w:color w:val="auto"/>
        </w:rPr>
      </w:pPr>
      <w:r>
        <w:rPr>
          <w:rFonts w:ascii="Arial" w:cs="Arial" w:eastAsia="Arial" w:hAnsi="Arial"/>
          <w:sz w:val="21"/>
          <w:szCs w:val="21"/>
          <w:color w:val="333333"/>
        </w:rPr>
        <w:t xml:space="preserve">I, Wesley G. Bush. do hereby certify that I am familiar with and will act in full accordance with Northrop Grumman Corporation’s </w:t>
      </w:r>
      <w:r>
        <w:rPr>
          <w:rFonts w:ascii="Arial" w:cs="Arial" w:eastAsia="Arial" w:hAnsi="Arial"/>
          <w:sz w:val="19"/>
          <w:szCs w:val="19"/>
          <w:color w:val="313131"/>
        </w:rPr>
        <w:t>"</w:t>
      </w:r>
      <w:r>
        <w:rPr>
          <w:rFonts w:ascii="Arial" w:cs="Arial" w:eastAsia="Arial" w:hAnsi="Arial"/>
          <w:sz w:val="19"/>
          <w:szCs w:val="19"/>
          <w:color w:val="333333"/>
        </w:rPr>
        <w:t>S</w:t>
      </w:r>
      <w:r>
        <w:rPr>
          <w:rFonts w:ascii="Arial" w:cs="Arial" w:eastAsia="Arial" w:hAnsi="Arial"/>
          <w:sz w:val="21"/>
          <w:szCs w:val="21"/>
          <w:color w:val="333333"/>
        </w:rPr>
        <w:t>tandards of Business Conduct</w:t>
      </w:r>
      <w:r>
        <w:rPr>
          <w:rFonts w:ascii="Arial" w:cs="Arial" w:eastAsia="Arial" w:hAnsi="Arial"/>
          <w:sz w:val="21"/>
          <w:szCs w:val="21"/>
          <w:color w:val="313131"/>
        </w:rPr>
        <w:t>" and all applicable corporate policies</w:t>
      </w:r>
      <w:r>
        <w:rPr>
          <w:rFonts w:ascii="Arial" w:cs="Arial" w:eastAsia="Arial" w:hAnsi="Arial"/>
          <w:sz w:val="19"/>
          <w:szCs w:val="19"/>
          <w:color w:val="313131"/>
        </w:rPr>
        <w:t>.</w:t>
      </w: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____________________</w:t>
      </w:r>
    </w:p>
    <w:p>
      <w:pPr>
        <w:spacing w:after="0" w:line="42" w:lineRule="exact"/>
        <w:rPr>
          <w:sz w:val="20"/>
          <w:szCs w:val="20"/>
          <w:color w:val="auto"/>
        </w:rPr>
      </w:pPr>
    </w:p>
    <w:p>
      <w:pPr>
        <w:jc w:val="center"/>
        <w:ind w:left="460"/>
        <w:spacing w:after="0"/>
        <w:rPr>
          <w:sz w:val="20"/>
          <w:szCs w:val="20"/>
          <w:color w:val="auto"/>
        </w:rPr>
      </w:pPr>
      <w:r>
        <w:rPr>
          <w:rFonts w:ascii="Arial" w:cs="Arial" w:eastAsia="Arial" w:hAnsi="Arial"/>
          <w:sz w:val="21"/>
          <w:szCs w:val="21"/>
          <w:color w:val="auto"/>
        </w:rPr>
        <w:t>Wesley G. Bush</w:t>
      </w:r>
    </w:p>
    <w:p>
      <w:pPr>
        <w:sectPr>
          <w:pgSz w:w="11900" w:h="16838" w:orient="portrait"/>
          <w:cols w:equalWidth="0" w:num="1">
            <w:col w:w="11340"/>
          </w:cols>
          <w:pgMar w:left="320" w:top="41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September 30, 2019, and 2018, as indicated in our report dated October 23, 2019; because we did not perform an audit, we expressed no opinion on that information.</w:t>
      </w:r>
    </w:p>
    <w:p>
      <w:pPr>
        <w:spacing w:after="0" w:line="46"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We are aware that our report referred to above, which is included in your Quarterly Report on Form 10-Q for the quarter ended September 30, 2019, is incorporated by reference in Registration Statement Nos. 033-59815, 033-59853, 333-67266, 333-100179, 333-107734, 333-121104, 333-125120, 333-127317, and 333-175798 on Form S-8; and Registration Statement No. 333-217087 on Form S-3.</w:t>
      </w:r>
    </w:p>
    <w:p>
      <w:pPr>
        <w:spacing w:after="0" w:line="30" w:lineRule="exact"/>
        <w:rPr>
          <w:sz w:val="20"/>
          <w:szCs w:val="20"/>
          <w:color w:val="auto"/>
        </w:rPr>
      </w:pPr>
    </w:p>
    <w:p>
      <w:pPr>
        <w:jc w:val="both"/>
        <w:ind w:right="54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23, 2019</w:t>
      </w:r>
    </w:p>
    <w:p>
      <w:pPr>
        <w:sectPr>
          <w:pgSz w:w="11900" w:h="16838" w:orient="portrait"/>
          <w:cols w:equalWidth="0" w:num="1">
            <w:col w:w="11420"/>
          </w:cols>
          <w:pgMar w:left="240" w:top="5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Kenneth L. Bedingfield, certify that:</w:t>
      </w:r>
    </w:p>
    <w:p>
      <w:pPr>
        <w:spacing w:after="0" w:line="9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6"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644"/>
        <w:spacing w:after="0" w:line="334"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6" w:lineRule="exact"/>
        <w:rPr>
          <w:rFonts w:ascii="Arial" w:cs="Arial" w:eastAsia="Arial" w:hAnsi="Arial"/>
          <w:sz w:val="18"/>
          <w:szCs w:val="18"/>
          <w:color w:val="auto"/>
        </w:rPr>
      </w:pPr>
    </w:p>
    <w:p>
      <w:pPr>
        <w:ind w:left="660" w:right="22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620" w:hanging="644"/>
        <w:spacing w:after="0" w:line="334"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September 30, 2019,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September 30, 2019, as filed with the Securities and Exchange Commission on the date hereof (the “Report”), I, Kenneth L. Bedingfield, Corporate Vice President and Chief Financial Officer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hanging="648"/>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23, 2019</w:t>
      </w:r>
    </w:p>
    <w:p>
      <w:pPr>
        <w:spacing w:after="0" w:line="200" w:lineRule="exact"/>
        <w:rPr>
          <w:sz w:val="20"/>
          <w:szCs w:val="20"/>
          <w:color w:val="auto"/>
        </w:rPr>
      </w:pPr>
    </w:p>
    <w:p>
      <w:pPr>
        <w:spacing w:after="0" w:line="237" w:lineRule="exact"/>
        <w:rPr>
          <w:sz w:val="20"/>
          <w:szCs w:val="20"/>
          <w:color w:val="auto"/>
        </w:rPr>
      </w:pPr>
    </w:p>
    <w:p>
      <w:pPr>
        <w:jc w:val="center"/>
        <w:ind w:left="5860"/>
        <w:spacing w:after="0"/>
        <w:rPr>
          <w:sz w:val="20"/>
          <w:szCs w:val="20"/>
          <w:color w:val="auto"/>
        </w:rPr>
      </w:pPr>
      <w:r>
        <w:rPr>
          <w:rFonts w:ascii="Arial" w:cs="Arial" w:eastAsia="Arial" w:hAnsi="Arial"/>
          <w:sz w:val="18"/>
          <w:szCs w:val="18"/>
          <w:b w:val="1"/>
          <w:bCs w:val="1"/>
          <w:color w:val="auto"/>
        </w:rPr>
        <w:t>/s/ Kenneth L. Bedingfield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34290</wp:posOffset>
            </wp:positionV>
            <wp:extent cx="3533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61"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Kenneth L. Bedingfield</w:t>
      </w:r>
    </w:p>
    <w:p>
      <w:pPr>
        <w:spacing w:after="0" w:line="6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upperLetter"/>
      <w:start w:val="9"/>
    </w:lvl>
  </w:abstractNum>
  <w:abstractNum w:abstractNumId="20">
    <w:nsid w:val="6CEAF087"/>
    <w:multiLevelType w:val="hybridMultilevel"/>
    <w:lvl w:ilvl="0">
      <w:lvlJc w:val="left"/>
      <w:lvlText w:val="%1."/>
      <w:numFmt w:val="upperLetter"/>
      <w:start w:val="35"/>
    </w:lvl>
  </w:abstractNum>
  <w:abstractNum w:abstractNumId="21">
    <w:nsid w:val="22221A70"/>
    <w:multiLevelType w:val="hybridMultilevel"/>
    <w:lvl w:ilvl="0">
      <w:lvlJc w:val="left"/>
      <w:lvlText w:val="%1."/>
      <w:numFmt w:val="upperLetter"/>
      <w:start w:val="61"/>
    </w:lvl>
  </w:abstractNum>
  <w:abstractNum w:abstractNumId="22">
    <w:nsid w:val="4516DDE9"/>
    <w:multiLevelType w:val="hybridMultilevel"/>
    <w:lvl w:ilvl="0">
      <w:lvlJc w:val="left"/>
      <w:lvlText w:val="%1."/>
      <w:numFmt w:val="upperLetter"/>
      <w:start w:val="1"/>
    </w:lvl>
  </w:abstractNum>
  <w:abstractNum w:abstractNumId="23">
    <w:nsid w:val="3006C83E"/>
    <w:multiLevelType w:val="hybridMultilevel"/>
    <w:lvl w:ilvl="0">
      <w:lvlJc w:val="left"/>
      <w:lvlText w:val="%1"/>
      <w:numFmt w:val="upperLetter"/>
      <w:start w:val="1"/>
    </w:lvl>
    <w:lvl w:ilvl="1">
      <w:lvlJc w:val="left"/>
      <w:lvlText w:val="%2."/>
      <w:numFmt w:val="upperLetter"/>
      <w:start w:val="2"/>
    </w:lvl>
  </w:abstractNum>
  <w:abstractNum w:abstractNumId="24">
    <w:nsid w:val="614FD4A1"/>
    <w:multiLevelType w:val="hybridMultilevel"/>
    <w:lvl w:ilvl="0">
      <w:lvlJc w:val="left"/>
      <w:lvlText w:val="%1."/>
      <w:numFmt w:val="upperLetter"/>
      <w:start w:val="22"/>
    </w:lvl>
    <w:lvl w:ilvl="1">
      <w:lvlJc w:val="left"/>
      <w:lvlText w:val="%2"/>
      <w:numFmt w:val="upperLetter"/>
      <w:start w:val="1"/>
    </w:lvl>
  </w:abstractNum>
  <w:abstractNum w:abstractNumId="25">
    <w:nsid w:val="419AC241"/>
    <w:multiLevelType w:val="hybridMultilevel"/>
    <w:lvl w:ilvl="0">
      <w:lvlJc w:val="left"/>
      <w:lvlText w:val="%1."/>
      <w:numFmt w:val="upperLetter"/>
      <w:start w:val="1"/>
    </w:lvl>
  </w:abstractNum>
  <w:abstractNum w:abstractNumId="26">
    <w:nsid w:val="5577F8E1"/>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27">
    <w:nsid w:val="440BADFC"/>
    <w:multiLevelType w:val="hybridMultilevel"/>
    <w:lvl w:ilvl="0">
      <w:lvlJc w:val="left"/>
      <w:lvlText w:val="%1."/>
      <w:numFmt w:val="upperLetter"/>
      <w:start w:val="24"/>
    </w:lvl>
  </w:abstractNum>
  <w:abstractNum w:abstractNumId="28">
    <w:nsid w:val="5072367"/>
    <w:multiLevelType w:val="hybridMultilevel"/>
    <w:lvl w:ilvl="0">
      <w:lvlJc w:val="left"/>
      <w:lvlText w:val="%1."/>
      <w:numFmt w:val="upperLetter"/>
      <w:start w:val="1"/>
    </w:lvl>
  </w:abstractNum>
  <w:abstractNum w:abstractNumId="29">
    <w:nsid w:val="3804823E"/>
    <w:multiLevelType w:val="hybridMultilevel"/>
    <w:lvl w:ilvl="0">
      <w:lvlJc w:val="left"/>
      <w:lvlText w:val="%1"/>
      <w:numFmt w:val="upperLetter"/>
      <w:start w:val="1"/>
    </w:lvl>
    <w:lvl w:ilvl="1">
      <w:lvlJc w:val="left"/>
      <w:lvlText w:val="%2."/>
      <w:numFmt w:val="upperLetter"/>
      <w:start w:val="2"/>
    </w:lvl>
  </w:abstractNum>
  <w:abstractNum w:abstractNumId="30">
    <w:nsid w:val="77465F01"/>
    <w:multiLevelType w:val="hybridMultilevel"/>
    <w:lvl w:ilvl="0">
      <w:lvlJc w:val="left"/>
      <w:lvlText w:val="%1."/>
      <w:numFmt w:val="upperLetter"/>
      <w:start w:val="3"/>
    </w:lvl>
    <w:lvl w:ilvl="1">
      <w:lvlJc w:val="left"/>
      <w:lvlText w:val="%2"/>
      <w:numFmt w:val="upperLetter"/>
      <w:start w:val="1"/>
    </w:lvl>
  </w:abstractNum>
  <w:abstractNum w:abstractNumId="31">
    <w:nsid w:val="7724C67E"/>
    <w:multiLevelType w:val="hybridMultilevel"/>
    <w:lvl w:ilvl="0">
      <w:lvlJc w:val="left"/>
      <w:lvlText w:val="%1."/>
      <w:numFmt w:val="upperLetter"/>
      <w:start w:val="5"/>
    </w:lvl>
  </w:abstractNum>
  <w:abstractNum w:abstractNumId="32">
    <w:nsid w:val="5C482A97"/>
    <w:multiLevelType w:val="hybridMultilevel"/>
    <w:lvl w:ilvl="0">
      <w:lvlJc w:val="left"/>
      <w:lvlText w:val="%1"/>
      <w:numFmt w:val="upperLetter"/>
      <w:start w:val="1"/>
    </w:lvl>
    <w:lvl w:ilvl="1">
      <w:lvlJc w:val="left"/>
      <w:lvlText w:val="%2."/>
      <w:numFmt w:val="upperLetter"/>
      <w:start w:val="6"/>
    </w:lvl>
  </w:abstractNum>
  <w:abstractNum w:abstractNumId="33">
    <w:nsid w:val="2463B9EA"/>
    <w:multiLevelType w:val="hybridMultilevel"/>
    <w:lvl w:ilvl="0">
      <w:lvlJc w:val="left"/>
      <w:lvlText w:val="%1."/>
      <w:numFmt w:val="upperLetter"/>
      <w:start w:val="1"/>
    </w:lvl>
  </w:abstractNum>
  <w:abstractNum w:abstractNumId="34">
    <w:nsid w:val="5E884ADC"/>
    <w:multiLevelType w:val="hybridMultilevel"/>
    <w:lvl w:ilvl="0">
      <w:lvlJc w:val="left"/>
      <w:lvlText w:val="%1."/>
      <w:numFmt w:val="upperLetter"/>
      <w:start w:val="50"/>
    </w:lvl>
  </w:abstractNum>
  <w:abstractNum w:abstractNumId="35">
    <w:nsid w:val="51EAD36B"/>
    <w:multiLevelType w:val="hybridMultilevel"/>
    <w:lvl w:ilvl="0">
      <w:lvlJc w:val="left"/>
      <w:lvlText w:val="%1"/>
      <w:numFmt w:val="upperLetter"/>
      <w:start w:val="1"/>
    </w:lvl>
    <w:lvl w:ilvl="1">
      <w:lvlJc w:val="left"/>
      <w:lvlText w:val="%2."/>
      <w:numFmt w:val="upperLetter"/>
      <w:start w:val="1"/>
    </w:lvl>
  </w:abstractNum>
  <w:abstractNum w:abstractNumId="36">
    <w:nsid w:val="2D517796"/>
    <w:multiLevelType w:val="hybridMultilevel"/>
    <w:lvl w:ilvl="0">
      <w:lvlJc w:val="left"/>
      <w:lvlText w:val="%1."/>
      <w:numFmt w:val="upperLetter"/>
      <w:start w:val="4"/>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8"/>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13" Type="http://schemas.openxmlformats.org/officeDocument/2006/relationships/hyperlink" Target="http://www.sec.gov/Archives/edgar/data/1133421/000095012311032455/v59140exv10w1.htm" TargetMode="External"/><Relationship Id="rId14" Type="http://schemas.openxmlformats.org/officeDocument/2006/relationships/hyperlink" Target="http://www.sec.gov/Archives/edgar/data/1133421/000095012311032455/v59140exv10w2.htm" TargetMode="External"/><Relationship Id="rId15" Type="http://schemas.openxmlformats.org/officeDocument/2006/relationships/hyperlink" Target="http://www.sec.gov/Archives/edgar/data/1133421/000095015717001299/ex2-1.htm" TargetMode="External"/><Relationship Id="rId16"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2019-12-28T05:07:44Z</dcterms:created>
  <dcterms:modified xsi:type="dcterms:W3CDTF">2019-12-28T05:07:44Z</dcterms:modified>
</cp:coreProperties>
</file>