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25"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9"/>
        </w:trPr>
        <w:tc>
          <w:tcPr>
            <w:tcW w:w="1480" w:type="dxa"/>
            <w:vAlign w:val="bottom"/>
          </w:tcPr>
          <w:p>
            <w:pPr>
              <w:spacing w:after="0"/>
              <w:rPr>
                <w:sz w:val="16"/>
                <w:szCs w:val="16"/>
                <w:color w:val="auto"/>
              </w:rPr>
            </w:pPr>
          </w:p>
        </w:tc>
        <w:tc>
          <w:tcPr>
            <w:tcW w:w="5640" w:type="dxa"/>
            <w:vAlign w:val="bottom"/>
            <w:gridSpan w:val="2"/>
          </w:tcPr>
          <w:p>
            <w:pPr>
              <w:jc w:val="center"/>
              <w:ind w:right="311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08"/>
        </w:trPr>
        <w:tc>
          <w:tcPr>
            <w:tcW w:w="14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30"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4"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16, 2026, 142,033,476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350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7"/>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772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10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7,958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r>
      <w:tr>
        <w:trPr>
          <w:trHeight w:val="229"/>
        </w:trPr>
        <w:tc>
          <w:tcPr>
            <w:tcW w:w="88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1,923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9,881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6,433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r>
      <w:tr>
        <w:trPr>
          <w:trHeight w:val="230"/>
        </w:trPr>
        <w:tc>
          <w:tcPr>
            <w:tcW w:w="8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29"/>
        </w:trPr>
        <w:tc>
          <w:tcPr>
            <w:tcW w:w="88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971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8,892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8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03"/>
        </w:trPr>
        <w:tc>
          <w:tcPr>
            <w:tcW w:w="10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7"/>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6.14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6"/>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03"/>
        </w:trPr>
        <w:tc>
          <w:tcPr>
            <w:tcW w:w="108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0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2,090</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7,556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14,770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$9,854 for 2026 and $9,648 for 2025</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10,243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17,439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1,580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51,377</w:t>
            </w: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2,681</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3,697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4,711</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12,821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$758 for 2026 and $534 for 2025</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14,411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1,905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2,660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32,892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129"/>
        </w:trPr>
        <w:tc>
          <w:tcPr>
            <w:tcW w:w="7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2026—142,033,476</w:t>
            </w:r>
          </w:p>
        </w:tc>
        <w:tc>
          <w:tcPr>
            <w:tcW w:w="20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2025—141,997,194</w:t>
            </w:r>
          </w:p>
        </w:tc>
        <w:tc>
          <w:tcPr>
            <w:tcW w:w="2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17,096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17,115</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51,377</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B-21 loss provision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50"/>
        </w:trPr>
        <w:tc>
          <w:tcPr>
            <w:tcW w:w="8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50"/>
        </w:trPr>
        <w:tc>
          <w:tcPr>
            <w:tcW w:w="8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borrowings on commercial paper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4,403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88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16,658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15,297</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8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17,096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8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17,115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36"/>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spacing w:after="0" w:line="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modified our presentation of the changes in liabilities in the operating cash flow section of the consolidated statement of cash flows by disaggregating Accounts payable and other liabilities into three separate line items: Accounts payable, Advance payments and billings in excess of costs incurred, and Other liabilities. Prior period amounts have been conformed to the current period presentation. The modified presentation does not impact previously reported cash provided by operating activities.</w:t>
      </w:r>
    </w:p>
    <w:p>
      <w:pPr>
        <w:spacing w:after="0" w:line="5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reported in the financial statements are not necessarily indicative of results that may be expected for the entire year. The financial statements should be read in conjunction with the information contained in the company’s 2025 Annual Report on Form 10-K.</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obligation, the entire amount of the estimable future loss, including an allocation of general and administrative (G&amp;A) cost, is charged against income in the period the loss is identified.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low-rate initial production (LRIP) options of the B-21 program. During the first quarter of 2025, we recognized an additional $477 million loss across the five LRIP options. As of March 31, 2026, the remaining loss accrual on the B-21 program totaled $1.0 billion, which is included in Other current liabilities.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8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pacing w:after="0" w:line="167"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6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EAC adjustments can have a significant effect on the company’s financial statements. When such adjustments occur, we generally disclose the nature, underlying conditions and financial impact of the adjustments. In most cases, EAC adjustments have an equal impact on both revenue and operating income. However, for contracts in a forward loss position, the impact of EAC adjustments on revenue is different than the impact on operating income because changes in reach forward losses also impact cost of sales.</w:t>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2026 – During the first quarter of 2026, the company reached an agreement with the U.S. Air Force to expand production capacity and increase the aircraft production rate for the B-21 program at Aeronautics Systems. We made no significant changes to the previously recognized loss on the program; however, impacts from the agreement and higher estimated production costs resulted in a $157 million net unfavorable EAC adjustment on the first four LRIP lots, which was offset by a net reduction in the loss contingency accrual on the remainder of the program. The company also recorded a $71 million unfavorable EAC adjustment on the Graphite Epoxy Motor (GEM) 63XL program at Space Systems associated with the evaluation and implementation of corrective actions for a solid rocket motor anomaly that occurred during a Q1 2026 launch.</w:t>
      </w:r>
    </w:p>
    <w:p>
      <w:pPr>
        <w:spacing w:after="0" w:line="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2025 – During the first quarter of 2025, the company recorded a $226 million unfavorable EAC adjustment on the first and second LRIP lots of the B-21 program at Aeronautics Systems.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Company backlog as of March 31, 2026 was $95.6 billion. Of our March 31, 2026 backlog, we expect to recognize approximately 35 percent as revenue over the next 12 months and 60 percent as revenue over the next 24 months, with the remainder to be recognized thereafter.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months ended March 31, 2026 that was included in the December 31, 2025 contract liability balance was $1.8 billion. The amount of revenue recognized for the three months ended March 31, 2025 that was included in the December 31, 2024 contract liability balance was $1.9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connection with the company’s first quarter 2026 agreement with the U.S. Air Force to expand production capacity and increase the aircraft production rate for the B-21 program, we agreed to sell an aircraft to the U.S. Air Force that we had previously planned to utilize as a company-owned test asset. While the sale of this asset accelerates the LRIP aircraft delivery schedule, it does not change the number of aircraft we expect to deliver under the LRIP phase of the program. The test asset was under construction at the time of sale, and our construction costs prior to the agreement were recognized as capital expenditures and included in property, plant and equipment. The agreement to sell the asset resulted in a reduction of PP&amp;E during the first quarter of 2026; we had no material cash inflows related to the sale during the quarter.</w:t>
      </w:r>
    </w:p>
    <w:p>
      <w:pPr>
        <w:spacing w:after="0" w:line="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Non-cash investing activities for the three months ended March 31, 2026 and 2025 include capital expenditures incurred but not yet paid of $42 million and $44 million,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November 4,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2024-03; however, the standard will not have an impact on the company’s consolidated financial position, results of operations or cash flows.</w:t>
      </w:r>
    </w:p>
    <w:p>
      <w:pPr>
        <w:spacing w:after="0" w:line="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2025, the FASB issued ASU No. 2025-06 </w:t>
      </w:r>
      <w:r>
        <w:rPr>
          <w:rFonts w:ascii="Times New Roman" w:cs="Times New Roman" w:eastAsia="Times New Roman" w:hAnsi="Times New Roman"/>
          <w:sz w:val="18"/>
          <w:szCs w:val="18"/>
          <w:i w:val="1"/>
          <w:iCs w:val="1"/>
          <w:color w:val="auto"/>
        </w:rPr>
        <w:t>Targeted Improvements to the Accounting for Internal-Use Software (Subtopic 350-40)</w:t>
      </w:r>
      <w:r>
        <w:rPr>
          <w:rFonts w:ascii="Times New Roman" w:cs="Times New Roman" w:eastAsia="Times New Roman" w:hAnsi="Times New Roman"/>
          <w:sz w:val="18"/>
          <w:szCs w:val="18"/>
          <w:color w:val="auto"/>
        </w:rPr>
        <w:t>. ASU 2025-06 removes references to prescriptive and sequential software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retrospective basis. We do not currently expect the standard will have a material impact on the company’s consolidated financial position, results of operations or cash flows.</w:t>
      </w:r>
    </w:p>
    <w:p>
      <w:pPr>
        <w:spacing w:after="0" w:line="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On December 8,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ASU 2025-11 clarifies the applicability of Topic 270 and the form and content of interim financial statements. In addition, ASU 2025-11 requires entities to disclose material events occurring since the last annual reporting period. ASU 2025-11 will be effective for interim periods beginning January 1, 2028, and can be applied on a prospective or retrospective basis. We are evaluating the disclosure impact of ASU 2025-11; however, the standard will not have an impact on the company’s consolidated financial position, results of operations or cash flows.</w:t>
      </w:r>
    </w:p>
    <w:p>
      <w:pPr>
        <w:spacing w:after="0" w:line="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March 31, 2026, are not expected to have a material effect on the company’s consolidated financial position,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ind w:right="340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ind w:right="40"/>
        <w:spacing w:after="0" w:line="297"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0.4 million shares and 0.3 million shares for the three months ended March 31, 2026 and 2025,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share repurchase program of up to $2.5 billion in share repurchases of the company’s common stock (the “2023 Repurchase Program”). Repurchases under the 2023 Repurchase Program commenced in February 2024 and were completed in September 2025.</w:t>
      </w:r>
    </w:p>
    <w:p>
      <w:pPr>
        <w:spacing w:after="0" w:line="6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On December 11, 2024, the company’s board of directors authorized a new share repurchase program of up to an additional $3.0 billion in share repurchases of the company’s common stock (the “2024 Repurchase Program”). Repurchases under the 2024 Repurchase Program commenced in September 2025 upon completion of the 2023 Repurchase Program. As of March 31, 2026, repurchases under the 2024 Repurchase Program totaled $0.5 billion; $2.5 billion remained under this share repurchase authorization.</w:t>
      </w:r>
    </w:p>
    <w:p>
      <w:pPr>
        <w:spacing w:after="0" w:line="4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3"/>
                <w:szCs w:val="23"/>
                <w:color w:val="auto"/>
              </w:rPr>
            </w:pPr>
          </w:p>
        </w:tc>
        <w:tc>
          <w:tcPr>
            <w:tcW w:w="132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0" w:type="dxa"/>
            <w:vAlign w:val="bottom"/>
          </w:tcPr>
          <w:p>
            <w:pPr>
              <w:spacing w:after="0"/>
              <w:rPr>
                <w:sz w:val="1"/>
                <w:szCs w:val="1"/>
                <w:color w:val="auto"/>
              </w:rPr>
            </w:pPr>
          </w:p>
        </w:tc>
      </w:tr>
      <w:tr>
        <w:trPr>
          <w:trHeight w:val="153"/>
        </w:trPr>
        <w:tc>
          <w:tcPr>
            <w:tcW w:w="206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80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1"/>
              <w:spacing w:after="0" w:line="25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Date Completed</w:t>
            </w: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482.41</w:t>
            </w:r>
          </w:p>
        </w:tc>
        <w:tc>
          <w:tcPr>
            <w:tcW w:w="1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2025</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11, 2024</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581.87</w:t>
            </w:r>
          </w:p>
        </w:tc>
        <w:tc>
          <w:tcPr>
            <w:tcW w:w="18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brokerage commissions and other costs of execution, including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the company increased the quarterly common stock dividend 12 percent to $2.31 per share from the previous amount of $2.06 per share.</w:t>
      </w:r>
    </w:p>
    <w:p>
      <w:pPr>
        <w:spacing w:after="0" w:line="149" w:lineRule="exact"/>
        <w:rPr>
          <w:sz w:val="20"/>
          <w:szCs w:val="20"/>
          <w:color w:val="auto"/>
        </w:rPr>
      </w:pPr>
    </w:p>
    <w:p>
      <w:pPr>
        <w:ind w:right="7720" w:firstLine="8"/>
        <w:spacing w:after="0" w:line="383"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9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9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1,062</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4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Inventoried costs, net</w:t>
            </w:r>
          </w:p>
        </w:tc>
        <w:tc>
          <w:tcPr>
            <w:tcW w:w="2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As part of the enactment of the OBBBA, the company became subject to the corporate alternative minimum tax (CAMT) and recorded CAMT credit carryforwards of $187 million during 2025. In February 2026, the Internal Revenue Service (IRS) issued Notice 2026-7, providing interim relief for the CAMT through a favorable adjustment related to the amortization of research and development expenditures under IRC Section 174. The company recognized the impacts of Notice 2026-7 during the first quarter of 2026, resulting in a $187 million decrease in CAMT credit carryforwards and a corresponding increase in Taxes receivable, as well as a $19 million reduction to federal income tax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r>
    </w:tbl>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First quarter 2026 income tax expense increased $58 million, or 60 percent, due to $452 million of higher earnings before income taxes, partially offset by a lower effective tax rate (ETR). The first quarter 2026 ETR decreased to 15.0 percent from 16.8 percent primarily due to higher research credits, including a $19 million benefit related to the CAMT guidance discussed above. The first quarter 2026 ETR includes benefits of $68 million for research credits and $9 million for foreign-derived deduction-eligible income (FDDEI), partially offset by $19 million of interest expense on unrecognized tax benefits. The first quarter 2025 ETR included benefits of $34 million for research credits and $6 million for foreign derived intangible income (FDII), partially offset by $16 million of interest expense on unrecognized tax benefits.</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$1.1 billion as of March 31, 2026 and $924 million as of December 31, 2025. Non-current unrecognized tax benefits, which are included in Other non-current liabilities, were $1.7 billion and $1.6 billion as of March 31, 2026 and December 31, 2025, respectively, with the remainder of our unrecognized tax benefits included within Other current liabilities.</w:t>
      </w:r>
    </w:p>
    <w:p>
      <w:pPr>
        <w:spacing w:after="0" w:line="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Certain matters related to the company’s 2018-2024 federal income tax returns are currently under IRS examination. Certain matters related to the company’s 2014-2017 federal income tax returns and refund claims related to its 2007-2016 federal tax returns are currently under review by the IRS Appeals Office.</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2</w:t>
            </w: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463</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three months ended March 31, 2026.</w:t>
      </w:r>
    </w:p>
    <w:p>
      <w:pPr>
        <w:spacing w:after="0" w:line="10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Unrealized gains and losses from marketable securities, which are reflected in Other, net on the unaudited condensed consolidated statement of earnings and comprehensive income, were not material for the three months ended March 31, 2026 and 2025.</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March 31, 2026 and December 31, 2025 was $318 million and $308 million, respectively. The portion of notional value designated as a cash flow hedge at March 31, 2026 and December 31, 2025 was $149 million and $167 million,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March 31, 2026 and December 31, 2025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company’s long-term debt was $14.2 billion and $15.1 billion as of March 31, 2026 and December 31, 2025,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May 2025, the company issued $1.0 billion of unsecured senior notes for general corporate purposes, including debt repayment, share repurchases, and working capital, as follows:</w:t>
      </w:r>
    </w:p>
    <w:p>
      <w:pPr>
        <w:spacing w:after="0" w:line="6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4.65% senior notes due 2030 (the “2030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5.25% senior notes due 2035 (the “2035 Notes”).</w:t>
      </w:r>
    </w:p>
    <w:p>
      <w:pPr>
        <w:spacing w:after="0" w:line="9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refer to the 2030 Notes and 2035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the company repaid $270 million of 7.875% unsecured senior notes and $257 million of 7.75% unsecured senior notes upon maturity.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repaid $1.5 billion of 2.93% unsecured senior notes upon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had previously stayed the filed individual lawsuits and recently set an April 24 hearing on plaintiffs’ motion to lift that stay as to a subset of plaintiffs. Although the court has ordered, and the parties have submitted, supplemental briefing on pending class certification and expert motions in the putative class action, the parties remain engaged in a mediation.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spacing w:after="0" w:line="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focused on the interest rate assumptions the company used to determine our U.S. Government Cost Accounting Standards (CAS) pension expense, which we discuss in Note 7 below. The company has responded to requests and expects to continue to engage with the government as these matters progress. We cannot at this point predict the outcome of these matters.</w:t>
      </w:r>
    </w:p>
    <w:p>
      <w:pPr>
        <w:spacing w:after="0" w:line="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2026,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2026, or its annual results of operations and/or cash flows.</w:t>
      </w:r>
    </w:p>
    <w:p>
      <w:pPr>
        <w:spacing w:after="0" w:line="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 as noted in Note 6 above, the company received from the DOJ a criminal subpoena on December 9, 2022 and a CID on February 2, 2023, both seeking information related to the interest rate assumptions at issue in our discussions with DCMA. The company has responded to requests and expects to continue to engage with the government as these matters progress. We cannot at this point predict the outcome of these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amount of accrued and deferred costs associated with the company’s environmental remediation liabilities as of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4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w:t>
            </w:r>
          </w:p>
        </w:tc>
        <w:tc>
          <w:tcPr>
            <w:tcW w:w="3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410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costs</w:t>
            </w:r>
            <w:r>
              <w:rPr>
                <w:rFonts w:ascii="Times New Roman" w:cs="Times New Roman" w:eastAsia="Times New Roman" w:hAnsi="Times New Roman"/>
                <w:sz w:val="23"/>
                <w:szCs w:val="23"/>
                <w:color w:val="auto"/>
                <w:vertAlign w:val="superscript"/>
              </w:rPr>
              <w:t>(2)</w:t>
            </w:r>
          </w:p>
        </w:tc>
        <w:tc>
          <w:tcPr>
            <w:tcW w:w="3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514</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bl>
    <w:p>
      <w:pPr>
        <w:spacing w:after="0" w:line="162" w:lineRule="exact"/>
        <w:rPr>
          <w:sz w:val="20"/>
          <w:szCs w:val="20"/>
          <w:color w:val="auto"/>
        </w:rPr>
      </w:pPr>
    </w:p>
    <w:p>
      <w:pPr>
        <w:ind w:left="180" w:right="540" w:hanging="172"/>
        <w:spacing w:after="0" w:line="254" w:lineRule="auto"/>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March 31, 2026, $213 million is recorded in Other current liabilities and $348 million is recorded in Other non-current liabilities in the unaudited condensed consolidated statements of financial position. Estimated remediation costs are not discounted to present value.</w:t>
      </w:r>
    </w:p>
    <w:p>
      <w:pPr>
        <w:spacing w:after="0" w:line="60" w:lineRule="exact"/>
        <w:rPr>
          <w:rFonts w:ascii="Times New Roman" w:cs="Times New Roman" w:eastAsia="Times New Roman" w:hAnsi="Times New Roman"/>
          <w:sz w:val="20"/>
          <w:szCs w:val="20"/>
          <w:color w:val="auto"/>
          <w:vertAlign w:val="superscript"/>
        </w:rPr>
      </w:pPr>
    </w:p>
    <w:p>
      <w:pPr>
        <w:ind w:left="180" w:right="20" w:hanging="172"/>
        <w:spacing w:after="0" w:line="247" w:lineRule="auto"/>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 defers the portion of environmental remediation costs we expect to be recoverable through overhead charges on U.S. government contracts. As of March 31, 2026, $197 million is deferred in Prepaid expenses and other current assets and $317 million is deferred in Other non-current assets in the unaudited condensed consolidated statements of financial position. These amounts are routinely evaluated for recoverability.</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Reasonably possible future costs in excess of accrued costs were $402 million and $380 million as of March 31, 2026 and December 31, 2025, respectively. We currently expect any such future costs would be recoverable through overhead charges on our U.S. government contracts in a similar proportion as the amounts deferred in the table above.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March 31, 2026,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2026, there were $597 million of stand-by letters of credit and guarantees and $271 million of surety bonds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$3.0 billion. At March 31, 2026, the company had $500 million of outstanding commercial paper borrowings at a weighted-average interest rate of 3.96%, with original maturities of three months or less from the date of issuance. The outstanding balance of commercial paper borrowings is recorded in Other current liabilities in the unaudited condensed consolidated statements of financial position.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maintains a five-year senior unsecured revolving credit facility in an aggregate principal amount of $3.0 billion (the “2025 Credit Agreement”) that matures in September 2030 and is intended to support the company's commercial paper program and other general corporate purposes. Commercial paper borrowings reduce the amount available for borrowing under the 2025 Credit Agreement. At March 31, 2026, there were no borrowings outstanding under this facility; however, the amount available for borrowing was reduced by the $500 million of commercial paper borrowings described above.</w:t>
      </w:r>
    </w:p>
    <w:p>
      <w:pPr>
        <w:spacing w:after="0" w:line="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company was in compliance with all covenants under its credit agreements.</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RETIREMENT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p>
      <w:pPr>
        <w:spacing w:after="0" w:line="5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17145</wp:posOffset>
            </wp:positionV>
            <wp:extent cx="242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Pension</w:t>
      </w: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(benefit)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399</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(565)</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880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221"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and market conditions over a three-year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CUs typically vest and settle in cash on the third anniversary of the grant date, while CPUs generally vest and pay out in cash based on the achievement of certain performance metrics over a three-year period. During the three months ended </w:t>
      </w:r>
      <w:r>
        <w:rPr>
          <w:rFonts w:ascii="Times New Roman" w:cs="Times New Roman" w:eastAsia="Times New Roman" w:hAnsi="Times New Roman"/>
          <w:sz w:val="16"/>
          <w:szCs w:val="16"/>
          <w:color w:val="auto"/>
        </w:rPr>
        <w:t>March 31, 2026</w:t>
      </w:r>
      <w:r>
        <w:rPr>
          <w:rFonts w:ascii="Times New Roman" w:cs="Times New Roman" w:eastAsia="Times New Roman" w:hAnsi="Times New Roman"/>
          <w:sz w:val="18"/>
          <w:szCs w:val="18"/>
          <w:color w:val="auto"/>
        </w:rPr>
        <w:t>, there were no CUs granted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7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sales, operating costs and expenses, and operating income by segment: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8"/>
        </w:trPr>
        <w:tc>
          <w:tcPr>
            <w:tcW w:w="10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3,283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30"/>
        </w:trPr>
        <w:tc>
          <w:tcPr>
            <w:tcW w:w="8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2,294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r>
      <w:tr>
        <w:trPr>
          <w:trHeight w:val="229"/>
        </w:trPr>
        <w:tc>
          <w:tcPr>
            <w:tcW w:w="8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88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80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Aeronautics Systems 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30"/>
        </w:trPr>
        <w:tc>
          <w:tcPr>
            <w:tcW w:w="8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9"/>
        </w:trPr>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880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Defense Systems operating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0"/>
        </w:trPr>
        <w:tc>
          <w:tcPr>
            <w:tcW w:w="8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8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880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880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Mission Systems 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29"/>
        </w:trPr>
        <w:tc>
          <w:tcPr>
            <w:tcW w:w="8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30"/>
        </w:trPr>
        <w:tc>
          <w:tcPr>
            <w:tcW w:w="8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880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8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Space Systems operating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profit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8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7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5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63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7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2,694</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 xml:space="preserve">83 %  </w:t>
            </w:r>
            <w:r>
              <w:rPr>
                <w:rFonts w:ascii="Times New Roman" w:cs="Times New Roman" w:eastAsia="Times New Roman" w:hAnsi="Times New Roman"/>
                <w:sz w:val="18"/>
                <w:szCs w:val="18"/>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70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540</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3,283</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2,814</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1,591</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86 %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70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235</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13 %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70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52</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1,899</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1,805</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80 %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70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464</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19 %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70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385</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2,861</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2,807</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2,200</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95 %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2,309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70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42</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708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2,480</w:t>
            </w: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2,568</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8,464</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86 %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8,023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70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13 %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136</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0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9,881</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9,468</w:t>
            </w:r>
          </w:p>
        </w:tc>
        <w:tc>
          <w:tcPr>
            <w:tcW w:w="720" w:type="dxa"/>
            <w:vAlign w:val="bottom"/>
            <w:tcBorders>
              <w:bottom w:val="single" w:sz="8" w:color="auto"/>
            </w:tcBorders>
            <w:shd w:val="clear" w:color="auto" w:fill="CCEEFF"/>
          </w:tcPr>
          <w:p>
            <w:pPr>
              <w:spacing w:after="0"/>
              <w:rPr>
                <w:sz w:val="20"/>
                <w:szCs w:val="20"/>
                <w:color w:val="auto"/>
              </w:rPr>
            </w:pP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jc w:val="both"/>
        <w:ind w:left="180" w:right="60" w:hanging="172"/>
        <w:spacing w:after="0" w:line="237" w:lineRule="auto"/>
        <w:tabs>
          <w:tab w:leader="none" w:pos="181"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to the extent that information is available to us or can be reasonably estimated. These sales include foreign military sales contracted through the U.S. government.</w:t>
      </w:r>
    </w:p>
    <w:p>
      <w:pPr>
        <w:spacing w:after="0" w:line="42"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50"/>
        </w:trPr>
        <w:tc>
          <w:tcPr>
            <w:tcW w:w="7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spacing w:after="0"/>
              <w:rPr>
                <w:sz w:val="21"/>
                <w:szCs w:val="21"/>
                <w:color w:val="auto"/>
              </w:rPr>
            </w:pPr>
          </w:p>
        </w:tc>
      </w:tr>
      <w:tr>
        <w:trPr>
          <w:trHeight w:val="25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63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7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1,359</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xml:space="preserve">42 %  </w:t>
            </w:r>
            <w:r>
              <w:rPr>
                <w:rFonts w:ascii="Times New Roman" w:cs="Times New Roman" w:eastAsia="Times New Roman" w:hAnsi="Times New Roman"/>
                <w:sz w:val="18"/>
                <w:szCs w:val="18"/>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1,890</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1,434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34</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3,283</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2,814</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1,066</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965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781</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42 %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7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1,899</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1,805</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1,181</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1,163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1,295</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1,309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385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335</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2,861</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2,807</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1,330</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979</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42 %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7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2,480</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2,568</w:t>
            </w:r>
          </w:p>
        </w:tc>
        <w:tc>
          <w:tcPr>
            <w:tcW w:w="720" w:type="dxa"/>
            <w:vAlign w:val="bottom"/>
            <w:tcBorders>
              <w:bottom w:val="single" w:sz="8" w:color="auto"/>
            </w:tcBorders>
          </w:tcPr>
          <w:p>
            <w:pPr>
              <w:spacing w:after="0"/>
              <w:rPr>
                <w:sz w:val="19"/>
                <w:szCs w:val="19"/>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6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4,936</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50 %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7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4,945</w:t>
            </w:r>
          </w:p>
        </w:tc>
        <w:tc>
          <w:tcPr>
            <w:tcW w:w="11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50 %</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4,461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9,881</w:t>
            </w: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9,468</w:t>
            </w:r>
          </w:p>
        </w:tc>
        <w:tc>
          <w:tcPr>
            <w:tcW w:w="72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r>
              <w:rPr>
                <w:rFonts w:ascii="Times New Roman" w:cs="Times New Roman" w:eastAsia="Times New Roman" w:hAnsi="Times New Roman"/>
                <w:sz w:val="23"/>
                <w:szCs w:val="23"/>
                <w:i w:val="1"/>
                <w:iCs w:val="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40" w:type="dxa"/>
            <w:vAlign w:val="bottom"/>
            <w:tcBorders>
              <w:bottom w:val="single" w:sz="8" w:color="auto"/>
            </w:tcBorders>
          </w:tcPr>
          <w:p>
            <w:pPr>
              <w:spacing w:after="0"/>
              <w:rPr>
                <w:sz w:val="22"/>
                <w:szCs w:val="22"/>
                <w:color w:val="auto"/>
              </w:rPr>
            </w:pPr>
          </w:p>
        </w:tc>
      </w:tr>
      <w:tr>
        <w:trPr>
          <w:trHeight w:val="223"/>
        </w:trPr>
        <w:tc>
          <w:tcPr>
            <w:tcW w:w="7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Borders>
              <w:bottom w:val="single" w:sz="8" w:color="auto"/>
            </w:tcBorders>
          </w:tcPr>
          <w:p>
            <w:pPr>
              <w:spacing w:after="0"/>
              <w:rPr>
                <w:sz w:val="19"/>
                <w:szCs w:val="19"/>
                <w:color w:val="auto"/>
              </w:rPr>
            </w:pPr>
          </w:p>
        </w:tc>
      </w:tr>
      <w:tr>
        <w:trPr>
          <w:trHeight w:val="25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63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7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2,709</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 xml:space="preserve">83 %  </w:t>
            </w:r>
            <w:r>
              <w:rPr>
                <w:rFonts w:ascii="Times New Roman" w:cs="Times New Roman" w:eastAsia="Times New Roman" w:hAnsi="Times New Roman"/>
                <w:sz w:val="18"/>
                <w:szCs w:val="18"/>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2,295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229</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289</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geographic regions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3,283</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2,814</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1,612</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81</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geographic regions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52</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1,899</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1,805</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1,997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252</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geographic regions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98</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7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385</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335</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2,861</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2,807</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2,267</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2,419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geographic regions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171</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105</w:t>
            </w:r>
          </w:p>
        </w:tc>
        <w:tc>
          <w:tcPr>
            <w:tcW w:w="740" w:type="dxa"/>
            <w:vAlign w:val="bottom"/>
            <w:tcBorders>
              <w:bottom w:val="single" w:sz="8" w:color="auto"/>
            </w:tcBorders>
            <w:shd w:val="clear" w:color="auto" w:fill="CCEEFF"/>
          </w:tcPr>
          <w:p>
            <w:pPr>
              <w:spacing w:after="0"/>
              <w:rPr>
                <w:sz w:val="19"/>
                <w:szCs w:val="19"/>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2,480</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2,568</w:t>
            </w:r>
          </w:p>
        </w:tc>
        <w:tc>
          <w:tcPr>
            <w:tcW w:w="740" w:type="dxa"/>
            <w:vAlign w:val="bottom"/>
            <w:tcBorders>
              <w:bottom w:val="single" w:sz="8" w:color="auto"/>
            </w:tcBorders>
          </w:tcPr>
          <w:p>
            <w:pPr>
              <w:spacing w:after="0"/>
              <w:rPr>
                <w:sz w:val="19"/>
                <w:szCs w:val="19"/>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8,600</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87 %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442</w:t>
            </w:r>
          </w:p>
        </w:tc>
        <w:tc>
          <w:tcPr>
            <w:tcW w:w="11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686</w:t>
            </w: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71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153</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9,881</w:t>
            </w:r>
          </w:p>
        </w:tc>
        <w:tc>
          <w:tcPr>
            <w:tcW w:w="11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9,468</w:t>
            </w:r>
          </w:p>
        </w:tc>
        <w:tc>
          <w:tcPr>
            <w:tcW w:w="740" w:type="dxa"/>
            <w:vAlign w:val="bottom"/>
            <w:tcBorders>
              <w:bottom w:val="single" w:sz="8" w:color="auto"/>
            </w:tcBorders>
          </w:tcPr>
          <w:p>
            <w:pPr>
              <w:spacing w:after="0"/>
              <w:rPr>
                <w:sz w:val="20"/>
                <w:szCs w:val="20"/>
                <w:color w:val="auto"/>
              </w:rPr>
            </w:pPr>
          </w:p>
        </w:tc>
      </w:tr>
    </w:tbl>
    <w:p>
      <w:pPr>
        <w:spacing w:after="0" w:line="162" w:lineRule="exact"/>
        <w:rPr>
          <w:sz w:val="20"/>
          <w:szCs w:val="20"/>
          <w:color w:val="auto"/>
        </w:rPr>
      </w:pPr>
    </w:p>
    <w:p>
      <w:pPr>
        <w:ind w:left="180" w:right="20" w:hanging="172"/>
        <w:spacing w:after="0" w:line="238" w:lineRule="auto"/>
        <w:tabs>
          <w:tab w:leader="none" w:pos="16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are attributed to countries based on the ultimate customer’s location to the extent that information is available to us or can be reasonably estimated. No country other than the United States represents greater than 10 percent of total company sales.</w:t>
      </w:r>
    </w:p>
    <w:p>
      <w:pPr>
        <w:spacing w:after="0" w:line="65" w:lineRule="exact"/>
        <w:rPr>
          <w:rFonts w:ascii="Times New Roman" w:cs="Times New Roman" w:eastAsia="Times New Roman" w:hAnsi="Times New Roman"/>
          <w:sz w:val="20"/>
          <w:szCs w:val="20"/>
          <w:color w:val="auto"/>
          <w:vertAlign w:val="superscript"/>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geographic regions are principally comprised of the Middle East.</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for each of our reportable segments and for Corporate: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880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8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chief operating decision maker (“CODM”)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March 31, 2026, and the related condensed consolidated statements of earnings and comprehensive income, cash flows, and changes in shareholders’ equity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2025, and the related consolidated statements of earnings and comprehensive income, changes in shareholders’ equity, and cash flows for the year then ended (not presented herein); and in our report dated January 26, 2026, we expressed an unqualified opinion on those consolidated financial statements. In our opinion, the information set forth in the accompanying condensed consolidated statement of financial position as of December 31, 2025,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8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4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War (“DoW”)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2025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Training Services Business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and recorded a pre-tax gain on sale of $231 million. IMS is a provider of mission training and satellite ground network communications software for U.S. government customers. 2025 operating results include sales and operating income for the training services business prior to the Divestiture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U.S. and its allies continue to face a dynamic global security environment of heightened tensions and instability, threats from state and non-state actors, including in particular major global powers, as well as terrorist organizations, increasing nuclear tensions, diverse regional security concerns, political instability and uncertainty concerning global strategic alliances. The market for defense products, services and solutions globally is driven by these complex and rapidly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ongoing conflicts in Ukraine and Iran and threats elsewhere, particularly in the Middle East and the Western Pacific region, have increased global tensions and instability and highlighted security requirements globally. These conflicts have resulted in and may continue to result in increased demand for defense products and services from allies and partner nations, particularly in those regions. We continue to monitor developments in these regions, but have not experienced, and do not anticipate experiencing, significant adverse financial impacts directly from these conflicts.</w:t>
      </w:r>
    </w:p>
    <w:p>
      <w:pPr>
        <w:spacing w:after="0" w:line="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the current global security environment, characterized by significant national security threats to the U.S. and its allies, continues to highlight the need for strong deterrence and robust defense capabilities. We are actively evaluating both opportunities and risks associated with this environment and are moving with speed and at scale to deliver innovative solutions to our customers. We believe our capabilities, particularly in space, C4ISR, air and missile defense, battle management, solid rocket motors, advanced weapons, strategic deterrence, survivable aircraft, autonomous aircraft systems and mission systems should help our customers in the U.S. and globally defend against current and future threats and, as a result, continue to position us for long-term profitable business growth.</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660"/>
        <w:spacing w:after="0" w:line="253" w:lineRule="auto"/>
        <w:rPr>
          <w:sz w:val="20"/>
          <w:szCs w:val="20"/>
          <w:color w:val="auto"/>
        </w:rPr>
      </w:pPr>
      <w:r>
        <w:rPr>
          <w:rFonts w:ascii="Times New Roman" w:cs="Times New Roman" w:eastAsia="Times New Roman" w:hAnsi="Times New Roman"/>
          <w:sz w:val="18"/>
          <w:szCs w:val="18"/>
          <w:color w:val="auto"/>
        </w:rPr>
        <w:t>Over the past several years, the global economic environment has experienced challenges, including inflationary pressures; widespread delays and disruptions in supply chains; constraints on the availability of critical materials, including rare earth minerals and metals; business slowdowns or shutdowns; workforce challenges and labor shortfalls; and market volatility. These macroeconomic factors have contributed, and could continue to contribute, to increased costs, delays, disruptions and other performance challenges, as well as increased competing demands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limited resources to address such increased costs and other challenges, for our company, our suppliers and partners, and our customers. We continue to work to address challenges to our business caused by the macroeconomic environment. We have seen progress in the supply chain as on-time deliveries and quality continue to improve. In remaining areas of pressure, we are proactively working with our suppliers to help meet our contract commitments.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if interest rates increase or otherwise fluctuate, it could impact government spending priorities (in the U.S. and allied countries, in particular), including the demand for defense products. Economic tensions and changes in international trade policies, including, for example, widespread tariffs announced since last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In addition, following the recent U.S. Supreme Court decision that invalidated tariffs imposed pursuant to the International Emergency Economic Powers Act (“IEEPA”), the U.S. announced tariffs under different statutory authorities, including a 10% global tariff. The full impact of these governmental actions on macroeconomic conditions and on our business is uncertain, difficult to predict and depends on a number of factors, including the extent and duration of tariffs, the availability of exemptions, changes in the amount and scope of tariffs, any reversal or temporary suspension of announced tariffs, the availability of refunds for tariffs paid under IEEPA,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including the IEEPA tariffs, have had or will have a material adverse effect on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Iran and threats in the Middle East, the Western Pacific and Latin America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spacing w:after="0" w:line="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July 4, 2025, the FY 2025 reconciliation bill titled the One Big Beautiful Bill Act (the “OBBBA”) was enacted. The OBBBA allocates approximately $150 billion in mandatory defense funding, including funding for air and missile defense, munitions, strategic deterrence, shipbuilding and supply chains and other military capabilities, and the appropriated funds will remain available to be obligated until September 30, 2029 and expended through FY 2034. The OBBBA is expected to result in increased investments by the DoW in defense modernization projects and Pacific region deterrence, among other programs. See Note 4 to the financial statements for additional information on key income tax provisions of the OBBBA.</w:t>
      </w:r>
    </w:p>
    <w:p>
      <w:pPr>
        <w:spacing w:after="0" w:line="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3, 2026, annual appropriations to fund a vast majority of the federal government for FY 2026 were enacted. The legislation finalized 11 of the 12 regular appropriations bills for FY 2026 and includes approximately $859 billion for defense. The legislation did not fund the Department of Homeland Security (“DHS”), which was instead funded under a continuing resolution through February 13, 2026. After the DHS continuing resolution expired, the federal government entered a partial shutdown, which remains in effect. We do not believe that the ongoing partial shutdown will have a material adverse effect on our business.</w:t>
      </w:r>
    </w:p>
    <w:p>
      <w:pPr>
        <w:spacing w:after="0" w:line="4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Presidential Administration (the “Administration”) has issued numerous executive orders, including orders to undertake a comprehensive overhaul of the Federal Acquisition Regulation, to reform the DoW defense acquisition process and, more recently, to address underperformance and insufficient prioritization of government contracts, insufficient investment in production and production speed and incentive compensation metrics applicable to defense contractors. See “Risk factors” for further discussion regarding risks associated with executive orders and regulatory changes. Some of the Administration’s executive orders are subject to ongoing court challenges. Implementation of certain of these executive orders could adversely affect our business or create a more challenging or costly regulatory, operating and economic environment.</w:t>
      </w:r>
    </w:p>
    <w:p>
      <w:pPr>
        <w:spacing w:after="0" w:line="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changes in U.S. government policy positions, including trade and foreign policy, tax policy and DoW policies or priorities, could materially impact defense spending broadly and the company’s programs in particular.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Northrop Grumman and the U.S. Air Force have also established not to exceed (NTE) pricing for two additional lots. The average value for these NTE lots is above the average unit price of the five LRIP lots, and the NTE lots include an economic price adjustment clause to help protect against certain inflationary pressures. Final terms, quantity, and pricing for the NTE lots are not fully negotiated.</w:t>
      </w:r>
    </w:p>
    <w:p>
      <w:pPr>
        <w:spacing w:after="0" w:line="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reached an agreement with the U.S. Air Force to expand production capacity for the B-21 program and increase the aircraft production rate. We currently expect to invest approximately $2.5 billion over a multi-year period to expand production capacity; in return, we have the opportunity to earn improved returns on the LRIP and NTE phases of the program.</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first quarter of 2025, we recognized an additional $477 million loss across the five LRIP options. During the first quarter of 2026, we again reviewed our estimated profitability on the LRIP phase of the program and made no significant changes to the previously recognized loss. However, impacts from the recent agreement with the U.S. Air Force and higher estimated production costs resulted in a $157 million net unfavorable EAC adjustment on the first four LRIP lots, which was offset by a net reduction in the loss contingency accrual on the remainder of the program.</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first quarter 2026 results reflect our current best estimate of cost to complete the LRIP and NTE aircraft, as well as the outcome of ongoing discussions with our suppliers. If our estimated cost to complete the aircraft changes, or if our assumptions regarding contract performance, quantities, or supplier negotiations are resolved more or less favorably than what we have estimated, our financial position, results of operations and/or cash flows could be materially affected.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spacing w:after="0" w:line="6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July 2024, the Sentinel program was certified for continuation by the DoW upon completion of the Nunn-McCurdy breach review. In connection with the certification, the DoW directed that the program be restructured, including plans for infrastructure related to the command and launch segment, which was the main driver of the increased cost estimates for the Production and Deployment phases.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reviewed our estimated profitability on the Sentinel program and made no significant changes. If our estimated cost to complete the restructured EMD effort or our expectations for achieving contract incentives are more or less favorable than what we have estimated, our financial position, results of operations and/or cash flows could be materially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Assessment and Reporting</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In evaluating our operating performance, we primarily focus on changes in sales and operating margin rates.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operating margin rates are generally described in terms of performance and/or contract mix. For purposes of this discussion, volume generally refers to increases or decreases in sales or cost from production/service activity levels and performance generally refers to non-volume-related changes in profitability, which are typically described in terms of changes in net EAC adjustments. Contract mix generally refers to changes in the ratio of contract type and/or life cycle (e.g., cost-type, fixed-price, development, production, and/or sustainment). Contract mix can also refer to differences in the profitability of the programs that drive changes in sales (e.g., sales growth or decreases on programs with accretive or dilutive margin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Organic sales is defined as 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reconcile this non-GAAP financial measure to its most directly comparable GAAP financial measure below. This non-GAAP measure may not be defined and calculated by other companies in the same manner and should not be considered in isolation or as an alternative to operating results presented in accordance with GAAP.</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9,881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9,468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8,892</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90.0%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93.9%</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989</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r>
      <w:tr>
        <w:trPr>
          <w:trHeight w:val="229"/>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10.0%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155</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r>
      <w:tr>
        <w:trPr>
          <w:trHeight w:val="230"/>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w:t>
            </w:r>
          </w:p>
        </w:tc>
        <w:tc>
          <w:tcPr>
            <w:tcW w:w="120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875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r>
      <w:tr>
        <w:trPr>
          <w:trHeight w:val="230"/>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sales to organic sales: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600" w:type="dxa"/>
            <w:vAlign w:val="bottom"/>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9,881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29"/>
        </w:trPr>
        <w:tc>
          <w:tcPr>
            <w:tcW w:w="7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tcBorders>
              <w:bottom w:val="single" w:sz="8" w:color="auto"/>
            </w:tcBorders>
          </w:tcPr>
          <w:p>
            <w:pPr>
              <w:spacing w:after="0"/>
              <w:rPr>
                <w:sz w:val="19"/>
                <w:szCs w:val="19"/>
                <w:color w:val="auto"/>
              </w:rPr>
            </w:pP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9,881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r>
    </w:tbl>
    <w:p>
      <w:pPr>
        <w:spacing w:after="0" w:line="1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First quarter 2026 sales increased $413 million, or 4 percent, due to higher sales of $469 million at Aeronautics Systems, as well as higher sales at Defense Systems and Mission Systems. These increases were partially offset by $116 million of higher intercompany eliminations and lower sales at Space Systems due to the wind-down of work on the Next Generation Interceptor (NGI) program.</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First quarter 2026 operating income increased $416 million, or 73 percent, largely driven by the prior year $477 million B-21 loss provision at Aeronautics Systems, partially offset by a $56 million decrease in the FAS/CAS operating adjustment. Operating margin rate increased to 10.0 percent from 6.1 percent reflecting the items above.</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First quarter 2026 G&amp;A costs as a percentage of sales decreased to 9.8 percent from 10.6 percent in the prior year period primarily due to higher sales and cost management.</w:t>
      </w:r>
    </w:p>
    <w:p>
      <w:pPr>
        <w:spacing w:after="0" w:line="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First quarter 2026 income tax expense increased $58 million, or 60 percent, due to $452 million of higher earnings before income taxes, partially offset by a lower effective tax rate (ETR). The first quarter 2026 ETR decreased to 15.0 percent from 16.8 percent primarily due to higher research credits, including a benefit related to CAMT guidance recently issued by the IRS.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financial statements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First quarter 2026 net earnings increased $394 million, or 82 percent, primarily due to the $416 million increase in operating income described above and a $36 million increase in the non-operating FAS pension benefit, partially offset by a $58 million increase in income tax expense.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First quarter 2026 diluted earnings per share increased $2.82, or 85 percent, reflecting an 82 percent increase in net earnings and a 2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989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10.0 %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200" w:type="dxa"/>
            <w:vAlign w:val="bottom"/>
          </w:tcPr>
          <w:p>
            <w:pPr>
              <w:spacing w:after="0"/>
              <w:rPr>
                <w:sz w:val="19"/>
                <w:szCs w:val="19"/>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29"/>
        </w:trPr>
        <w:tc>
          <w:tcPr>
            <w:tcW w:w="7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and PP&amp;E step-up depreciation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29"/>
        </w:trPr>
        <w:tc>
          <w:tcPr>
            <w:tcW w:w="7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69</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r>
      <w:tr>
        <w:trPr>
          <w:trHeight w:val="223"/>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1,072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r>
      <w:tr>
        <w:trPr>
          <w:trHeight w:val="237"/>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6.0 %</w:t>
            </w:r>
          </w:p>
        </w:tc>
        <w:tc>
          <w:tcPr>
            <w:tcW w:w="1200" w:type="dxa"/>
            <w:vAlign w:val="bottom"/>
            <w:tcBorders>
              <w:bottom w:val="single" w:sz="8" w:color="auto"/>
            </w:tcBorders>
            <w:shd w:val="clear" w:color="auto" w:fill="CCEEFF"/>
          </w:tcPr>
          <w:p>
            <w:pPr>
              <w:spacing w:after="0"/>
              <w:rPr>
                <w:sz w:val="20"/>
                <w:szCs w:val="20"/>
                <w:color w:val="auto"/>
              </w:rPr>
            </w:pPr>
          </w:p>
        </w:tc>
      </w:tr>
    </w:tbl>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First quarter 2026 segment operating income increased $504 million, or 89 percent, primarily due to $488 million of higher operating income at Aeronautics Systems and $72 million of higher operating income at Mission Systems, partially offset by $48 million of lower operating income at Space Systems. Segment operating margin rate increased to 10.8 percent from 6.0 percent primarily due to a higher operating margin rate at Aeronautics Systems and Mission Systems, partially offset by a lower operating margin rate at Space Systems.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2026 FAS/CAS operating adjustment reflects lower CAS pension expense largely driven by favorable plan asset returns in prior years.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increase in first quarter 2026 unallocated corporate expense is primarily due to the resolution of a litigation matter as well as higher deferred state tax expense largely related to the repeal of mandatory capitalization of research and development expenditures under IRC Section 174.</w:t>
      </w:r>
    </w:p>
    <w:p>
      <w:pPr>
        <w:spacing w:after="0" w:line="4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and margin rate.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80"/>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9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0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60" w:type="dxa"/>
            <w:vAlign w:val="bottom"/>
          </w:tcPr>
          <w:p>
            <w:pPr>
              <w:spacing w:after="0"/>
              <w:rPr>
                <w:sz w:val="20"/>
                <w:szCs w:val="20"/>
                <w:color w:val="auto"/>
              </w:rPr>
            </w:pPr>
          </w:p>
        </w:tc>
        <w:tc>
          <w:tcPr>
            <w:tcW w:w="25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3,283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305</w:t>
            </w:r>
          </w:p>
        </w:tc>
        <w:tc>
          <w:tcPr>
            <w:tcW w:w="34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9.3 %</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First quarter 2026 sales increased $469 million, or 17 percent, primarily due to higher sales on B-21 and other restricted programs as well as increased volume on the E-130J TACAMO program as it ramps up. The higher B-21 sales reflect the company’s first quarter 2026 agreement with the U.S. Air Force to expand production capacity and increase the aircraft production rate, including the sale of a company-owned test asset. The sales increases were partially offset by a decrease on F/A-18 as final production deliveries have completed.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First quarter 2026 operating income increased $488 million and operating margin rate increased to 9.3 percent primarily due to the absence of the prior year B-21 loss provision.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60" w:type="dxa"/>
            <w:vAlign w:val="bottom"/>
          </w:tcPr>
          <w:p>
            <w:pPr>
              <w:spacing w:after="0"/>
              <w:rPr>
                <w:sz w:val="20"/>
                <w:szCs w:val="20"/>
                <w:color w:val="auto"/>
              </w:rPr>
            </w:pPr>
          </w:p>
        </w:tc>
        <w:tc>
          <w:tcPr>
            <w:tcW w:w="25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7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1,899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1,899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129"/>
        </w:trPr>
        <w:tc>
          <w:tcPr>
            <w:tcW w:w="7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9.7 %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First quarter 2026 sales increased $94 million, or 5 percent, primarily due to higher volume on Sentinel as that program continues to ramp, as well as higher volume on tactical solid rocket motor programs and across the Integrated Battle Command System (IBCS) portfolio. These increases were partially offset by a $72 million reduction in sales related to the divested training services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2026 operating income increased $5 million, or 3 percent, primarily due to higher sales, partially offset by a lower operating margin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rate decreased to 9.7 percent from 9.9 percent principally due to lower net EAC adjustments.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60" w:type="dxa"/>
            <w:vAlign w:val="bottom"/>
          </w:tcPr>
          <w:p>
            <w:pPr>
              <w:spacing w:after="0"/>
              <w:rPr>
                <w:sz w:val="20"/>
                <w:szCs w:val="20"/>
                <w:color w:val="auto"/>
              </w:rPr>
            </w:pPr>
          </w:p>
        </w:tc>
        <w:tc>
          <w:tcPr>
            <w:tcW w:w="25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2,861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433</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15.1 %</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12.9 %</w:t>
            </w: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First quarter 2026 sales increased $54 million, or 2 percent, primarily due to ramp-up on restricted airborne radar programs and higher volume on marine systems programs, partially offset by lower volume on the Scalable Agile Beam Radar program and airborne electronic warfare programs.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First quarter 2026 operating income increased $72 million, or 20 percent, primarily due to a higher operating margin rate and higher sales. Operating margin rate increased to 15.1 percent from 12.9 percent, primarily due to prior year investments made by the sector in connection with restricted business opportunities, as well as higher net EAC adjustments in the current year.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60" w:type="dxa"/>
            <w:vAlign w:val="bottom"/>
          </w:tcPr>
          <w:p>
            <w:pPr>
              <w:spacing w:after="0"/>
              <w:rPr>
                <w:sz w:val="20"/>
                <w:szCs w:val="20"/>
                <w:color w:val="auto"/>
              </w:rPr>
            </w:pPr>
          </w:p>
        </w:tc>
        <w:tc>
          <w:tcPr>
            <w:tcW w:w="25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7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2,480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235</w:t>
            </w:r>
          </w:p>
        </w:tc>
        <w:tc>
          <w:tcPr>
            <w:tcW w:w="3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9.5 %</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First quarter 2026 sales decreased $88 million, or 3 percent, primarily due to wind-down of work on the NGI program, which reduced sales by $98 million, as well as lower sales on the GEM 63XL program related to the unfavorable EAC adjustment described below. These decreases were partially offset by higher volume on Space Development Agency satellite programs driven by ramp-up on the Tranche 3 tracking layer award.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First quarter 2026 operating income decreased $48 million, or 17 percent, due to a lower operating margin rate and lower sales. Operating margin rate decreased to 9.5 percent from 11.0 percent, largely due to lower net EAC adjustments, including a $71 million unfavorable adjustment on GEM 63XL associated with a launch anomaly that occurred during the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 ANALYSIS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Costs and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1,966</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First quarter 2026 product sales increased $437 million, or 6 percent, primarily due to higher sales on B-21 at Aeronautics Systems, as well as higher volume on Sentinel, tactical solid rocket motor programs and across the IBCS portfolio at Defense Systems. These increases were partially offset by the wind-down of work on the NGI program and lower sales on GEM 63XL at Space Systems.</w:t>
      </w:r>
    </w:p>
    <w:p>
      <w:pPr>
        <w:spacing w:after="0" w:line="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First quarter 2026 product costs were comparable to the prior year, reflecting a higher operating margin rate principally due to the absence of the prior year B-21 loss provision at Aeronautics Systems and investments made in connection with restricted business opportunities at Mission Systems.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First quarter 2026 service sales decreased $24 million, or 1 percent, primarily due to lower restricted sales at Space Systems and lower service volume at Defense Systems due to the training services divestiture, partially offset by higher restricted sales at Aeronautics Systems.</w:t>
      </w:r>
    </w:p>
    <w:p>
      <w:pPr>
        <w:spacing w:after="0" w:line="6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First quarter 2026 service costs decreased $74 million, or 4 percent, reflecting a higher operating margin rate principally driven by higher net EAC adjustments on service programs across each of the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March 31, 2026 and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90"/>
              <w:spacing w:after="0" w:line="174"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5"/>
                <w:szCs w:val="15"/>
                <w:color w:val="auto"/>
              </w:rPr>
            </w:pPr>
          </w:p>
        </w:tc>
        <w:tc>
          <w:tcPr>
            <w:tcW w:w="13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7,759</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19,970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12,887</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4,916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15,379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51,540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95,608</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95,681</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First quarter 2026 net awards totaled $9.8 billion and backlog totaled $95.6 billion. Significant first quarter new awards include $4.9 billion for restricted programs (primarily at Aeronautics Systems, Space Systems, and Mission Systems), $0.5 billion for F-35 (primarily at Aeronautics Systems), $0.5 billion for infrared countermeasures programs, and $0.4 billion for Triton.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March 31, 2026, we had $2.1 billion in cash and cash equivalents. We expect cash and cash equivalents and cash generated from operating activities, supplemented by borrowings under credit facilities, commercial paper and/or in the capital markets, if needed, to be sufficient to provide liquidity to the company in the short-term and long-term. The company has a five-year senior unsecured revolving credit facility in an aggregate principal amount of $3.0 billion, and in April 2026, we renewed our one-year $500 million uncommitted credit facility. At March 31, 2026, there were no borrowings outstanding under these credit facilities; however, as of March 31, 2026, we had $500 million in commercial paper outstanding, which reduced the amount available for borrowing under our unsecured revolving credit facility by that amount.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used in operating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r>
      <w:tr>
        <w:trPr>
          <w:trHeight w:val="230"/>
        </w:trPr>
        <w:tc>
          <w:tcPr>
            <w:tcW w:w="7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trade working capital</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bl>
    <w:p>
      <w:pPr>
        <w:spacing w:after="0" w:line="162" w:lineRule="exact"/>
        <w:rPr>
          <w:sz w:val="20"/>
          <w:szCs w:val="20"/>
          <w:color w:val="auto"/>
        </w:rPr>
      </w:pPr>
    </w:p>
    <w:p>
      <w:pPr>
        <w:ind w:left="180" w:hanging="172"/>
        <w:spacing w:after="0" w:line="256" w:lineRule="auto"/>
        <w:tabs>
          <w:tab w:leader="none" w:pos="16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in the fourth quarter of 2025, the company redefined trade working capital presented in this table to include accounts receivable, unbilled receivables, inventoried costs, trade accounts payable and advance payments and billings in excess of costs incurred. Prior period amounts and disclosures have been recast to conform to the current period presentation.</w:t>
      </w:r>
    </w:p>
    <w:p>
      <w:pPr>
        <w:spacing w:after="0" w:line="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First quarter 2026 net cash used in operating activities was comparable with the same period in 2025. Net cash used in operating activities reflects increases in trade working capital, consistent with the company’s historical timing of operating cash flows, which are generally more heavily weighted towards the second half of the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net cash used in operating activities to free cash flow:</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8"/>
        </w:trPr>
        <w:tc>
          <w:tcPr>
            <w:tcW w:w="7600" w:type="dxa"/>
            <w:vAlign w:val="bottom"/>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29"/>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bl>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First quarter 2026 free cash flow was comparable with the prior year period and reflects a $91 million increase in net cash used in operating activities and an $89 million reduction in capital expenditures.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First quarter 2026 net cash used in investing activities decreased $84 million, or 33 percent, as compared with the same period in 2025 principally due to lower capital expenditures.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First quarter 2026 net cash used in financing activities decreased $362 million, or 43 percent, as compared with the same period in 2025, primarily due to a $412 million decrease in share repurchases.</w:t>
      </w:r>
    </w:p>
    <w:p>
      <w:pPr>
        <w:spacing w:after="0" w:line="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2025 Annual Report on Form 10-K.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2025 Annual Report on Form 10-K and from time to time in our other filings with the SEC. They include: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80" w:hanging="332"/>
        <w:spacing w:after="0" w:line="312" w:lineRule="auto"/>
        <w:tabs>
          <w:tab w:leader="none" w:pos="3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 or a prolonged government shutdown</w:t>
      </w:r>
    </w:p>
    <w:p>
      <w:pPr>
        <w:spacing w:after="0" w:line="103" w:lineRule="exact"/>
        <w:rPr>
          <w:rFonts w:ascii="Times New Roman" w:cs="Times New Roman" w:eastAsia="Times New Roman" w:hAnsi="Times New Roman"/>
          <w:sz w:val="18"/>
          <w:szCs w:val="18"/>
          <w:color w:val="auto"/>
        </w:rPr>
      </w:pPr>
    </w:p>
    <w:p>
      <w:pPr>
        <w:ind w:left="340" w:right="16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spacing w:after="0" w:line="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9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103"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DoW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and preferences globally</w:t>
      </w:r>
    </w:p>
    <w:p>
      <w:pPr>
        <w:spacing w:after="0" w:line="5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unforeseen environmental costs and government and third-party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90"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critical minerals and metals, chemicals, parts and components, particularly with inflationary pressures, increased costs, pricing changes, shortages in labor and financial resources, supply chain disruptions, and extended material lead times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and talented workforce with the necessary security clearances to meet our performance obligations</w:t>
      </w:r>
    </w:p>
    <w:p>
      <w:pPr>
        <w:spacing w:after="0" w:line="90"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and strategic alliances,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pandemics and similar outbreaks and other significant disruptions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protect and exploit intellectual property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40" w:lineRule="exact"/>
        <w:rPr>
          <w:rFonts w:ascii="Times New Roman" w:cs="Times New Roman" w:eastAsia="Times New Roman" w:hAnsi="Times New Roman"/>
          <w:sz w:val="18"/>
          <w:szCs w:val="18"/>
          <w:i w:val="1"/>
          <w:iCs w:val="1"/>
          <w:color w:val="auto"/>
        </w:rPr>
      </w:pPr>
    </w:p>
    <w:p>
      <w:pPr>
        <w:ind w:left="340" w:right="40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2025 Annual Report on Form 10-K.</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2026,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2025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2025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March 31,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5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560" w:type="dxa"/>
            <w:vAlign w:val="bottom"/>
          </w:tcPr>
          <w:p>
            <w:pPr>
              <w:jc w:val="center"/>
              <w:ind w:left="310"/>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18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80" w:type="dxa"/>
            <w:vAlign w:val="bottom"/>
          </w:tcPr>
          <w:p>
            <w:pPr>
              <w:jc w:val="center"/>
              <w:ind w:left="5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vMerge w:val="continue"/>
          </w:tcPr>
          <w:p>
            <w:pPr>
              <w:spacing w:after="0"/>
              <w:rPr>
                <w:sz w:val="19"/>
                <w:szCs w:val="19"/>
                <w:color w:val="auto"/>
              </w:rPr>
            </w:pPr>
          </w:p>
        </w:tc>
        <w:tc>
          <w:tcPr>
            <w:tcW w:w="21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line="230"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(2)</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in millions)</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23, 2026</w:t>
            </w:r>
          </w:p>
        </w:tc>
        <w:tc>
          <w:tcPr>
            <w:tcW w:w="2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80,801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626.37</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80,801</w:t>
            </w:r>
          </w:p>
        </w:tc>
        <w:tc>
          <w:tcPr>
            <w:tcW w:w="156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2,484</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 2026 - February 20, 2026</w:t>
            </w: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17,981</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677.44</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17,981</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2,472</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21, 2026 - March 27, 2026</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2,472</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98,782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635.67</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98,782</w:t>
            </w:r>
          </w:p>
        </w:tc>
        <w:tc>
          <w:tcPr>
            <w:tcW w:w="15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2,472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3" w:lineRule="exact"/>
        <w:rPr>
          <w:rFonts w:ascii="Times New Roman" w:cs="Times New Roman" w:eastAsia="Times New Roman" w:hAnsi="Times New Roman"/>
          <w:sz w:val="19"/>
          <w:szCs w:val="19"/>
          <w:color w:val="auto"/>
          <w:vertAlign w:val="superscript"/>
        </w:rPr>
      </w:pPr>
    </w:p>
    <w:p>
      <w:pPr>
        <w:ind w:left="180" w:right="160" w:hanging="172"/>
        <w:spacing w:after="0" w:line="256" w:lineRule="auto"/>
        <w:tabs>
          <w:tab w:leader="none" w:pos="168"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11, 2024, the company’s board of directors authorized a new share repurchase program of up to an additional $3.0 billion in share repurchases of the company’s common stock. Repurchases under the program commenced in September 2025. All repurchases of common stock during the three months ended March 31, 2026 were made pursuant to this program. By its terms, the program will expire when the company has used all authorized funds for repurchases.</w:t>
      </w:r>
    </w:p>
    <w:p>
      <w:pPr>
        <w:spacing w:after="0" w:line="5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March 31,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2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Purchased</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60" w:type="dxa"/>
            <w:vAlign w:val="bottom"/>
            <w:tcBorders>
              <w:bottom w:val="single" w:sz="8" w:color="auto"/>
            </w:tcBorders>
            <w:vMerge w:val="continue"/>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Kathy J. Warden</w:t>
            </w:r>
          </w:p>
        </w:tc>
        <w:tc>
          <w:tcPr>
            <w:tcW w:w="14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Rule 10b5-1</w:t>
            </w:r>
          </w:p>
        </w:tc>
        <w:tc>
          <w:tcPr>
            <w:tcW w:w="146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February 13, 2026</w:t>
            </w:r>
          </w:p>
        </w:tc>
        <w:tc>
          <w:tcPr>
            <w:tcW w:w="3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January 29, 2027 or such earlier date upon the</w:t>
            </w:r>
          </w:p>
        </w:tc>
        <w:tc>
          <w:tcPr>
            <w:tcW w:w="224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Sale of 25,000 shares of</w:t>
            </w:r>
          </w:p>
        </w:tc>
        <w:tc>
          <w:tcPr>
            <w:tcW w:w="0" w:type="dxa"/>
            <w:vAlign w:val="bottom"/>
          </w:tcPr>
          <w:p>
            <w:pPr>
              <w:spacing w:after="0"/>
              <w:rPr>
                <w:sz w:val="1"/>
                <w:szCs w:val="1"/>
                <w:color w:val="auto"/>
              </w:rPr>
            </w:pPr>
          </w:p>
        </w:tc>
      </w:tr>
      <w:tr>
        <w:trPr>
          <w:trHeight w:val="176"/>
        </w:trPr>
        <w:tc>
          <w:tcPr>
            <w:tcW w:w="2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Chief Executive Officer</w:t>
            </w:r>
          </w:p>
        </w:tc>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Trading</w:t>
            </w:r>
          </w:p>
        </w:tc>
        <w:tc>
          <w:tcPr>
            <w:tcW w:w="1460" w:type="dxa"/>
            <w:vAlign w:val="bottom"/>
            <w:shd w:val="clear" w:color="auto" w:fill="CCEEFF"/>
          </w:tcPr>
          <w:p>
            <w:pPr>
              <w:spacing w:after="0"/>
              <w:rPr>
                <w:sz w:val="15"/>
                <w:szCs w:val="15"/>
                <w:color w:val="auto"/>
              </w:rPr>
            </w:pPr>
          </w:p>
        </w:tc>
        <w:tc>
          <w:tcPr>
            <w:tcW w:w="36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2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68"/>
        </w:trPr>
        <w:tc>
          <w:tcPr>
            <w:tcW w:w="2460" w:type="dxa"/>
            <w:vAlign w:val="bottom"/>
            <w:vMerge w:val="continue"/>
            <w:shd w:val="clear" w:color="auto" w:fill="CCEEFF"/>
          </w:tcPr>
          <w:p>
            <w:pPr>
              <w:spacing w:after="0"/>
              <w:rPr>
                <w:sz w:val="5"/>
                <w:szCs w:val="5"/>
                <w:color w:val="auto"/>
              </w:rPr>
            </w:pPr>
          </w:p>
        </w:tc>
        <w:tc>
          <w:tcPr>
            <w:tcW w:w="148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Arrangement</w:t>
            </w:r>
          </w:p>
        </w:tc>
        <w:tc>
          <w:tcPr>
            <w:tcW w:w="1460" w:type="dxa"/>
            <w:vAlign w:val="bottom"/>
            <w:shd w:val="clear" w:color="auto" w:fill="CCEEFF"/>
          </w:tcPr>
          <w:p>
            <w:pPr>
              <w:spacing w:after="0"/>
              <w:rPr>
                <w:sz w:val="5"/>
                <w:szCs w:val="5"/>
                <w:color w:val="auto"/>
              </w:rPr>
            </w:pPr>
          </w:p>
        </w:tc>
        <w:tc>
          <w:tcPr>
            <w:tcW w:w="3600" w:type="dxa"/>
            <w:vAlign w:val="bottom"/>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2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President)</w:t>
            </w:r>
          </w:p>
        </w:tc>
        <w:tc>
          <w:tcPr>
            <w:tcW w:w="1480" w:type="dxa"/>
            <w:vAlign w:val="bottom"/>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continue"/>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60" w:type="dxa"/>
            <w:vAlign w:val="bottom"/>
            <w:vMerge w:val="continue"/>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specified in the plan.</w:t>
            </w: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continue"/>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tbl>
      <w:tblPr>
        <w:tblLayout w:type="fixed"/>
        <w:tblInd w:w="20" w:type="dxa"/>
        <w:tblCellMar>
          <w:top w:w="0" w:type="dxa"/>
          <w:left w:w="0" w:type="dxa"/>
          <w:bottom w:w="0" w:type="dxa"/>
          <w:right w:w="0" w:type="dxa"/>
        </w:tblCellMar>
      </w:tblPr>
      <w:tr>
        <w:trPr>
          <w:trHeight w:val="176"/>
        </w:trPr>
        <w:tc>
          <w:tcPr>
            <w:tcW w:w="2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Michael A. Hardesty</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Rule 10b5-1</w:t>
            </w:r>
          </w:p>
        </w:tc>
        <w:tc>
          <w:tcPr>
            <w:tcW w:w="4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February 20, 2026 March 12, 2027 or such earlier date upon the</w:t>
            </w:r>
          </w:p>
        </w:tc>
        <w:tc>
          <w:tcPr>
            <w:tcW w:w="0" w:type="dxa"/>
            <w:vAlign w:val="bottom"/>
          </w:tcPr>
          <w:p>
            <w:pPr>
              <w:spacing w:after="0"/>
              <w:rPr>
                <w:sz w:val="1"/>
                <w:szCs w:val="1"/>
                <w:color w:val="auto"/>
              </w:rPr>
            </w:pPr>
          </w:p>
        </w:tc>
      </w:tr>
      <w:tr>
        <w:trPr>
          <w:trHeight w:val="176"/>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Vice President,</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Trading</w:t>
            </w:r>
          </w:p>
        </w:tc>
        <w:tc>
          <w:tcPr>
            <w:tcW w:w="4900" w:type="dxa"/>
            <w:vAlign w:val="bottom"/>
          </w:tcPr>
          <w:p>
            <w:pPr>
              <w:ind w:left="1560"/>
              <w:spacing w:after="0" w:line="176"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128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Arrangement</w:t>
            </w:r>
          </w:p>
        </w:tc>
        <w:tc>
          <w:tcPr>
            <w:tcW w:w="4900" w:type="dxa"/>
            <w:vAlign w:val="bottom"/>
            <w:vMerge w:val="restart"/>
          </w:tcPr>
          <w:p>
            <w:pPr>
              <w:ind w:left="1560"/>
              <w:spacing w:after="0" w:line="184" w:lineRule="exact"/>
              <w:rPr>
                <w:sz w:val="20"/>
                <w:szCs w:val="20"/>
                <w:color w:val="auto"/>
              </w:rPr>
            </w:pPr>
            <w:r>
              <w:rPr>
                <w:rFonts w:ascii="Times New Roman" w:cs="Times New Roman" w:eastAsia="Times New Roman" w:hAnsi="Times New Roman"/>
                <w:sz w:val="18"/>
                <w:szCs w:val="18"/>
                <w:color w:val="auto"/>
                <w:w w:val="99"/>
              </w:rPr>
              <w:t>occurrence of such other termination events as</w:t>
            </w:r>
          </w:p>
        </w:tc>
        <w:tc>
          <w:tcPr>
            <w:tcW w:w="0" w:type="dxa"/>
            <w:vAlign w:val="bottom"/>
          </w:tcPr>
          <w:p>
            <w:pPr>
              <w:spacing w:after="0"/>
              <w:rPr>
                <w:sz w:val="1"/>
                <w:szCs w:val="1"/>
                <w:color w:val="auto"/>
              </w:rPr>
            </w:pPr>
          </w:p>
        </w:tc>
      </w:tr>
      <w:tr>
        <w:trPr>
          <w:trHeight w:val="103"/>
        </w:trPr>
        <w:tc>
          <w:tcPr>
            <w:tcW w:w="25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Controller, and Chief Accounting</w:t>
            </w:r>
          </w:p>
        </w:tc>
        <w:tc>
          <w:tcPr>
            <w:tcW w:w="1280" w:type="dxa"/>
            <w:vAlign w:val="bottom"/>
            <w:vMerge w:val="continue"/>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5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490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specified in the plan.</w:t>
            </w:r>
          </w:p>
        </w:tc>
        <w:tc>
          <w:tcPr>
            <w:tcW w:w="0" w:type="dxa"/>
            <w:vAlign w:val="bottom"/>
          </w:tcPr>
          <w:p>
            <w:pPr>
              <w:spacing w:after="0"/>
              <w:rPr>
                <w:sz w:val="1"/>
                <w:szCs w:val="1"/>
                <w:color w:val="auto"/>
              </w:rPr>
            </w:pPr>
          </w:p>
        </w:tc>
      </w:tr>
      <w:tr>
        <w:trPr>
          <w:trHeight w:val="162"/>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1280" w:type="dxa"/>
            <w:vAlign w:val="bottom"/>
          </w:tcPr>
          <w:p>
            <w:pPr>
              <w:spacing w:after="0"/>
              <w:rPr>
                <w:sz w:val="14"/>
                <w:szCs w:val="14"/>
                <w:color w:val="auto"/>
              </w:rPr>
            </w:pPr>
          </w:p>
        </w:tc>
        <w:tc>
          <w:tcPr>
            <w:tcW w:w="4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4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40"/>
        <w:spacing w:after="0" w:line="234" w:lineRule="auto"/>
        <w:rPr>
          <w:sz w:val="20"/>
          <w:szCs w:val="20"/>
          <w:color w:val="auto"/>
        </w:rPr>
      </w:pPr>
      <w:r>
        <w:rPr>
          <w:rFonts w:ascii="Times New Roman" w:cs="Times New Roman" w:eastAsia="Times New Roman" w:hAnsi="Times New Roman"/>
          <w:sz w:val="18"/>
          <w:szCs w:val="18"/>
          <w:color w:val="auto"/>
        </w:rPr>
        <w:t>Sale of 1,036 shares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 of shares to be received</w:t>
      </w:r>
    </w:p>
    <w:p>
      <w:pPr>
        <w:spacing w:after="0" w:line="14"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upon payout of 2024 RSRs and RPSRs</w:t>
      </w:r>
      <w:r>
        <w:rPr>
          <w:rFonts w:ascii="Times New Roman" w:cs="Times New Roman" w:eastAsia="Times New Roman" w:hAnsi="Times New Roman"/>
          <w:sz w:val="23"/>
          <w:szCs w:val="23"/>
          <w:color w:val="auto"/>
          <w:vertAlign w:val="superscript"/>
        </w:rPr>
        <w:t>(1)</w:t>
      </w:r>
    </w:p>
    <w:p>
      <w:pPr>
        <w:spacing w:after="0" w:line="49" w:lineRule="exact"/>
        <w:rPr>
          <w:sz w:val="20"/>
          <w:szCs w:val="20"/>
          <w:color w:val="auto"/>
        </w:rPr>
      </w:pPr>
    </w:p>
    <w:p>
      <w:pPr>
        <w:sectPr>
          <w:pgSz w:w="11900" w:h="16838" w:orient="portrait"/>
          <w:cols w:equalWidth="0" w:num="2">
            <w:col w:w="8780" w:space="380"/>
            <w:col w:w="208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Jones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February 25, 2026 February 5, 2027 or such earlier date upon the</w:t>
            </w:r>
          </w:p>
        </w:tc>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Gift of 526 shares</w:t>
            </w:r>
          </w:p>
        </w:tc>
        <w:tc>
          <w:tcPr>
            <w:tcW w:w="0" w:type="dxa"/>
            <w:vAlign w:val="bottom"/>
          </w:tcPr>
          <w:p>
            <w:pPr>
              <w:spacing w:after="0"/>
              <w:rPr>
                <w:sz w:val="1"/>
                <w:szCs w:val="1"/>
                <w:color w:val="auto"/>
              </w:rPr>
            </w:pPr>
          </w:p>
        </w:tc>
      </w:tr>
      <w:tr>
        <w:trPr>
          <w:trHeight w:val="175"/>
        </w:trPr>
        <w:tc>
          <w:tcPr>
            <w:tcW w:w="2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Vice President and</w:t>
            </w:r>
          </w:p>
        </w:tc>
        <w:tc>
          <w:tcPr>
            <w:tcW w:w="1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Trading</w:t>
            </w:r>
          </w:p>
        </w:tc>
        <w:tc>
          <w:tcPr>
            <w:tcW w:w="5080" w:type="dxa"/>
            <w:vAlign w:val="bottom"/>
            <w:shd w:val="clear" w:color="auto" w:fill="CCEEFF"/>
          </w:tcPr>
          <w:p>
            <w:pPr>
              <w:ind w:left="1560"/>
              <w:spacing w:after="0" w:line="176"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CCEEFF"/>
          </w:tcPr>
          <w:p>
            <w:pPr>
              <w:spacing w:after="0"/>
              <w:rPr>
                <w:sz w:val="7"/>
                <w:szCs w:val="7"/>
                <w:color w:val="auto"/>
              </w:rPr>
            </w:pPr>
          </w:p>
        </w:tc>
        <w:tc>
          <w:tcPr>
            <w:tcW w:w="136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Arrangement</w:t>
            </w:r>
          </w:p>
        </w:tc>
        <w:tc>
          <w:tcPr>
            <w:tcW w:w="5080" w:type="dxa"/>
            <w:vAlign w:val="bottom"/>
            <w:vMerge w:val="restart"/>
            <w:shd w:val="clear" w:color="auto" w:fill="CCEEFF"/>
          </w:tcPr>
          <w:p>
            <w:pPr>
              <w:ind w:left="1560"/>
              <w:spacing w:after="0" w:line="184"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22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 of shares received upon</w:t>
            </w:r>
          </w:p>
        </w:tc>
        <w:tc>
          <w:tcPr>
            <w:tcW w:w="0" w:type="dxa"/>
            <w:vAlign w:val="bottom"/>
          </w:tcPr>
          <w:p>
            <w:pPr>
              <w:spacing w:after="0"/>
              <w:rPr>
                <w:sz w:val="1"/>
                <w:szCs w:val="1"/>
                <w:color w:val="auto"/>
              </w:rPr>
            </w:pPr>
          </w:p>
        </w:tc>
      </w:tr>
      <w:tr>
        <w:trPr>
          <w:trHeight w:val="103"/>
        </w:trPr>
        <w:tc>
          <w:tcPr>
            <w:tcW w:w="252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Aeronautics Systems</w:t>
            </w:r>
          </w:p>
        </w:tc>
        <w:tc>
          <w:tcPr>
            <w:tcW w:w="1360" w:type="dxa"/>
            <w:vAlign w:val="bottom"/>
            <w:vMerge w:val="continue"/>
            <w:shd w:val="clear" w:color="auto" w:fill="CCEEFF"/>
          </w:tcPr>
          <w:p>
            <w:pPr>
              <w:spacing w:after="0"/>
              <w:rPr>
                <w:sz w:val="8"/>
                <w:szCs w:val="8"/>
                <w:color w:val="auto"/>
              </w:rPr>
            </w:pPr>
          </w:p>
        </w:tc>
        <w:tc>
          <w:tcPr>
            <w:tcW w:w="5080" w:type="dxa"/>
            <w:vAlign w:val="bottom"/>
            <w:vMerge w:val="continue"/>
            <w:shd w:val="clear" w:color="auto" w:fill="CCEEFF"/>
          </w:tcPr>
          <w:p>
            <w:pPr>
              <w:spacing w:after="0"/>
              <w:rPr>
                <w:sz w:val="8"/>
                <w:szCs w:val="8"/>
                <w:color w:val="auto"/>
              </w:rPr>
            </w:pPr>
          </w:p>
        </w:tc>
        <w:tc>
          <w:tcPr>
            <w:tcW w:w="2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520" w:type="dxa"/>
            <w:vAlign w:val="bottom"/>
            <w:vMerge w:val="continue"/>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5080" w:type="dxa"/>
            <w:vAlign w:val="bottom"/>
            <w:vMerge w:val="restart"/>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specified in the plan.</w:t>
            </w:r>
          </w:p>
        </w:tc>
        <w:tc>
          <w:tcPr>
            <w:tcW w:w="2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Sector)</w:t>
            </w:r>
          </w:p>
        </w:tc>
        <w:tc>
          <w:tcPr>
            <w:tcW w:w="1360" w:type="dxa"/>
            <w:vAlign w:val="bottom"/>
            <w:shd w:val="clear" w:color="auto" w:fill="CCEEFF"/>
          </w:tcPr>
          <w:p>
            <w:pPr>
              <w:spacing w:after="0"/>
              <w:rPr>
                <w:sz w:val="15"/>
                <w:szCs w:val="15"/>
                <w:color w:val="auto"/>
              </w:rPr>
            </w:pPr>
          </w:p>
        </w:tc>
        <w:tc>
          <w:tcPr>
            <w:tcW w:w="508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payout of 2023 RSRs and</w:t>
            </w: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RPSRs</w:t>
            </w:r>
          </w:p>
        </w:tc>
        <w:tc>
          <w:tcPr>
            <w:tcW w:w="0" w:type="dxa"/>
            <w:vAlign w:val="bottom"/>
          </w:tcPr>
          <w:p>
            <w:pPr>
              <w:spacing w:after="0"/>
              <w:rPr>
                <w:sz w:val="1"/>
                <w:szCs w:val="1"/>
                <w:color w:val="auto"/>
              </w:rPr>
            </w:pPr>
          </w:p>
        </w:tc>
      </w:tr>
      <w:tr>
        <w:trPr>
          <w:trHeight w:val="211"/>
        </w:trPr>
        <w:tc>
          <w:tcPr>
            <w:tcW w:w="2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aggregate number of shares to be sold will depend, in part, on future company performance.</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30" w:lineRule="exact"/>
        <w:rPr>
          <w:rFonts w:ascii="Times New Roman" w:cs="Times New Roman" w:eastAsia="Times New Roman" w:hAnsi="Times New Roman"/>
          <w:sz w:val="19"/>
          <w:szCs w:val="19"/>
          <w:color w:val="auto"/>
          <w:vertAlign w:val="superscript"/>
        </w:rPr>
      </w:pPr>
    </w:p>
    <w:p>
      <w:pPr>
        <w:ind w:left="548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980" w:right="120" w:hanging="541"/>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2026 Restricted Stock Rights Grant Agreement Specifying Terms and Conditions Applicable to 2026 Restricted Stock Rights Granted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2024 Long-Term Incentive Stock Plan</w:t>
      </w:r>
    </w:p>
    <w:p>
      <w:pPr>
        <w:spacing w:after="0" w:line="64" w:lineRule="exact"/>
        <w:rPr>
          <w:sz w:val="20"/>
          <w:szCs w:val="20"/>
          <w:color w:val="auto"/>
        </w:rPr>
      </w:pPr>
    </w:p>
    <w:p>
      <w:pPr>
        <w:ind w:left="980" w:right="240" w:hanging="541"/>
        <w:spacing w:after="0" w:line="23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2026 Restricted Performance Stock Rights Grant Agreement Specifying Terms and Conditions Applicable to 2026 Restricted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Rights Granted Under the 2024 Long-Term Incentive Stock Plan</w:t>
      </w:r>
    </w:p>
    <w:p>
      <w:pPr>
        <w:spacing w:after="0" w:line="64" w:lineRule="exact"/>
        <w:rPr>
          <w:sz w:val="20"/>
          <w:szCs w:val="20"/>
          <w:color w:val="auto"/>
        </w:rPr>
      </w:pPr>
    </w:p>
    <w:p>
      <w:pPr>
        <w:ind w:left="980" w:right="400" w:hanging="541"/>
        <w:spacing w:after="0" w:line="23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0000FF"/>
        </w:rPr>
        <w:t>2026 Restricted Stock Rights Grant Agreement Specifying Terms and Conditions Applicable to 2026 Restricted Stock Rights Granted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Kathy J. Warden under the 2024 Long-Term Incentive Stock Plan</w:t>
      </w:r>
    </w:p>
    <w:p>
      <w:pPr>
        <w:spacing w:after="0" w:line="64" w:lineRule="exact"/>
        <w:rPr>
          <w:sz w:val="20"/>
          <w:szCs w:val="20"/>
          <w:color w:val="auto"/>
        </w:rPr>
      </w:pPr>
    </w:p>
    <w:p>
      <w:pPr>
        <w:ind w:left="980" w:right="240" w:hanging="541"/>
        <w:spacing w:after="0" w:line="23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0000FF"/>
        </w:rPr>
        <w:t>2026 Restricted Performance Stock Rights Grant Agreement Specifying Terms and Conditions Applicable to 2026 Restricted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Stock Rights Granted to Kathy J. Warden under the 2024 Long-Term Incentive Stock Plan</w:t>
      </w:r>
    </w:p>
    <w:p>
      <w:pPr>
        <w:spacing w:after="0" w:line="64" w:lineRule="exact"/>
        <w:rPr>
          <w:sz w:val="20"/>
          <w:szCs w:val="20"/>
          <w:color w:val="auto"/>
        </w:rPr>
      </w:pPr>
    </w:p>
    <w:p>
      <w:pPr>
        <w:ind w:left="980" w:hanging="541"/>
        <w:spacing w:after="0" w:line="237"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0000FF"/>
        </w:rPr>
        <w:t>Special 2026 Restricted Stock Rights Grant Agreement Specifying Terms and Conditions Applicable to 2026 Restricted Stock Rights Granted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John T. Greene Under the 2024 Long-Term Incentive Stock Plan</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0000FF"/>
        </w:rPr>
        <w:t>Group Personal Excess Liability Policy, effective as of January 1, 2026</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0000FF"/>
        </w:rPr>
        <w:t>Form of Indemnification Agreement between Northrop Grumman Corporation and its directors and executive officers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58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John T. Greene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John T. Greene pursuant to Section 906 of the Sarbanes-Oxley Act of 2002</w:t>
      </w:r>
    </w:p>
    <w:p>
      <w:pPr>
        <w:ind w:left="980" w:right="40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March 31, 2026, formatted as inline XBRL (Extensible Business Reporting Language): (i) the Cover Page, (ii) Condensed Consolidated Statements of Earnings and Comprehensive</w:t>
      </w:r>
    </w:p>
    <w:p>
      <w:pPr>
        <w:ind w:left="980" w:right="260"/>
        <w:spacing w:after="0" w:line="215"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(vi) Notes to Condensed Consolidated Financial Statements, and</w:t>
      </w:r>
    </w:p>
    <w:p>
      <w:pPr>
        <w:spacing w:after="0" w:line="1" w:lineRule="exact"/>
        <w:rPr>
          <w:sz w:val="20"/>
          <w:szCs w:val="20"/>
          <w:color w:val="auto"/>
        </w:rPr>
      </w:pPr>
    </w:p>
    <w:p>
      <w:pPr>
        <w:ind w:left="980" w:right="140" w:hanging="9"/>
        <w:spacing w:after="0" w:line="233" w:lineRule="auto"/>
        <w:tabs>
          <w:tab w:leader="none" w:pos="1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The instance document does not appear in the Interactive Data File because its XBRL tags are embedded within the Inline XBRL document.</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ind w:left="980" w:hanging="630"/>
        <w:spacing w:after="0" w:line="204" w:lineRule="auto"/>
        <w:tabs>
          <w:tab w:leader="none" w:pos="98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14"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RESTRICTED STOCK RIGHTS GRANT AGREEMENT</w:t>
      </w:r>
    </w:p>
    <w:p>
      <w:pPr>
        <w:spacing w:after="0" w:line="2" w:lineRule="exact"/>
        <w:rPr>
          <w:sz w:val="20"/>
          <w:szCs w:val="20"/>
          <w:color w:val="auto"/>
        </w:rPr>
      </w:pPr>
    </w:p>
    <w:p>
      <w:pPr>
        <w:ind w:right="20" w:firstLine="405"/>
        <w:spacing w:after="0" w:line="251" w:lineRule="auto"/>
        <w:rPr>
          <w:sz w:val="20"/>
          <w:szCs w:val="20"/>
          <w:color w:val="auto"/>
        </w:rPr>
      </w:pPr>
      <w:r>
        <w:rPr>
          <w:rFonts w:ascii="Times New Roman" w:cs="Times New Roman" w:eastAsia="Times New Roman" w:hAnsi="Times New Roman"/>
          <w:sz w:val="18"/>
          <w:szCs w:val="18"/>
          <w:color w:val="auto"/>
        </w:rPr>
        <w:t>This 2026 Restricted Stock Rights Grant Agreement (“Agreement”) applies to certain “Restricted Stock Rights” (“RSRs”) granted by Northrop Grumman Corporation (the “Company”) in 2026 under its 2024 Long-Term Incentive Stock Plan. If you were granted an RSR award by the Company in 2026,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2026 RSR award under the Plan,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52" w:lineRule="exact"/>
        <w:rPr>
          <w:sz w:val="20"/>
          <w:szCs w:val="20"/>
          <w:color w:val="auto"/>
        </w:rPr>
      </w:pPr>
    </w:p>
    <w:p>
      <w:pPr>
        <w:ind w:right="40" w:firstLine="180"/>
        <w:spacing w:after="0" w:line="258" w:lineRule="auto"/>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122" w:right="339" w:bottom="1440" w:gutter="0" w:footer="0" w:header="0"/>
        </w:sectPr>
      </w:pPr>
    </w:p>
    <w:p>
      <w:pPr>
        <w:spacing w:after="0" w:line="179"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58"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i w:val="1"/>
          <w:iCs w:val="1"/>
          <w:color w:val="auto"/>
        </w:rPr>
        <w:t>Payment of RSRs</w:t>
      </w:r>
      <w:r>
        <w:rPr>
          <w:rFonts w:ascii="Times New Roman" w:cs="Times New Roman" w:eastAsia="Times New Roman" w:hAnsi="Times New Roman"/>
          <w:sz w:val="17"/>
          <w:szCs w:val="17"/>
          <w:color w:val="auto"/>
        </w:rPr>
        <w:t>. Except as otherwise provided below,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 w:right="160"/>
        <w:spacing w:after="0" w:line="289" w:lineRule="auto"/>
        <w:rPr>
          <w:sz w:val="20"/>
          <w:szCs w:val="20"/>
          <w:color w:val="auto"/>
        </w:rPr>
      </w:pPr>
      <w:r>
        <w:rPr>
          <w:rFonts w:ascii="Times New Roman" w:cs="Times New Roman" w:eastAsia="Times New Roman" w:hAnsi="Times New Roman"/>
          <w:sz w:val="17"/>
          <w:szCs w:val="17"/>
          <w:color w:val="auto"/>
        </w:rPr>
        <w:t>other adjustments to reflect the time value of money). Dividend Equivalents (if any) will be paid at the same time as the Vested RSRs to which they relate are paid. Dividend Equivalents will be paid in cash.</w:t>
      </w:r>
    </w:p>
    <w:p>
      <w:pPr>
        <w:spacing w:after="0" w:line="113" w:lineRule="exact"/>
        <w:rPr>
          <w:sz w:val="20"/>
          <w:szCs w:val="20"/>
          <w:color w:val="auto"/>
        </w:rPr>
      </w:pPr>
    </w:p>
    <w:p>
      <w:pPr>
        <w:ind w:left="382" w:hanging="382"/>
        <w:spacing w:after="0"/>
        <w:tabs>
          <w:tab w:leader="none" w:pos="38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 w:right="14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42" w:lineRule="exact"/>
        <w:rPr>
          <w:sz w:val="20"/>
          <w:szCs w:val="20"/>
          <w:color w:val="auto"/>
        </w:rPr>
      </w:pPr>
    </w:p>
    <w:p>
      <w:pPr>
        <w:ind w:left="2" w:right="1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5" w:lineRule="exact"/>
        <w:rPr>
          <w:sz w:val="20"/>
          <w:szCs w:val="20"/>
          <w:color w:val="auto"/>
        </w:rPr>
      </w:pPr>
    </w:p>
    <w:p>
      <w:pPr>
        <w:ind w:left="2" w:right="1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or one of its</w:t>
      </w:r>
    </w:p>
    <w:p>
      <w:pPr>
        <w:spacing w:after="0" w:line="228" w:lineRule="exact"/>
        <w:rPr>
          <w:sz w:val="20"/>
          <w:szCs w:val="20"/>
          <w:color w:val="auto"/>
        </w:rPr>
      </w:pPr>
    </w:p>
    <w:p>
      <w:pPr>
        <w:sectPr>
          <w:pgSz w:w="11900" w:h="16838" w:orient="portrait"/>
          <w:cols w:equalWidth="0" w:num="2">
            <w:col w:w="5200" w:space="718"/>
            <w:col w:w="5322"/>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ELT - RSR 2026</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2" w:right="339" w:bottom="1440" w:gutter="0" w:footer="0" w:header="0"/>
          <w:type w:val="continuous"/>
        </w:sectPr>
      </w:pPr>
    </w:p>
    <w:bookmarkStart w:id="41" w:name="page42"/>
    <w:bookmarkEnd w:id="41"/>
    <w:p>
      <w:pPr>
        <w:ind w:right="80"/>
        <w:spacing w:after="0" w:line="254" w:lineRule="auto"/>
        <w:rPr>
          <w:sz w:val="20"/>
          <w:szCs w:val="20"/>
          <w:color w:val="auto"/>
        </w:rPr>
      </w:pPr>
      <w:r>
        <w:rPr>
          <w:rFonts w:ascii="Times New Roman" w:cs="Times New Roman" w:eastAsia="Times New Roman" w:hAnsi="Times New Roman"/>
          <w:sz w:val="18"/>
          <w:szCs w:val="18"/>
          <w:color w:val="auto"/>
        </w:rPr>
        <w:t>subsidiaries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4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4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68"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left="2"/>
        <w:spacing w:after="0" w:line="253" w:lineRule="auto"/>
        <w:rPr>
          <w:sz w:val="20"/>
          <w:szCs w:val="20"/>
          <w:color w:val="auto"/>
        </w:rPr>
      </w:pPr>
      <w:r>
        <w:rPr>
          <w:rFonts w:ascii="Times New Roman" w:cs="Times New Roman" w:eastAsia="Times New Roman" w:hAnsi="Times New Roman"/>
          <w:sz w:val="18"/>
          <w:szCs w:val="18"/>
          <w:color w:val="auto"/>
        </w:rPr>
        <w:t>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50" w:lineRule="exact"/>
        <w:rPr>
          <w:sz w:val="20"/>
          <w:szCs w:val="20"/>
          <w:color w:val="auto"/>
        </w:rPr>
      </w:pPr>
    </w:p>
    <w:p>
      <w:pPr>
        <w:ind w:left="2"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Termination of Employment Due to Retirement</w:t>
      </w:r>
      <w:r>
        <w:rPr>
          <w:rFonts w:ascii="Times New Roman" w:cs="Times New Roman" w:eastAsia="Times New Roman" w:hAnsi="Times New Roman"/>
          <w:sz w:val="18"/>
          <w:szCs w:val="18"/>
          <w:color w:val="auto"/>
        </w:rPr>
        <w: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53" w:lineRule="exact"/>
        <w:rPr>
          <w:sz w:val="20"/>
          <w:szCs w:val="20"/>
          <w:color w:val="auto"/>
        </w:rPr>
      </w:pPr>
    </w:p>
    <w:p>
      <w:pPr>
        <w:jc w:val="both"/>
        <w:ind w:left="2" w:right="140" w:firstLine="405"/>
        <w:spacing w:after="0" w:line="257" w:lineRule="auto"/>
        <w:rPr>
          <w:sz w:val="20"/>
          <w:szCs w:val="20"/>
          <w:color w:val="auto"/>
        </w:rPr>
      </w:pPr>
      <w:r>
        <w:rPr>
          <w:rFonts w:ascii="Times New Roman" w:cs="Times New Roman" w:eastAsia="Times New Roman" w:hAnsi="Times New Roman"/>
          <w:sz w:val="18"/>
          <w:szCs w:val="18"/>
          <w:color w:val="auto"/>
        </w:rPr>
        <w:t>Subject to the following provisions of this paragraph, RSRs (and related Dividend Equivalents) vesting under this Section shall be paid within 60 days following the Grantee’s Separation from Service.</w:t>
      </w:r>
    </w:p>
    <w:p>
      <w:pPr>
        <w:spacing w:after="0" w:line="1" w:lineRule="exact"/>
        <w:rPr>
          <w:sz w:val="20"/>
          <w:szCs w:val="20"/>
          <w:color w:val="auto"/>
        </w:rPr>
      </w:pPr>
    </w:p>
    <w:p>
      <w:pPr>
        <w:ind w:left="2" w:right="80"/>
        <w:spacing w:after="0" w:line="250" w:lineRule="auto"/>
        <w:rPr>
          <w:sz w:val="20"/>
          <w:szCs w:val="20"/>
          <w:color w:val="auto"/>
        </w:rPr>
      </w:pPr>
      <w:r>
        <w:rPr>
          <w:rFonts w:ascii="Times New Roman" w:cs="Times New Roman" w:eastAsia="Times New Roman" w:hAnsi="Times New Roman"/>
          <w:sz w:val="18"/>
          <w:szCs w:val="18"/>
          <w:color w:val="auto"/>
        </w:rPr>
        <w:t>However, in the case of a Governmental Service Retirement by the Grantee, payment of the vested RSRs (and related Dividend Equivalents) will be made within 10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promptly after, and in all events within thirty</w:t>
      </w:r>
    </w:p>
    <w:p>
      <w:pPr>
        <w:spacing w:after="0" w:line="3" w:lineRule="exact"/>
        <w:rPr>
          <w:sz w:val="20"/>
          <w:szCs w:val="20"/>
          <w:color w:val="auto"/>
        </w:rPr>
      </w:pPr>
    </w:p>
    <w:p>
      <w:pPr>
        <w:jc w:val="both"/>
        <w:ind w:left="2" w:right="40" w:hanging="2"/>
        <w:spacing w:after="0" w:line="255" w:lineRule="auto"/>
        <w:tabs>
          <w:tab w:leader="none" w:pos="3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first to occur of) (a) the date which is six (6) months and one day after the Grantee’s Separation from Service, or (b) the date of the Grantee’s death. The</w:t>
      </w:r>
    </w:p>
    <w:p>
      <w:pPr>
        <w:sectPr>
          <w:pgSz w:w="11900" w:h="16838" w:orient="portrait"/>
          <w:cols w:equalWidth="0" w:num="2">
            <w:col w:w="5200" w:space="718"/>
            <w:col w:w="5202"/>
          </w:cols>
          <w:pgMar w:left="320" w:top="1161" w:right="459" w:bottom="1440" w:gutter="0" w:footer="0" w:header="0"/>
        </w:sectPr>
      </w:pPr>
    </w:p>
    <w:bookmarkStart w:id="42" w:name="page43"/>
    <w:bookmarkEnd w:id="42"/>
    <w:p>
      <w:pPr>
        <w:spacing w:after="0" w:line="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provisions of the preceding sentence shall only apply if, and to the extent, required to avoid the imputation of any tax, penalty or interest pursuant to Section 409A of the Code.</w:t>
      </w:r>
    </w:p>
    <w:p>
      <w:pPr>
        <w:spacing w:after="0" w:line="135" w:lineRule="exact"/>
        <w:rPr>
          <w:sz w:val="20"/>
          <w:szCs w:val="20"/>
          <w:color w:val="auto"/>
        </w:rPr>
      </w:pPr>
    </w:p>
    <w:p>
      <w:pPr>
        <w:ind w:firstLine="180"/>
        <w:spacing w:after="0" w:line="251" w:lineRule="auto"/>
        <w:rPr>
          <w:sz w:val="20"/>
          <w:szCs w:val="20"/>
          <w:color w:val="auto"/>
        </w:rPr>
      </w:pPr>
      <w:r>
        <w:rPr>
          <w:rFonts w:ascii="Times New Roman" w:cs="Times New Roman" w:eastAsia="Times New Roman" w:hAnsi="Times New Roman"/>
          <w:sz w:val="18"/>
          <w:szCs w:val="18"/>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Notwithstanding the foregoing, if the Grantee ceased to be employed by the Company or a subsidiary and was later rehired by the Company or a subsidiary, the Grantee’s service prior to the break in service shall be disregarded in determining service for such purposes; provided that, if the Grantee’s previous employment with the Company or a subsidiary had terminated due to the Grantee’s Early Retirement, Normal Retirement, or by the Company or a subsidiary as part of a reduction in force as determined at the Company’s sole discretion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60"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 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Grantee is required to reimburse the Company pursuant to such policy or applicable law with respect to the award.</w:t>
      </w:r>
    </w:p>
    <w:p>
      <w:pPr>
        <w:spacing w:after="0" w:line="149" w:lineRule="exact"/>
        <w:rPr>
          <w:sz w:val="20"/>
          <w:szCs w:val="20"/>
          <w:color w:val="auto"/>
        </w:rPr>
      </w:pPr>
    </w:p>
    <w:p>
      <w:pPr>
        <w:ind w:left="642" w:hanging="642"/>
        <w:spacing w:after="0"/>
        <w:tabs>
          <w:tab w:leader="none" w:pos="64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firstLine="405"/>
        <w:spacing w:after="0" w:line="267" w:lineRule="auto"/>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w:t>
      </w:r>
    </w:p>
    <w:p>
      <w:pPr>
        <w:sectPr>
          <w:pgSz w:w="11900" w:h="16838" w:orient="portrait"/>
          <w:cols w:equalWidth="0" w:num="2">
            <w:col w:w="5200" w:space="718"/>
            <w:col w:w="5182"/>
          </w:cols>
          <w:pgMar w:left="320" w:top="1157" w:right="4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spacing w:after="0" w:line="21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w:t>
      </w:r>
    </w:p>
    <w:p>
      <w:pPr>
        <w:spacing w:after="0" w:line="22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31" w:lineRule="exact"/>
        <w:rPr>
          <w:sz w:val="20"/>
          <w:szCs w:val="20"/>
          <w:color w:val="auto"/>
        </w:rPr>
      </w:pPr>
    </w:p>
    <w:p>
      <w:pPr>
        <w:ind w:firstLine="8"/>
        <w:spacing w:after="0" w:line="271" w:lineRule="auto"/>
        <w:tabs>
          <w:tab w:leader="none" w:pos="34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spacing w:after="0" w:line="3" w:lineRule="exact"/>
        <w:rPr>
          <w:sz w:val="20"/>
          <w:szCs w:val="20"/>
          <w:color w:val="auto"/>
        </w:rPr>
      </w:pPr>
    </w:p>
    <w:p>
      <w:pPr>
        <w:ind w:left="2"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10" w:lineRule="exact"/>
        <w:rPr>
          <w:sz w:val="20"/>
          <w:szCs w:val="20"/>
          <w:color w:val="auto"/>
        </w:rPr>
      </w:pPr>
    </w:p>
    <w:p>
      <w:pPr>
        <w:ind w:left="2" w:right="10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sz w:val="20"/>
          <w:szCs w:val="20"/>
          <w:color w:val="auto"/>
        </w:rPr>
      </w:pPr>
    </w:p>
    <w:p>
      <w:pPr>
        <w:ind w:left="2" w:right="180" w:hanging="2"/>
        <w:spacing w:after="0" w:line="265" w:lineRule="auto"/>
        <w:tabs>
          <w:tab w:leader="none" w:pos="31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ind w:left="2"/>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2" w:lineRule="exact"/>
        <w:rPr>
          <w:sz w:val="20"/>
          <w:szCs w:val="20"/>
          <w:color w:val="auto"/>
        </w:rPr>
      </w:pPr>
    </w:p>
    <w:p>
      <w:pPr>
        <w:ind w:left="2"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w:t>
      </w:r>
    </w:p>
    <w:p>
      <w:pPr>
        <w:sectPr>
          <w:pgSz w:w="11900" w:h="16838" w:orient="portrait"/>
          <w:cols w:equalWidth="0" w:num="2">
            <w:col w:w="5200" w:space="718"/>
            <w:col w:w="5202"/>
          </w:cols>
          <w:pgMar w:left="320" w:top="1269" w:right="459" w:bottom="1440" w:gutter="0" w:footer="0" w:header="0"/>
        </w:sectPr>
      </w:pPr>
    </w:p>
    <w:bookmarkStart w:id="44" w:name="page45"/>
    <w:bookmarkEnd w:id="44"/>
    <w:p>
      <w:pPr>
        <w:ind w:right="200"/>
        <w:spacing w:after="0" w:line="282" w:lineRule="auto"/>
        <w:rPr>
          <w:sz w:val="20"/>
          <w:szCs w:val="20"/>
          <w:color w:val="auto"/>
        </w:rPr>
      </w:pPr>
      <w:r>
        <w:rPr>
          <w:rFonts w:ascii="Times New Roman" w:cs="Times New Roman" w:eastAsia="Times New Roman" w:hAnsi="Times New Roman"/>
          <w:sz w:val="18"/>
          <w:szCs w:val="18"/>
          <w:color w:val="auto"/>
        </w:rPr>
        <w:t>monetary damages, to the maximum extent available and without any requirement to post bond.</w:t>
      </w:r>
    </w:p>
    <w:p>
      <w:pPr>
        <w:spacing w:after="0" w:line="185" w:lineRule="exact"/>
        <w:rPr>
          <w:sz w:val="20"/>
          <w:szCs w:val="20"/>
          <w:color w:val="auto"/>
        </w:rPr>
      </w:pPr>
    </w:p>
    <w:p>
      <w:pPr>
        <w:ind w:left="420" w:right="560" w:hanging="412"/>
        <w:spacing w:after="0" w:line="286" w:lineRule="auto"/>
        <w:tabs>
          <w:tab w:leader="none" w:pos="4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43"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 subject to the award are subject to adjustment upon the occurrence of events such as stock splits, stock dividends and other changes in capitalization in accordance with Section 6(a) of the Plan.</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5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2" w:right="100"/>
        <w:spacing w:after="0" w:line="266" w:lineRule="auto"/>
        <w:rPr>
          <w:sz w:val="20"/>
          <w:szCs w:val="20"/>
          <w:color w:val="auto"/>
        </w:rPr>
      </w:pPr>
      <w:r>
        <w:rPr>
          <w:rFonts w:ascii="Times New Roman" w:cs="Times New Roman" w:eastAsia="Times New Roman" w:hAnsi="Times New Roman"/>
          <w:sz w:val="18"/>
          <w:szCs w:val="18"/>
          <w:color w:val="auto"/>
        </w:rPr>
        <w:t>downsizing program that commenced prior to the Protected Period and such termination of employment was expected at that time to occur within six (6) months.</w:t>
      </w:r>
    </w:p>
    <w:p>
      <w:pPr>
        <w:spacing w:after="0" w:line="135" w:lineRule="exact"/>
        <w:rPr>
          <w:sz w:val="20"/>
          <w:szCs w:val="20"/>
          <w:color w:val="auto"/>
        </w:rPr>
      </w:pPr>
    </w:p>
    <w:p>
      <w:pPr>
        <w:ind w:left="2" w:firstLine="405"/>
        <w:spacing w:after="0" w:line="261"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35" w:lineRule="exact"/>
        <w:rPr>
          <w:sz w:val="20"/>
          <w:szCs w:val="20"/>
          <w:color w:val="auto"/>
        </w:rPr>
      </w:pPr>
    </w:p>
    <w:p>
      <w:pPr>
        <w:ind w:left="2"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5" w:lineRule="exact"/>
        <w:rPr>
          <w:sz w:val="20"/>
          <w:szCs w:val="20"/>
          <w:color w:val="auto"/>
        </w:rPr>
      </w:pPr>
    </w:p>
    <w:p>
      <w:pPr>
        <w:ind w:left="2" w:right="40" w:hanging="2"/>
        <w:spacing w:after="0" w:line="251"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66" w:lineRule="exact"/>
        <w:rPr>
          <w:sz w:val="20"/>
          <w:szCs w:val="20"/>
          <w:color w:val="auto"/>
        </w:rPr>
      </w:pPr>
    </w:p>
    <w:p>
      <w:pPr>
        <w:ind w:left="2" w:firstLine="405"/>
        <w:spacing w:after="0" w:line="254"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44" w:lineRule="exact"/>
        <w:rPr>
          <w:sz w:val="20"/>
          <w:szCs w:val="20"/>
          <w:color w:val="auto"/>
        </w:rPr>
      </w:pPr>
    </w:p>
    <w:p>
      <w:pPr>
        <w:ind w:left="382" w:hanging="382"/>
        <w:spacing w:after="0"/>
        <w:tabs>
          <w:tab w:leader="none" w:pos="38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2"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w:t>
      </w:r>
    </w:p>
    <w:p>
      <w:pPr>
        <w:sectPr>
          <w:pgSz w:w="11900" w:h="16838" w:orient="portrait"/>
          <w:cols w:equalWidth="0" w:num="2">
            <w:col w:w="5220" w:space="698"/>
            <w:col w:w="5202"/>
          </w:cols>
          <w:pgMar w:left="320" w:top="1161" w:right="459" w:bottom="1440" w:gutter="0" w:footer="0" w:header="0"/>
        </w:sectPr>
      </w:pPr>
    </w:p>
    <w:bookmarkStart w:id="45" w:name="page46"/>
    <w:bookmarkEnd w:id="45"/>
    <w:p>
      <w:pPr>
        <w:ind w:right="40"/>
        <w:spacing w:after="0" w:line="253" w:lineRule="auto"/>
        <w:rPr>
          <w:sz w:val="20"/>
          <w:szCs w:val="20"/>
          <w:color w:val="auto"/>
        </w:rPr>
      </w:pPr>
      <w:r>
        <w:rPr>
          <w:rFonts w:ascii="Times New Roman" w:cs="Times New Roman" w:eastAsia="Times New Roman" w:hAnsi="Times New Roman"/>
          <w:sz w:val="18"/>
          <w:szCs w:val="18"/>
          <w:color w:val="auto"/>
        </w:rPr>
        <w:t>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4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 transfer taxes, if any, and other fees and expenses in connection with the issuance of shares in connection with the vesting of the RSRs.</w:t>
      </w:r>
    </w:p>
    <w:p>
      <w:pPr>
        <w:spacing w:after="0" w:line="130"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Committee shall administer and construe the award in a manner designed to comply with the Code and to avoid adverse tax consequences under Code Section 409A.</w:t>
      </w:r>
    </w:p>
    <w:p>
      <w:pPr>
        <w:spacing w:after="0" w:line="144"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1.5 Code Section 280G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2"/>
        <w:spacing w:after="0" w:line="253" w:lineRule="auto"/>
        <w:rPr>
          <w:sz w:val="20"/>
          <w:szCs w:val="20"/>
          <w:color w:val="auto"/>
        </w:rPr>
      </w:pPr>
      <w:r>
        <w:rPr>
          <w:rFonts w:ascii="Times New Roman" w:cs="Times New Roman" w:eastAsia="Times New Roman" w:hAnsi="Times New Roman"/>
          <w:sz w:val="18"/>
          <w:szCs w:val="18"/>
          <w:color w:val="auto"/>
        </w:rPr>
        <w:t>Company and you no later than the date of the applicable Change in Control. In the event that any payments or benefits to the Grantee are to be reduced pursuant to this Section 7.5, such payments and benefits shall be reduced 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50" w:lineRule="exact"/>
        <w:rPr>
          <w:sz w:val="20"/>
          <w:szCs w:val="20"/>
          <w:color w:val="auto"/>
        </w:rPr>
      </w:pPr>
    </w:p>
    <w:p>
      <w:pPr>
        <w:ind w:left="642" w:hanging="642"/>
        <w:spacing w:after="0"/>
        <w:tabs>
          <w:tab w:leader="none" w:pos="64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2" w:firstLine="177"/>
        <w:spacing w:after="0" w:line="267" w:lineRule="auto"/>
        <w:rPr>
          <w:sz w:val="20"/>
          <w:szCs w:val="20"/>
          <w:color w:val="auto"/>
        </w:rPr>
      </w:pPr>
      <w:r>
        <w:rPr>
          <w:rFonts w:ascii="Times New Roman" w:cs="Times New Roman" w:eastAsia="Times New Roman" w:hAnsi="Times New Roman"/>
          <w:sz w:val="17"/>
          <w:szCs w:val="17"/>
          <w:color w:val="auto"/>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7" w:lineRule="exact"/>
        <w:rPr>
          <w:sz w:val="20"/>
          <w:szCs w:val="20"/>
          <w:color w:val="auto"/>
        </w:rPr>
      </w:pPr>
    </w:p>
    <w:p>
      <w:pPr>
        <w:ind w:left="322" w:hanging="322"/>
        <w:spacing w:after="0"/>
        <w:tabs>
          <w:tab w:leader="none" w:pos="32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firstLine="405"/>
        <w:spacing w:after="0" w:line="254"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ectPr>
          <w:pgSz w:w="11900" w:h="16838" w:orient="portrait"/>
          <w:cols w:equalWidth="0" w:num="2">
            <w:col w:w="5220" w:space="698"/>
            <w:col w:w="5162"/>
          </w:cols>
          <w:pgMar w:left="320" w:top="1161" w:right="499" w:bottom="1440" w:gutter="0" w:footer="0" w:header="0"/>
        </w:sectPr>
      </w:pPr>
    </w:p>
    <w:bookmarkStart w:id="46" w:name="page47"/>
    <w:bookmarkEnd w:id="46"/>
    <w:p>
      <w:pPr>
        <w:ind w:left="400" w:hanging="392"/>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7"/>
          <w:szCs w:val="17"/>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402" w:hanging="402"/>
        <w:spacing w:after="0"/>
        <w:tabs>
          <w:tab w:leader="none" w:pos="40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1"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9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89" w:lineRule="exact"/>
        <w:rPr>
          <w:sz w:val="20"/>
          <w:szCs w:val="20"/>
          <w:color w:val="auto"/>
        </w:rPr>
      </w:pPr>
    </w:p>
    <w:p>
      <w:pPr>
        <w:ind w:left="562" w:right="120" w:hanging="319"/>
        <w:spacing w:after="0" w:line="258" w:lineRule="auto"/>
        <w:tabs>
          <w:tab w:leader="none" w:pos="5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42" w:lineRule="exact"/>
        <w:rPr>
          <w:rFonts w:ascii="Times New Roman" w:cs="Times New Roman" w:eastAsia="Times New Roman" w:hAnsi="Times New Roman"/>
          <w:sz w:val="18"/>
          <w:szCs w:val="18"/>
          <w:color w:val="auto"/>
        </w:rPr>
      </w:pPr>
    </w:p>
    <w:p>
      <w:pPr>
        <w:ind w:left="562" w:right="40" w:hanging="319"/>
        <w:spacing w:after="0" w:line="256" w:lineRule="auto"/>
        <w:tabs>
          <w:tab w:leader="none" w:pos="6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56"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left="2" w:right="10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ind w:left="2" w:right="6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4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85"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ectPr>
          <w:pgSz w:w="11900" w:h="16838" w:orient="portrait"/>
          <w:cols w:equalWidth="0" w:num="2">
            <w:col w:w="5200" w:space="718"/>
            <w:col w:w="5202"/>
          </w:cols>
          <w:pgMar w:left="320" w:top="1157" w:right="459" w:bottom="1440" w:gutter="0" w:footer="0" w:header="0"/>
        </w:sectPr>
      </w:pPr>
    </w:p>
    <w:bookmarkStart w:id="47" w:name="page48"/>
    <w:bookmarkEnd w:id="47"/>
    <w:p>
      <w:pPr>
        <w:ind w:right="241"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83" w:lineRule="exact"/>
        <w:rPr>
          <w:sz w:val="20"/>
          <w:szCs w:val="20"/>
          <w:color w:val="auto"/>
        </w:rPr>
      </w:pPr>
    </w:p>
    <w:p>
      <w:pPr>
        <w:ind w:left="580" w:right="421" w:hanging="329"/>
        <w:spacing w:after="0" w:line="282"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spacing w:after="0" w:line="134" w:lineRule="exact"/>
        <w:rPr>
          <w:rFonts w:ascii="Times New Roman" w:cs="Times New Roman" w:eastAsia="Times New Roman" w:hAnsi="Times New Roman"/>
          <w:sz w:val="18"/>
          <w:szCs w:val="18"/>
          <w:color w:val="auto"/>
        </w:rPr>
      </w:pPr>
    </w:p>
    <w:p>
      <w:pPr>
        <w:ind w:left="580" w:right="361" w:hanging="329"/>
        <w:spacing w:after="0" w:line="261" w:lineRule="auto"/>
        <w:tabs>
          <w:tab w:leader="none" w:pos="6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39" w:lineRule="exact"/>
        <w:rPr>
          <w:rFonts w:ascii="Times New Roman" w:cs="Times New Roman" w:eastAsia="Times New Roman" w:hAnsi="Times New Roman"/>
          <w:sz w:val="18"/>
          <w:szCs w:val="18"/>
          <w:color w:val="auto"/>
        </w:rPr>
      </w:pPr>
    </w:p>
    <w:p>
      <w:pPr>
        <w:ind w:left="580" w:right="241" w:hanging="329"/>
        <w:spacing w:after="0" w:line="261" w:lineRule="auto"/>
        <w:tabs>
          <w:tab w:leader="none" w:pos="7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35" w:lineRule="exact"/>
        <w:rPr>
          <w:sz w:val="20"/>
          <w:szCs w:val="20"/>
          <w:color w:val="auto"/>
        </w:rPr>
      </w:pPr>
    </w:p>
    <w:p>
      <w:pPr>
        <w:ind w:right="521"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9" w:lineRule="exact"/>
        <w:rPr>
          <w:sz w:val="20"/>
          <w:szCs w:val="20"/>
          <w:color w:val="auto"/>
        </w:rPr>
      </w:pPr>
    </w:p>
    <w:p>
      <w:pPr>
        <w:ind w:right="561"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95" w:lineRule="exact"/>
        <w:rPr>
          <w:sz w:val="20"/>
          <w:szCs w:val="20"/>
          <w:color w:val="auto"/>
        </w:rPr>
      </w:pPr>
    </w:p>
    <w:p>
      <w:pPr>
        <w:ind w:left="580" w:right="361" w:hanging="329"/>
        <w:spacing w:after="0" w:line="252" w:lineRule="auto"/>
        <w:tabs>
          <w:tab w:leader="none" w:pos="5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319" w:hanging="143"/>
        <w:spacing w:after="0" w:line="252" w:lineRule="auto"/>
        <w:rPr>
          <w:sz w:val="20"/>
          <w:szCs w:val="20"/>
          <w:color w:val="auto"/>
        </w:rPr>
      </w:pPr>
      <w:r>
        <w:rPr>
          <w:rFonts w:ascii="Times New Roman" w:cs="Times New Roman" w:eastAsia="Times New Roman" w:hAnsi="Times New Roman"/>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7" w:lineRule="exact"/>
        <w:rPr>
          <w:sz w:val="20"/>
          <w:szCs w:val="20"/>
          <w:color w:val="auto"/>
        </w:rPr>
      </w:pPr>
    </w:p>
    <w:p>
      <w:pPr>
        <w:ind w:left="319" w:right="60" w:hanging="319"/>
        <w:spacing w:after="0" w:line="261" w:lineRule="auto"/>
        <w:tabs>
          <w:tab w:leader="none" w:pos="3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39" w:lineRule="exact"/>
        <w:rPr>
          <w:rFonts w:ascii="Times New Roman" w:cs="Times New Roman" w:eastAsia="Times New Roman" w:hAnsi="Times New Roman"/>
          <w:sz w:val="18"/>
          <w:szCs w:val="18"/>
          <w:color w:val="auto"/>
        </w:rPr>
      </w:pPr>
    </w:p>
    <w:p>
      <w:pPr>
        <w:ind w:left="319" w:right="20" w:hanging="319"/>
        <w:spacing w:after="0" w:line="253" w:lineRule="auto"/>
        <w:tabs>
          <w:tab w:leader="none" w:pos="4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62" w:lineRule="exact"/>
        <w:rPr>
          <w:rFonts w:ascii="Times New Roman" w:cs="Times New Roman" w:eastAsia="Times New Roman" w:hAnsi="Times New Roman"/>
          <w:sz w:val="18"/>
          <w:szCs w:val="18"/>
          <w:color w:val="auto"/>
        </w:rPr>
      </w:pPr>
    </w:p>
    <w:p>
      <w:pPr>
        <w:ind w:left="319" w:hanging="319"/>
        <w:spacing w:after="0" w:line="253" w:lineRule="auto"/>
        <w:tabs>
          <w:tab w:leader="none" w:pos="4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ectPr>
          <w:pgSz w:w="11900" w:h="16838" w:orient="portrait"/>
          <w:cols w:equalWidth="0" w:num="2">
            <w:col w:w="5441" w:space="720"/>
            <w:col w:w="4959"/>
          </w:cols>
          <w:pgMar w:left="320" w:top="1157" w:right="459" w:bottom="1440" w:gutter="0" w:footer="0" w:header="0"/>
        </w:sectPr>
      </w:pPr>
    </w:p>
    <w:bookmarkStart w:id="48" w:name="page49"/>
    <w:bookmarkEnd w:id="48"/>
    <w:p>
      <w:pPr>
        <w:spacing w:after="0" w:line="4" w:lineRule="exact"/>
        <w:rPr>
          <w:sz w:val="20"/>
          <w:szCs w:val="20"/>
          <w:color w:val="auto"/>
        </w:rPr>
      </w:pPr>
    </w:p>
    <w:p>
      <w:pPr>
        <w:ind w:left="580" w:right="100" w:hanging="329"/>
        <w:spacing w:after="0" w:line="254" w:lineRule="auto"/>
        <w:tabs>
          <w:tab w:leader="none" w:pos="6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3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5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8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2024 Long-Term Incentive Stock Plan, as it may be amended form time to time.</w:t>
      </w:r>
    </w:p>
    <w:p>
      <w:pPr>
        <w:spacing w:after="0" w:line="114"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48" w:lineRule="exact"/>
        <w:rPr>
          <w:sz w:val="20"/>
          <w:szCs w:val="20"/>
          <w:color w:val="auto"/>
        </w:rPr>
      </w:pPr>
    </w:p>
    <w:p>
      <w:pPr>
        <w:ind w:left="560" w:hanging="319"/>
        <w:spacing w:after="0" w:line="254" w:lineRule="auto"/>
        <w:tabs>
          <w:tab w:leader="none" w:pos="5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Times New Roman" w:cs="Times New Roman" w:eastAsia="Times New Roman" w:hAnsi="Times New Roman"/>
          <w:sz w:val="18"/>
          <w:szCs w:val="18"/>
          <w:color w:val="auto"/>
        </w:rPr>
      </w:pPr>
    </w:p>
    <w:p>
      <w:pPr>
        <w:ind w:left="560" w:hanging="319"/>
        <w:spacing w:after="0" w:line="254" w:lineRule="auto"/>
        <w:tabs>
          <w:tab w:leader="none" w:pos="6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7" w:lineRule="exact"/>
        <w:rPr>
          <w:rFonts w:ascii="Times New Roman" w:cs="Times New Roman" w:eastAsia="Times New Roman" w:hAnsi="Times New Roman"/>
          <w:sz w:val="18"/>
          <w:szCs w:val="18"/>
          <w:color w:val="auto"/>
        </w:rPr>
      </w:pPr>
    </w:p>
    <w:p>
      <w:pPr>
        <w:ind w:left="700" w:hanging="459"/>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7" w:lineRule="exact"/>
        <w:rPr>
          <w:rFonts w:ascii="Times New Roman" w:cs="Times New Roman" w:eastAsia="Times New Roman" w:hAnsi="Times New Roman"/>
          <w:sz w:val="18"/>
          <w:szCs w:val="18"/>
          <w:color w:val="auto"/>
        </w:rPr>
      </w:pPr>
    </w:p>
    <w:p>
      <w:pPr>
        <w:jc w:val="both"/>
        <w:ind w:left="560" w:right="140" w:firstLine="5"/>
        <w:spacing w:after="0" w:line="253" w:lineRule="auto"/>
        <w:tabs>
          <w:tab w:leader="none" w:pos="7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including the date of the Change in Control.</w:t>
      </w:r>
    </w:p>
    <w:p>
      <w:pPr>
        <w:spacing w:after="0" w:line="158"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42" w:lineRule="exact"/>
        <w:rPr>
          <w:sz w:val="20"/>
          <w:szCs w:val="20"/>
          <w:color w:val="auto"/>
        </w:rPr>
      </w:pPr>
    </w:p>
    <w:p>
      <w:pPr>
        <w:ind w:right="24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as a beneficiary designated in the Stock Plan System, or if none, the Grantee’s estate.</w:t>
      </w:r>
    </w:p>
    <w:p>
      <w:pPr>
        <w:sectPr>
          <w:pgSz w:w="11900" w:h="16838" w:orient="portrait"/>
          <w:cols w:equalWidth="0" w:num="2">
            <w:col w:w="5200" w:space="720"/>
            <w:col w:w="5200"/>
          </w:cols>
          <w:pgMar w:left="320" w:top="1157" w:right="4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RESTRICTED PERFORMANCE STOCK RIGHTS GRANT AGREEMENT</w:t>
      </w:r>
    </w:p>
    <w:p>
      <w:pPr>
        <w:spacing w:after="0" w:line="2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color w:val="auto"/>
        </w:rPr>
        <w:t>This 2026 Restricted Performance Stock Rights Grant Agreement (“Agreement”) applies to certain “Restricted Performance Stock Rights” (“RPSRs”) granted by Northrop Grumman Corporation (the “Company”) in 2026 under its 2024 Long-Term Incentive Stock Plan. If you were granted an RPSR award by the Company in 2026,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2026 RPSR award under the Plan,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Each RPSR represents a right to receive one share of the Company’s Common Stock, or cash of equivalent value as provided herein subject to vesting as provided herein. The performance period applicable to your award is January 1, 2026 to December 31, 2028 (the “Performance Period”). The target number of RPSRs subject to your award is subject to adjustment as provided herein. The RPSR award is subject to all of the terms and conditions set forth in this Agreement, and is further subject to all of the terms and conditions of the Plan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ectPr>
          <w:pgSz w:w="11900" w:h="16838" w:orient="portrait"/>
          <w:cols w:equalWidth="0" w:num="1">
            <w:col w:w="11240"/>
          </w:cols>
          <w:pgMar w:left="320" w:top="122" w:right="339" w:bottom="1440" w:gutter="0" w:footer="0" w:header="0"/>
        </w:sectPr>
      </w:pPr>
    </w:p>
    <w:p>
      <w:pPr>
        <w:spacing w:after="0" w:line="183"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 of RPSRs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Performance-Based Vesting of RPSRs</w:t>
      </w:r>
      <w:r>
        <w:rPr>
          <w:rFonts w:ascii="Times New Roman" w:cs="Times New Roman" w:eastAsia="Times New Roman" w:hAnsi="Times New Roman"/>
          <w:sz w:val="18"/>
          <w:szCs w:val="18"/>
          <w:color w:val="auto"/>
        </w:rPr>
        <w:t>. Subject to Sections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43"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Payment of RPSRs</w:t>
      </w:r>
      <w:r>
        <w:rPr>
          <w:rFonts w:ascii="Times New Roman" w:cs="Times New Roman" w:eastAsia="Times New Roman" w:hAnsi="Times New Roman"/>
          <w:sz w:val="18"/>
          <w:szCs w:val="18"/>
          <w:color w:val="auto"/>
        </w:rPr>
        <w:t>. The number of RPSRs payable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conclusion of the Performance Period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4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w:t>
      </w:r>
    </w:p>
    <w:p>
      <w:pPr>
        <w:spacing w:after="0" w:line="200" w:lineRule="exact"/>
        <w:rPr>
          <w:sz w:val="20"/>
          <w:szCs w:val="20"/>
          <w:color w:val="auto"/>
        </w:rPr>
      </w:pPr>
    </w:p>
    <w:p>
      <w:pPr>
        <w:sectPr>
          <w:pgSz w:w="11900" w:h="16838" w:orient="portrait"/>
          <w:cols w:equalWidth="0" w:num="2">
            <w:col w:w="5200" w:space="720"/>
            <w:col w:w="53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6"/>
          <w:szCs w:val="16"/>
          <w:color w:val="auto"/>
        </w:rPr>
        <w:t>ELT - RPSR 2026</w:t>
      </w:r>
      <w:r>
        <w:rPr>
          <w:sz w:val="20"/>
          <w:szCs w:val="20"/>
          <w:color w:val="auto"/>
        </w:rPr>
        <w:tab/>
      </w: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type w:val="continuous"/>
        </w:sectPr>
      </w:pPr>
    </w:p>
    <w:bookmarkStart w:id="50" w:name="page51"/>
    <w:bookmarkEnd w:id="50"/>
    <w:p>
      <w:pPr>
        <w:ind w:right="220"/>
        <w:spacing w:after="0" w:line="272" w:lineRule="auto"/>
        <w:rPr>
          <w:sz w:val="20"/>
          <w:szCs w:val="20"/>
          <w:color w:val="auto"/>
        </w:rPr>
      </w:pPr>
      <w:r>
        <w:rPr>
          <w:rFonts w:ascii="Times New Roman" w:cs="Times New Roman" w:eastAsia="Times New Roman" w:hAnsi="Times New Roman"/>
          <w:sz w:val="17"/>
          <w:szCs w:val="17"/>
          <w:color w:val="auto"/>
        </w:rPr>
        <w:t>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27"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RPSRs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56"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i w:val="1"/>
          <w:iCs w:val="1"/>
          <w:color w:val="auto"/>
        </w:rPr>
        <w:t>Termination of Employment Due to Retirement, Death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The number of RPSRs (and related Dividend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subject to the award shall vest on a prorated basis as provided herein if the Grantee’s employment by the Company and its subsidiaries terminates due to the Grantee’s Early Retirement, death, or Disability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w:t>
      </w:r>
    </w:p>
    <w:p>
      <w:pPr>
        <w:spacing w:after="0" w:line="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full Performance Period. 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145" w:lineRule="exact"/>
        <w:rPr>
          <w:sz w:val="20"/>
          <w:szCs w:val="20"/>
          <w:color w:val="auto"/>
        </w:rPr>
      </w:pPr>
    </w:p>
    <w:p>
      <w:pPr>
        <w:ind w:right="80" w:firstLine="180"/>
        <w:spacing w:after="0" w:line="290" w:lineRule="auto"/>
        <w:rPr>
          <w:sz w:val="20"/>
          <w:szCs w:val="20"/>
          <w:color w:val="auto"/>
        </w:rPr>
      </w:pPr>
      <w:r>
        <w:rPr>
          <w:rFonts w:ascii="Times New Roman" w:cs="Times New Roman" w:eastAsia="Times New Roman" w:hAnsi="Times New Roman"/>
          <w:sz w:val="17"/>
          <w:szCs w:val="17"/>
          <w:i w:val="1"/>
          <w:iCs w:val="1"/>
          <w:color w:val="auto"/>
        </w:rPr>
        <w:t>Death or Disability</w:t>
      </w:r>
      <w:r>
        <w:rPr>
          <w:rFonts w:ascii="Times New Roman" w:cs="Times New Roman" w:eastAsia="Times New Roman" w:hAnsi="Times New Roman"/>
          <w:sz w:val="17"/>
          <w:szCs w:val="17"/>
          <w:color w:val="auto"/>
        </w:rPr>
        <w:t>. In the case of death or Disability (a) the Earnout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Grantee’s Prorated RPSRs (and related Dividend Equivalents) will be deemed to be 100% (target), regardless of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181" w:lineRule="exact"/>
        <w:rPr>
          <w:sz w:val="20"/>
          <w:szCs w:val="20"/>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Retirement in General</w:t>
      </w:r>
      <w:r>
        <w:rPr>
          <w:rFonts w:ascii="Times New Roman" w:cs="Times New Roman" w:eastAsia="Times New Roman" w:hAnsi="Times New Roman"/>
          <w:sz w:val="18"/>
          <w:szCs w:val="18"/>
          <w:color w:val="auto"/>
        </w:rPr>
        <w:t>. Subject to the following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85" w:lineRule="exact"/>
        <w:rPr>
          <w:sz w:val="20"/>
          <w:szCs w:val="20"/>
          <w:color w:val="auto"/>
        </w:rPr>
      </w:pPr>
    </w:p>
    <w:p>
      <w:pPr>
        <w:ind w:firstLine="180"/>
        <w:spacing w:after="0" w:line="251" w:lineRule="auto"/>
        <w:rPr>
          <w:sz w:val="20"/>
          <w:szCs w:val="20"/>
          <w:color w:val="auto"/>
        </w:rPr>
      </w:pPr>
      <w:r>
        <w:rPr>
          <w:rFonts w:ascii="Times New Roman" w:cs="Times New Roman" w:eastAsia="Times New Roman" w:hAnsi="Times New Roman"/>
          <w:sz w:val="18"/>
          <w:szCs w:val="18"/>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Notwithstanding the foregoing, if the Grantee ceased to be employed by the Company or a subsidiary and was later rehired by the Company or a subsidiary, the Grantee’s service prior to the break in service shall be disregarded in determining service for such purposes; provided that, if the Grantee’s previous employment with the Company or a subsidiary had terminated due to the Grantee’s Retirement, or by the Company or a subsidiary as part of a reduction in force as determined at the Company’s sole discretion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203"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Retirement Due to Government Service. </w:t>
      </w:r>
      <w:r>
        <w:rPr>
          <w:rFonts w:ascii="Times New Roman" w:cs="Times New Roman" w:eastAsia="Times New Roman" w:hAnsi="Times New Roman"/>
          <w:sz w:val="18"/>
          <w:szCs w:val="18"/>
          <w:color w:val="auto"/>
        </w:rPr>
        <w:t>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w:t>
      </w:r>
    </w:p>
    <w:p>
      <w:pPr>
        <w:sectPr>
          <w:pgSz w:w="11900" w:h="16838" w:orient="portrait"/>
          <w:cols w:equalWidth="0" w:num="2">
            <w:col w:w="5220" w:space="700"/>
            <w:col w:w="5180"/>
          </w:cols>
          <w:pgMar w:left="320" w:top="1161" w:right="479" w:bottom="1440" w:gutter="0" w:footer="0" w:header="0"/>
        </w:sectPr>
      </w:pPr>
    </w:p>
    <w:bookmarkStart w:id="51" w:name="page52"/>
    <w:bookmarkEnd w:id="51"/>
    <w:p>
      <w:pPr>
        <w:spacing w:after="0" w:line="266" w:lineRule="auto"/>
        <w:rPr>
          <w:sz w:val="20"/>
          <w:szCs w:val="20"/>
          <w:color w:val="auto"/>
        </w:rPr>
      </w:pPr>
      <w:r>
        <w:rPr>
          <w:rFonts w:ascii="Times New Roman" w:cs="Times New Roman" w:eastAsia="Times New Roman" w:hAnsi="Times New Roman"/>
          <w:sz w:val="18"/>
          <w:szCs w:val="18"/>
          <w:color w:val="auto"/>
        </w:rPr>
        <w:t>Period, and (c) payment of the Prorated RPSRs that become Vested RPSRs (and Dividend Equivalents thereon) will be made within 20 days after Retirement.</w:t>
      </w:r>
    </w:p>
    <w:p>
      <w:pPr>
        <w:spacing w:after="0" w:line="17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b w:val="1"/>
          <w:bCs w:val="1"/>
          <w:i w:val="1"/>
          <w:iCs w:val="1"/>
          <w:color w:val="auto"/>
        </w:rPr>
        <w:t>Other Terminations of Employment</w:t>
      </w:r>
      <w:r>
        <w:rPr>
          <w:rFonts w:ascii="Times New Roman" w:cs="Times New Roman" w:eastAsia="Times New Roman" w:hAnsi="Times New Roman"/>
          <w:sz w:val="18"/>
          <w:szCs w:val="18"/>
          <w:color w:val="auto"/>
        </w:rPr>
        <w:t>. Subject to 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4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2.4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or one of its subsidiaries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5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Times New Roman" w:cs="Times New Roman" w:eastAsia="Times New Roman" w:hAnsi="Times New Roman"/>
          <w:sz w:val="18"/>
          <w:szCs w:val="18"/>
          <w:color w:val="auto"/>
        </w:rPr>
        <w:t>Retirement treated as provided for in Section 2.2 (subject to Section 6).</w:t>
      </w:r>
    </w:p>
    <w:p>
      <w:pPr>
        <w:spacing w:after="0" w:line="181" w:lineRule="exact"/>
        <w:rPr>
          <w:sz w:val="20"/>
          <w:szCs w:val="20"/>
          <w:color w:val="auto"/>
        </w:rPr>
      </w:pPr>
    </w:p>
    <w:p>
      <w:pPr>
        <w:ind w:left="2" w:firstLine="405"/>
        <w:spacing w:after="0" w:line="270" w:lineRule="auto"/>
        <w:rPr>
          <w:sz w:val="20"/>
          <w:szCs w:val="20"/>
          <w:color w:val="auto"/>
        </w:rPr>
      </w:pPr>
      <w:r>
        <w:rPr>
          <w:rFonts w:ascii="Times New Roman" w:cs="Times New Roman" w:eastAsia="Times New Roman" w:hAnsi="Times New Roman"/>
          <w:sz w:val="17"/>
          <w:szCs w:val="17"/>
          <w:b w:val="1"/>
          <w:bCs w:val="1"/>
          <w:color w:val="auto"/>
        </w:rPr>
        <w:t>2.7</w:t>
      </w:r>
      <w:r>
        <w:rPr>
          <w:rFonts w:ascii="Times New Roman" w:cs="Times New Roman" w:eastAsia="Times New Roman" w:hAnsi="Times New Roman"/>
          <w:sz w:val="17"/>
          <w:szCs w:val="17"/>
          <w:b w:val="1"/>
          <w:bCs w:val="1"/>
          <w:i w:val="1"/>
          <w:iCs w:val="1"/>
          <w:color w:val="auto"/>
        </w:rPr>
        <w:t>Continuance of Employment Required</w:t>
      </w:r>
      <w:r>
        <w:rPr>
          <w:rFonts w:ascii="Times New Roman" w:cs="Times New Roman" w:eastAsia="Times New Roman" w:hAnsi="Times New Roman"/>
          <w:sz w:val="17"/>
          <w:szCs w:val="17"/>
          <w:color w:val="auto"/>
        </w:rPr>
        <w:t>. Except as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w:t>
      </w:r>
    </w:p>
    <w:p>
      <w:pPr>
        <w:spacing w:after="0" w:line="1" w:lineRule="exact"/>
        <w:rPr>
          <w:sz w:val="20"/>
          <w:szCs w:val="20"/>
          <w:color w:val="auto"/>
        </w:rPr>
      </w:pPr>
    </w:p>
    <w:p>
      <w:pPr>
        <w:ind w:left="2" w:right="100"/>
        <w:spacing w:after="0" w:line="256" w:lineRule="auto"/>
        <w:rPr>
          <w:sz w:val="20"/>
          <w:szCs w:val="20"/>
          <w:color w:val="auto"/>
        </w:rPr>
      </w:pPr>
      <w:r>
        <w:rPr>
          <w:rFonts w:ascii="Times New Roman" w:cs="Times New Roman" w:eastAsia="Times New Roman" w:hAnsi="Times New Roman"/>
          <w:sz w:val="18"/>
          <w:szCs w:val="18"/>
          <w:color w:val="auto"/>
        </w:rPr>
        <w:t>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56" w:lineRule="exact"/>
        <w:rPr>
          <w:sz w:val="20"/>
          <w:szCs w:val="20"/>
          <w:color w:val="auto"/>
        </w:rPr>
      </w:pPr>
    </w:p>
    <w:p>
      <w:pPr>
        <w:ind w:left="2" w:right="8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b w:val="1"/>
          <w:bCs w:val="1"/>
          <w:i w:val="1"/>
          <w:iCs w:val="1"/>
          <w:color w:val="auto"/>
        </w:rPr>
        <w:t>Death</w:t>
      </w:r>
      <w:r>
        <w:rPr>
          <w:rFonts w:ascii="Times New Roman" w:cs="Times New Roman" w:eastAsia="Times New Roman" w:hAnsi="Times New Roman"/>
          <w:sz w:val="18"/>
          <w:szCs w:val="18"/>
          <w:color w:val="auto"/>
        </w:rPr>
        <w:t>. In the event of the Grantee’s death subsequent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42" w:lineRule="exact"/>
        <w:rPr>
          <w:sz w:val="20"/>
          <w:szCs w:val="20"/>
          <w:color w:val="auto"/>
        </w:rPr>
      </w:pPr>
    </w:p>
    <w:p>
      <w:pPr>
        <w:ind w:left="642" w:hanging="642"/>
        <w:spacing w:after="0"/>
        <w:tabs>
          <w:tab w:leader="none" w:pos="64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RPSRs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85" w:lineRule="exact"/>
        <w:rPr>
          <w:sz w:val="20"/>
          <w:szCs w:val="20"/>
          <w:color w:val="auto"/>
        </w:rPr>
      </w:pPr>
    </w:p>
    <w:p>
      <w:pPr>
        <w:jc w:val="both"/>
        <w:ind w:left="2" w:right="12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with respect to the award, Grantee’s employment is terminated for Cause (or</w:t>
      </w:r>
    </w:p>
    <w:p>
      <w:pPr>
        <w:sectPr>
          <w:pgSz w:w="11900" w:h="16838" w:orient="portrait"/>
          <w:cols w:equalWidth="0" w:num="2">
            <w:col w:w="5220" w:space="698"/>
            <w:col w:w="5202"/>
          </w:cols>
          <w:pgMar w:left="320" w:top="1161" w:right="459" w:bottom="1440" w:gutter="0" w:footer="0" w:header="0"/>
        </w:sectPr>
      </w:pPr>
    </w:p>
    <w:bookmarkStart w:id="52" w:name="page53"/>
    <w:bookmarkEnd w:id="52"/>
    <w:p>
      <w:pPr>
        <w:spacing w:after="0" w:line="252" w:lineRule="auto"/>
        <w:rPr>
          <w:sz w:val="20"/>
          <w:szCs w:val="20"/>
          <w:color w:val="auto"/>
        </w:rPr>
      </w:pPr>
      <w:r>
        <w:rPr>
          <w:rFonts w:ascii="Times New Roman" w:cs="Times New Roman" w:eastAsia="Times New Roman" w:hAnsi="Times New Roman"/>
          <w:sz w:val="18"/>
          <w:szCs w:val="18"/>
          <w:color w:val="auto"/>
        </w:rPr>
        <w:t>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 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Grantee is required to reimburse the Company pursuant to such policy or applicable law with respect to the award.</w:t>
      </w:r>
    </w:p>
    <w:p>
      <w:pPr>
        <w:spacing w:after="0" w:line="18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b w:val="1"/>
          <w:bCs w:val="1"/>
          <w:i w:val="1"/>
          <w:iCs w:val="1"/>
          <w:color w:val="auto"/>
        </w:rPr>
        <w:t>Executive Leadership Team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right="40"/>
        <w:spacing w:after="0" w:line="256" w:lineRule="auto"/>
        <w:rPr>
          <w:sz w:val="20"/>
          <w:szCs w:val="20"/>
          <w:color w:val="auto"/>
        </w:rPr>
      </w:pPr>
      <w:r>
        <w:rPr>
          <w:rFonts w:ascii="Times New Roman" w:cs="Times New Roman" w:eastAsia="Times New Roman" w:hAnsi="Times New Roman"/>
          <w:sz w:val="18"/>
          <w:szCs w:val="18"/>
          <w:color w:val="auto"/>
        </w:rPr>
        <w:t>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spacing w:after="0" w:line="210" w:lineRule="exact"/>
        <w:rPr>
          <w:sz w:val="20"/>
          <w:szCs w:val="20"/>
          <w:color w:val="auto"/>
        </w:rPr>
      </w:pPr>
    </w:p>
    <w:p>
      <w:pPr>
        <w:ind w:left="2"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w:t>
      </w:r>
    </w:p>
    <w:p>
      <w:pPr>
        <w:spacing w:after="0" w:line="222" w:lineRule="exact"/>
        <w:rPr>
          <w:sz w:val="20"/>
          <w:szCs w:val="20"/>
          <w:color w:val="auto"/>
        </w:rPr>
      </w:pPr>
    </w:p>
    <w:p>
      <w:pPr>
        <w:ind w:left="2" w:right="6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31" w:lineRule="exact"/>
        <w:rPr>
          <w:sz w:val="20"/>
          <w:szCs w:val="20"/>
          <w:color w:val="auto"/>
        </w:rPr>
      </w:pPr>
    </w:p>
    <w:p>
      <w:pPr>
        <w:ind w:left="2" w:right="20" w:hanging="2"/>
        <w:spacing w:after="0" w:line="271" w:lineRule="auto"/>
        <w:tabs>
          <w:tab w:leader="none" w:pos="34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7" w:lineRule="exact"/>
        <w:rPr>
          <w:sz w:val="20"/>
          <w:szCs w:val="20"/>
          <w:color w:val="auto"/>
        </w:rPr>
      </w:pPr>
    </w:p>
    <w:p>
      <w:pPr>
        <w:ind w:left="2" w:right="14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w:t>
      </w:r>
    </w:p>
    <w:p>
      <w:pPr>
        <w:sectPr>
          <w:pgSz w:w="11900" w:h="16838" w:orient="portrait"/>
          <w:cols w:equalWidth="0" w:num="2">
            <w:col w:w="5200" w:space="718"/>
            <w:col w:w="5202"/>
          </w:cols>
          <w:pgMar w:left="320" w:top="1161" w:right="459" w:bottom="1440" w:gutter="0" w:footer="0" w:header="0"/>
        </w:sectPr>
      </w:pPr>
    </w:p>
    <w:bookmarkStart w:id="53" w:name="page54"/>
    <w:bookmarkEnd w:id="53"/>
    <w:p>
      <w:pPr>
        <w:spacing w:after="0" w:line="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spacing w:after="0" w:line="215"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0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sz w:val="20"/>
          <w:szCs w:val="20"/>
          <w:color w:val="auto"/>
        </w:rPr>
      </w:pPr>
    </w:p>
    <w:p>
      <w:pPr>
        <w:ind w:right="240" w:firstLine="8"/>
        <w:spacing w:after="0" w:line="265" w:lineRule="auto"/>
        <w:tabs>
          <w:tab w:leader="none" w:pos="31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w:t>
      </w: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 and without any requirement to post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322" w:right="620" w:hanging="322"/>
        <w:spacing w:after="0" w:line="286" w:lineRule="auto"/>
        <w:tabs>
          <w:tab w:leader="none" w:pos="32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2" w:firstLine="405"/>
        <w:spacing w:after="0" w:line="269" w:lineRule="auto"/>
        <w:rPr>
          <w:sz w:val="20"/>
          <w:szCs w:val="20"/>
          <w:color w:val="auto"/>
        </w:rPr>
      </w:pPr>
      <w:r>
        <w:rPr>
          <w:rFonts w:ascii="Times New Roman" w:cs="Times New Roman" w:eastAsia="Times New Roman" w:hAnsi="Times New Roman"/>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72" w:lineRule="exact"/>
        <w:rPr>
          <w:sz w:val="20"/>
          <w:szCs w:val="20"/>
          <w:color w:val="auto"/>
        </w:rPr>
      </w:pPr>
    </w:p>
    <w:p>
      <w:pPr>
        <w:ind w:left="642" w:hanging="642"/>
        <w:spacing w:after="0"/>
        <w:tabs>
          <w:tab w:leader="none" w:pos="64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RPSRs, Dividend Equivalents,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the award 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61"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53" w:lineRule="exact"/>
        <w:rPr>
          <w:sz w:val="20"/>
          <w:szCs w:val="20"/>
          <w:color w:val="auto"/>
        </w:rPr>
      </w:pPr>
    </w:p>
    <w:p>
      <w:pPr>
        <w:jc w:val="both"/>
        <w:ind w:left="2" w:right="240" w:firstLine="405"/>
        <w:spacing w:after="0" w:line="281"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w:t>
      </w:r>
    </w:p>
    <w:p>
      <w:pPr>
        <w:sectPr>
          <w:pgSz w:w="11900" w:h="16838" w:orient="portrait"/>
          <w:cols w:equalWidth="0" w:num="2">
            <w:col w:w="5200" w:space="718"/>
            <w:col w:w="5202"/>
          </w:cols>
          <w:pgMar w:left="320" w:top="1157" w:right="45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t>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7"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Grantee’s termination of employment.</w:t>
      </w:r>
    </w:p>
    <w:p>
      <w:pPr>
        <w:spacing w:after="0" w:line="151"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color w:val="auto"/>
        </w:rPr>
        <w:t>. 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5" w:lineRule="exact"/>
        <w:rPr>
          <w:sz w:val="20"/>
          <w:szCs w:val="20"/>
          <w:color w:val="auto"/>
        </w:rPr>
      </w:pPr>
    </w:p>
    <w:p>
      <w:pPr>
        <w:ind w:right="20" w:firstLine="8"/>
        <w:spacing w:after="0" w:line="25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6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the event the Grantee is entitled to a payment in accordance with the foregoing provisions of this Section 6.3, then the Grantee will be eligible for payment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2"/>
        <w:spacing w:after="0" w:line="252" w:lineRule="auto"/>
        <w:rPr>
          <w:sz w:val="20"/>
          <w:szCs w:val="20"/>
          <w:color w:val="auto"/>
        </w:rPr>
      </w:pPr>
      <w:r>
        <w:rPr>
          <w:rFonts w:ascii="Times New Roman" w:cs="Times New Roman" w:eastAsia="Times New Roman" w:hAnsi="Times New Roman"/>
          <w:sz w:val="18"/>
          <w:szCs w:val="18"/>
          <w:color w:val="auto"/>
        </w:rPr>
        <w:t>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43" w:lineRule="exact"/>
        <w:rPr>
          <w:sz w:val="20"/>
          <w:szCs w:val="20"/>
          <w:color w:val="auto"/>
        </w:rPr>
      </w:pPr>
    </w:p>
    <w:p>
      <w:pPr>
        <w:ind w:left="382" w:hanging="382"/>
        <w:spacing w:after="0"/>
        <w:tabs>
          <w:tab w:leader="none" w:pos="38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58" w:lineRule="exact"/>
        <w:rPr>
          <w:sz w:val="20"/>
          <w:szCs w:val="20"/>
          <w:color w:val="auto"/>
        </w:rPr>
      </w:pPr>
    </w:p>
    <w:p>
      <w:pPr>
        <w:ind w:left="2"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RPSRs.</w:t>
      </w:r>
    </w:p>
    <w:p>
      <w:pPr>
        <w:spacing w:after="0" w:line="130" w:lineRule="exact"/>
        <w:rPr>
          <w:sz w:val="20"/>
          <w:szCs w:val="20"/>
          <w:color w:val="auto"/>
        </w:rPr>
      </w:pPr>
    </w:p>
    <w:p>
      <w:pPr>
        <w:jc w:val="both"/>
        <w:ind w:left="2" w:right="18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This Agreement is designed to be exempt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409A, and the Committee shall administer and construe the award in such a way as</w:t>
      </w:r>
    </w:p>
    <w:p>
      <w:pPr>
        <w:sectPr>
          <w:pgSz w:w="11900" w:h="16838" w:orient="portrait"/>
          <w:cols w:equalWidth="0" w:num="2">
            <w:col w:w="5200" w:space="718"/>
            <w:col w:w="5202"/>
          </w:cols>
          <w:pgMar w:left="320" w:top="1161" w:right="459" w:bottom="1440" w:gutter="0" w:footer="0" w:header="0"/>
        </w:sectPr>
      </w:pPr>
    </w:p>
    <w:bookmarkStart w:id="55" w:name="page56"/>
    <w:bookmarkEnd w:id="55"/>
    <w:p>
      <w:pPr>
        <w:ind w:right="160"/>
        <w:spacing w:after="0" w:line="282" w:lineRule="auto"/>
        <w:rPr>
          <w:sz w:val="20"/>
          <w:szCs w:val="20"/>
          <w:color w:val="auto"/>
        </w:rPr>
      </w:pPr>
      <w:r>
        <w:rPr>
          <w:rFonts w:ascii="Times New Roman" w:cs="Times New Roman" w:eastAsia="Times New Roman" w:hAnsi="Times New Roman"/>
          <w:sz w:val="18"/>
          <w:szCs w:val="18"/>
          <w:color w:val="auto"/>
        </w:rPr>
        <w:t>to be exempt from and to avoid adverse tax consequences under Code Section 409A.</w:t>
      </w:r>
    </w:p>
    <w:p>
      <w:pPr>
        <w:spacing w:after="0" w:line="117"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b w:val="1"/>
          <w:bCs w:val="1"/>
          <w:color w:val="auto"/>
        </w:rPr>
        <w:t>7.5</w:t>
      </w:r>
      <w:r>
        <w:rPr>
          <w:rFonts w:ascii="Times New Roman" w:cs="Times New Roman" w:eastAsia="Times New Roman" w:hAnsi="Times New Roman"/>
          <w:sz w:val="18"/>
          <w:szCs w:val="18"/>
          <w:b w:val="1"/>
          <w:bCs w:val="1"/>
          <w:i w:val="1"/>
          <w:iCs w:val="1"/>
          <w:color w:val="auto"/>
        </w:rPr>
        <w:t>Code Section 280G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any payments or benefits to the Grantee are to be reduced pursuant to this Section 7.5, such payments and benefits shall be reduced 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7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80" w:firstLine="177"/>
        <w:spacing w:after="0" w:line="256"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2"/>
        <w:spacing w:after="0" w:line="252" w:lineRule="auto"/>
        <w:rPr>
          <w:sz w:val="20"/>
          <w:szCs w:val="20"/>
          <w:color w:val="auto"/>
        </w:rPr>
      </w:pPr>
      <w:r>
        <w:rPr>
          <w:rFonts w:ascii="Times New Roman" w:cs="Times New Roman" w:eastAsia="Times New Roman" w:hAnsi="Times New Roman"/>
          <w:sz w:val="18"/>
          <w:szCs w:val="18"/>
          <w:color w:val="auto"/>
        </w:rPr>
        <w:t>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3" w:lineRule="exact"/>
        <w:rPr>
          <w:sz w:val="20"/>
          <w:szCs w:val="20"/>
          <w:color w:val="auto"/>
        </w:rPr>
      </w:pPr>
    </w:p>
    <w:p>
      <w:pPr>
        <w:ind w:left="382" w:hanging="382"/>
        <w:spacing w:after="0"/>
        <w:tabs>
          <w:tab w:leader="none" w:pos="38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7" w:lineRule="exact"/>
        <w:rPr>
          <w:sz w:val="20"/>
          <w:szCs w:val="20"/>
          <w:color w:val="auto"/>
        </w:rPr>
      </w:pPr>
    </w:p>
    <w:p>
      <w:pPr>
        <w:ind w:left="402" w:hanging="402"/>
        <w:spacing w:after="0"/>
        <w:tabs>
          <w:tab w:leader="none" w:pos="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40" w:firstLine="405"/>
        <w:spacing w:after="0" w:line="253" w:lineRule="auto"/>
        <w:rPr>
          <w:sz w:val="20"/>
          <w:szCs w:val="20"/>
          <w:color w:val="auto"/>
        </w:rPr>
      </w:pPr>
      <w:r>
        <w:rPr>
          <w:rFonts w:ascii="Times New Roman" w:cs="Times New Roman" w:eastAsia="Times New Roman" w:hAnsi="Times New Roman"/>
          <w:sz w:val="18"/>
          <w:szCs w:val="18"/>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82" w:hanging="382"/>
        <w:spacing w:after="0"/>
        <w:tabs>
          <w:tab w:leader="none" w:pos="38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2" w:right="180" w:firstLine="180"/>
        <w:spacing w:after="0" w:line="258"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w:t>
      </w:r>
    </w:p>
    <w:p>
      <w:pPr>
        <w:sectPr>
          <w:pgSz w:w="11900" w:h="16838" w:orient="portrait"/>
          <w:cols w:equalWidth="0" w:num="2">
            <w:col w:w="5200" w:space="718"/>
            <w:col w:w="5202"/>
          </w:cols>
          <w:pgMar w:left="320" w:top="1161" w:right="459" w:bottom="1440" w:gutter="0" w:footer="0" w:header="0"/>
        </w:sectPr>
      </w:pPr>
    </w:p>
    <w:bookmarkStart w:id="56" w:name="page57"/>
    <w:bookmarkEnd w:id="56"/>
    <w:p>
      <w:pPr>
        <w:ind w:right="40"/>
        <w:spacing w:after="0" w:line="253" w:lineRule="auto"/>
        <w:rPr>
          <w:sz w:val="20"/>
          <w:szCs w:val="20"/>
          <w:color w:val="auto"/>
        </w:rPr>
      </w:pPr>
      <w:r>
        <w:rPr>
          <w:rFonts w:ascii="Times New Roman" w:cs="Times New Roman" w:eastAsia="Times New Roman" w:hAnsi="Times New Roman"/>
          <w:sz w:val="18"/>
          <w:szCs w:val="18"/>
          <w:color w:val="auto"/>
        </w:rPr>
        <w:t>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w:t>
      </w:r>
    </w:p>
    <w:p>
      <w:pPr>
        <w:spacing w:after="0" w:line="5" w:lineRule="exact"/>
        <w:rPr>
          <w:sz w:val="20"/>
          <w:szCs w:val="20"/>
          <w:color w:val="auto"/>
        </w:rPr>
      </w:pPr>
    </w:p>
    <w:p>
      <w:pPr>
        <w:jc w:val="both"/>
        <w:ind w:right="20" w:firstLine="8"/>
        <w:spacing w:after="0" w:line="265" w:lineRule="auto"/>
        <w:tabs>
          <w:tab w:leader="none" w:pos="28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Change in Control that results in termination and payment under Section 6.2 or 6.3 above, or (D) with respected to Grantee’s entering a U.S. federal government position only, the latest of</w:t>
      </w:r>
    </w:p>
    <w:p>
      <w:pPr>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 circumstances the holding period requirement will apply as to any shares acquired upon payment of RPSRs within one year after such</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5"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560" w:right="120" w:hanging="319"/>
        <w:spacing w:after="0" w:line="258" w:lineRule="auto"/>
        <w:tabs>
          <w:tab w:leader="none" w:pos="58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42" w:lineRule="exact"/>
        <w:rPr>
          <w:rFonts w:ascii="Times New Roman" w:cs="Times New Roman" w:eastAsia="Times New Roman" w:hAnsi="Times New Roman"/>
          <w:sz w:val="18"/>
          <w:szCs w:val="18"/>
          <w:color w:val="auto"/>
        </w:rPr>
      </w:pPr>
    </w:p>
    <w:p>
      <w:pPr>
        <w:ind w:left="560" w:right="40" w:hanging="319"/>
        <w:spacing w:after="0" w:line="256" w:lineRule="auto"/>
        <w:tabs>
          <w:tab w:leader="none" w:pos="63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98" w:lineRule="exact"/>
        <w:rPr>
          <w:sz w:val="20"/>
          <w:szCs w:val="20"/>
          <w:color w:val="auto"/>
        </w:rPr>
      </w:pPr>
    </w:p>
    <w:p>
      <w:pPr>
        <w:ind w:right="10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9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45"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3" w:lineRule="exact"/>
        <w:rPr>
          <w:sz w:val="20"/>
          <w:szCs w:val="20"/>
          <w:color w:val="auto"/>
        </w:rPr>
      </w:pPr>
    </w:p>
    <w:p>
      <w:pPr>
        <w:ind w:right="80" w:firstLine="178"/>
        <w:spacing w:after="0" w:line="250" w:lineRule="auto"/>
        <w:tabs>
          <w:tab w:leader="none" w:pos="5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ind w:firstLine="178"/>
        <w:spacing w:after="0" w:line="255"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ectPr>
          <w:pgSz w:w="11900" w:h="16838" w:orient="portrait"/>
          <w:cols w:equalWidth="0" w:num="2">
            <w:col w:w="5200" w:space="720"/>
            <w:col w:w="5200"/>
          </w:cols>
          <w:pgMar w:left="320" w:top="1161" w:right="459" w:bottom="1440" w:gutter="0" w:footer="0" w:header="0"/>
        </w:sectPr>
      </w:pPr>
    </w:p>
    <w:bookmarkStart w:id="57" w:name="page58"/>
    <w:bookmarkEnd w:id="57"/>
    <w:p>
      <w:pPr>
        <w:ind w:right="20" w:firstLine="413"/>
        <w:spacing w:after="0" w:line="261" w:lineRule="auto"/>
        <w:tabs>
          <w:tab w:leader="none" w:pos="8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35" w:lineRule="exact"/>
        <w:rPr>
          <w:sz w:val="20"/>
          <w:szCs w:val="20"/>
          <w:color w:val="auto"/>
        </w:rPr>
      </w:pPr>
    </w:p>
    <w:p>
      <w:pPr>
        <w:ind w:right="280"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6" w:lineRule="exact"/>
        <w:rPr>
          <w:sz w:val="20"/>
          <w:szCs w:val="20"/>
          <w:color w:val="auto"/>
        </w:rPr>
      </w:pPr>
    </w:p>
    <w:p>
      <w:pPr>
        <w:ind w:right="320"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9" w:lineRule="exact"/>
        <w:rPr>
          <w:sz w:val="20"/>
          <w:szCs w:val="20"/>
          <w:color w:val="auto"/>
        </w:rPr>
      </w:pPr>
    </w:p>
    <w:p>
      <w:pPr>
        <w:ind w:left="580" w:right="120" w:hanging="329"/>
        <w:spacing w:after="0" w:line="252" w:lineRule="auto"/>
        <w:tabs>
          <w:tab w:leader="none" w:pos="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50" w:lineRule="exact"/>
        <w:rPr>
          <w:sz w:val="20"/>
          <w:szCs w:val="20"/>
          <w:color w:val="auto"/>
        </w:rPr>
      </w:pPr>
    </w:p>
    <w:p>
      <w:pPr>
        <w:ind w:left="580" w:hanging="143"/>
        <w:spacing w:after="0" w:line="269"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jc w:val="both"/>
        <w:ind w:left="560" w:right="640"/>
        <w:spacing w:after="0" w:line="312" w:lineRule="auto"/>
        <w:rPr>
          <w:sz w:val="20"/>
          <w:szCs w:val="20"/>
          <w:color w:val="auto"/>
        </w:rPr>
      </w:pPr>
      <w:r>
        <w:rPr>
          <w:rFonts w:ascii="Times New Roman" w:cs="Times New Roman" w:eastAsia="Times New Roman" w:hAnsi="Times New Roman"/>
          <w:sz w:val="17"/>
          <w:szCs w:val="17"/>
          <w:color w:val="auto"/>
        </w:rPr>
        <w:t>Grantee immediately prior to the commencement of the Protected Period do not have the title of vice-president.</w:t>
      </w:r>
    </w:p>
    <w:p>
      <w:pPr>
        <w:spacing w:after="0" w:line="99" w:lineRule="exact"/>
        <w:rPr>
          <w:sz w:val="20"/>
          <w:szCs w:val="20"/>
          <w:color w:val="auto"/>
        </w:rPr>
      </w:pPr>
    </w:p>
    <w:p>
      <w:pPr>
        <w:ind w:left="560" w:right="20" w:hanging="319"/>
        <w:spacing w:after="0" w:line="261" w:lineRule="auto"/>
        <w:tabs>
          <w:tab w:leader="none" w:pos="6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9" w:lineRule="exact"/>
        <w:rPr>
          <w:rFonts w:ascii="Times New Roman" w:cs="Times New Roman" w:eastAsia="Times New Roman" w:hAnsi="Times New Roman"/>
          <w:sz w:val="18"/>
          <w:szCs w:val="18"/>
          <w:color w:val="auto"/>
        </w:rPr>
      </w:pPr>
    </w:p>
    <w:p>
      <w:pPr>
        <w:ind w:left="560" w:right="20" w:hanging="319"/>
        <w:spacing w:after="0" w:line="253" w:lineRule="auto"/>
        <w:tabs>
          <w:tab w:leader="none" w:pos="6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62" w:lineRule="exact"/>
        <w:rPr>
          <w:rFonts w:ascii="Times New Roman" w:cs="Times New Roman" w:eastAsia="Times New Roman" w:hAnsi="Times New Roman"/>
          <w:sz w:val="18"/>
          <w:szCs w:val="18"/>
          <w:color w:val="auto"/>
        </w:rPr>
      </w:pPr>
    </w:p>
    <w:p>
      <w:pPr>
        <w:ind w:left="560" w:hanging="319"/>
        <w:spacing w:after="0" w:line="253" w:lineRule="auto"/>
        <w:tabs>
          <w:tab w:leader="none" w:pos="6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53" w:lineRule="exact"/>
        <w:rPr>
          <w:rFonts w:ascii="Times New Roman" w:cs="Times New Roman" w:eastAsia="Times New Roman" w:hAnsi="Times New Roman"/>
          <w:sz w:val="18"/>
          <w:szCs w:val="18"/>
          <w:color w:val="auto"/>
        </w:rPr>
      </w:pPr>
    </w:p>
    <w:p>
      <w:pPr>
        <w:ind w:left="560" w:right="100" w:hanging="319"/>
        <w:spacing w:after="0" w:line="254" w:lineRule="auto"/>
        <w:tabs>
          <w:tab w:leader="none" w:pos="62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w:t>
      </w:r>
    </w:p>
    <w:p>
      <w:pPr>
        <w:sectPr>
          <w:pgSz w:w="11900" w:h="16838" w:orient="portrait"/>
          <w:cols w:equalWidth="0" w:num="2">
            <w:col w:w="5200" w:space="720"/>
            <w:col w:w="5200"/>
          </w:cols>
          <w:pgMar w:left="320" w:top="1161" w:right="459" w:bottom="1440" w:gutter="0" w:footer="0" w:header="0"/>
        </w:sectPr>
      </w:pPr>
    </w:p>
    <w:bookmarkStart w:id="58" w:name="page59"/>
    <w:bookmarkEnd w:id="5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Grantee’s continued employment shall not constitute a consent to, or a waiver of rights with respect to, any circumstances constituting Good Reason herein.</w:t>
      </w:r>
    </w:p>
    <w:p>
      <w:pPr>
        <w:spacing w:after="0" w:line="131"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3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2024 Long-Term Incentive Stock Plan, as it may be amended form time to time.</w:t>
      </w:r>
    </w:p>
    <w:p>
      <w:pPr>
        <w:spacing w:after="0" w:line="114"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48" w:lineRule="exact"/>
        <w:rPr>
          <w:sz w:val="20"/>
          <w:szCs w:val="20"/>
          <w:color w:val="auto"/>
        </w:rPr>
      </w:pPr>
    </w:p>
    <w:p>
      <w:pPr>
        <w:ind w:left="580" w:right="20" w:hanging="329"/>
        <w:spacing w:after="0" w:line="254" w:lineRule="auto"/>
        <w:tabs>
          <w:tab w:leader="none" w:pos="6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Times New Roman" w:cs="Times New Roman" w:eastAsia="Times New Roman" w:hAnsi="Times New Roman"/>
          <w:sz w:val="18"/>
          <w:szCs w:val="18"/>
          <w:color w:val="auto"/>
        </w:rPr>
      </w:pPr>
    </w:p>
    <w:p>
      <w:pPr>
        <w:ind w:left="580" w:right="20" w:hanging="329"/>
        <w:spacing w:after="0" w:line="254" w:lineRule="auto"/>
        <w:tabs>
          <w:tab w:leader="none" w:pos="6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commence earlier than the date that is six (6) months prior to the Change in Control.</w:t>
      </w:r>
    </w:p>
    <w:p>
      <w:pPr>
        <w:spacing w:after="0" w:line="121" w:lineRule="exact"/>
        <w:rPr>
          <w:sz w:val="20"/>
          <w:szCs w:val="20"/>
          <w:color w:val="auto"/>
        </w:rPr>
      </w:pPr>
    </w:p>
    <w:p>
      <w:pPr>
        <w:ind w:left="700" w:hanging="459"/>
        <w:spacing w:after="0"/>
        <w:tabs>
          <w:tab w:leader="none" w:pos="7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Change in Control not described in clause</w:t>
      </w:r>
    </w:p>
    <w:p>
      <w:pPr>
        <w:spacing w:after="0" w:line="38" w:lineRule="exact"/>
        <w:rPr>
          <w:rFonts w:ascii="Times New Roman" w:cs="Times New Roman" w:eastAsia="Times New Roman" w:hAnsi="Times New Roman"/>
          <w:sz w:val="17"/>
          <w:szCs w:val="17"/>
          <w:color w:val="auto"/>
        </w:rPr>
      </w:pPr>
    </w:p>
    <w:p>
      <w:pPr>
        <w:jc w:val="both"/>
        <w:ind w:left="560" w:right="60" w:firstLine="5"/>
        <w:spacing w:after="0" w:line="253" w:lineRule="auto"/>
        <w:tabs>
          <w:tab w:leader="none" w:pos="77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include the date of the Change in Control.</w:t>
      </w:r>
    </w:p>
    <w:p>
      <w:pPr>
        <w:spacing w:after="0" w:line="144"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as a beneficiary designated in the Stock Plan System, or if none, the Grantee’s estate.</w:t>
      </w:r>
    </w:p>
    <w:p>
      <w:pPr>
        <w:sectPr>
          <w:pgSz w:w="11900" w:h="16838" w:orient="portrait"/>
          <w:cols w:equalWidth="0" w:num="2">
            <w:col w:w="5220" w:space="700"/>
            <w:col w:w="5020"/>
          </w:cols>
          <w:pgMar w:left="320" w:top="1161" w:right="6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RESTRICTED STOCK RIGHTS GRANT AGREEMENT</w:t>
      </w:r>
    </w:p>
    <w:p>
      <w:pPr>
        <w:spacing w:after="0" w:line="2" w:lineRule="exact"/>
        <w:rPr>
          <w:sz w:val="20"/>
          <w:szCs w:val="20"/>
          <w:color w:val="auto"/>
        </w:rPr>
      </w:pPr>
    </w:p>
    <w:p>
      <w:pPr>
        <w:ind w:right="20" w:firstLine="405"/>
        <w:spacing w:after="0" w:line="251" w:lineRule="auto"/>
        <w:rPr>
          <w:sz w:val="20"/>
          <w:szCs w:val="20"/>
          <w:color w:val="auto"/>
        </w:rPr>
      </w:pPr>
      <w:r>
        <w:rPr>
          <w:rFonts w:ascii="Times New Roman" w:cs="Times New Roman" w:eastAsia="Times New Roman" w:hAnsi="Times New Roman"/>
          <w:sz w:val="18"/>
          <w:szCs w:val="18"/>
          <w:color w:val="auto"/>
        </w:rPr>
        <w:t>This 2026 Restricted Stock Rights Grant Agreement (“Agreement”) applies to certain “Restricted Stock Rights” (“RSRs”) granted by Northrop Grumman Corporation (the “Company”) in 2026 under its 2024 Long-Term Incentive Stock Plan. If you were granted an RSR award by the Company in 2026,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2026 RSR award under the Plan,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52" w:lineRule="exact"/>
        <w:rPr>
          <w:sz w:val="20"/>
          <w:szCs w:val="20"/>
          <w:color w:val="auto"/>
        </w:rPr>
      </w:pPr>
    </w:p>
    <w:p>
      <w:pPr>
        <w:ind w:right="40" w:firstLine="180"/>
        <w:spacing w:after="0" w:line="258" w:lineRule="auto"/>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94" w:right="339" w:bottom="1440" w:gutter="0" w:footer="0" w:header="0"/>
        </w:sectPr>
      </w:pPr>
    </w:p>
    <w:p>
      <w:pPr>
        <w:spacing w:after="0" w:line="179" w:lineRule="exact"/>
        <w:rPr>
          <w:sz w:val="20"/>
          <w:szCs w:val="20"/>
          <w:color w:val="auto"/>
        </w:rPr>
      </w:pPr>
    </w:p>
    <w:p>
      <w:pPr>
        <w:ind w:left="400" w:hanging="392"/>
        <w:spacing w:after="0"/>
        <w:tabs>
          <w:tab w:leader="none" w:pos="4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58"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i w:val="1"/>
          <w:iCs w:val="1"/>
          <w:color w:val="auto"/>
        </w:rPr>
        <w:t>Payment of RSRs</w:t>
      </w:r>
      <w:r>
        <w:rPr>
          <w:rFonts w:ascii="Times New Roman" w:cs="Times New Roman" w:eastAsia="Times New Roman" w:hAnsi="Times New Roman"/>
          <w:sz w:val="17"/>
          <w:szCs w:val="17"/>
          <w:color w:val="auto"/>
        </w:rPr>
        <w:t>. Except as otherwise provided below,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 w:right="160"/>
        <w:spacing w:after="0" w:line="289" w:lineRule="auto"/>
        <w:rPr>
          <w:sz w:val="20"/>
          <w:szCs w:val="20"/>
          <w:color w:val="auto"/>
        </w:rPr>
      </w:pPr>
      <w:r>
        <w:rPr>
          <w:rFonts w:ascii="Times New Roman" w:cs="Times New Roman" w:eastAsia="Times New Roman" w:hAnsi="Times New Roman"/>
          <w:sz w:val="17"/>
          <w:szCs w:val="17"/>
          <w:color w:val="auto"/>
        </w:rPr>
        <w:t>other adjustments to reflect the time value of money). Dividend Equivalents (if any) will be paid at the same time as the Vested RSRs to which they relate are paid. Dividend Equivalents will be paid in cash.</w:t>
      </w:r>
    </w:p>
    <w:p>
      <w:pPr>
        <w:spacing w:after="0" w:line="113" w:lineRule="exact"/>
        <w:rPr>
          <w:sz w:val="20"/>
          <w:szCs w:val="20"/>
          <w:color w:val="auto"/>
        </w:rPr>
      </w:pPr>
    </w:p>
    <w:p>
      <w:pPr>
        <w:ind w:left="382" w:hanging="382"/>
        <w:spacing w:after="0"/>
        <w:tabs>
          <w:tab w:leader="none" w:pos="38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 w:right="14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42" w:lineRule="exact"/>
        <w:rPr>
          <w:sz w:val="20"/>
          <w:szCs w:val="20"/>
          <w:color w:val="auto"/>
        </w:rPr>
      </w:pPr>
    </w:p>
    <w:p>
      <w:pPr>
        <w:ind w:left="2" w:right="1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5" w:lineRule="exact"/>
        <w:rPr>
          <w:sz w:val="20"/>
          <w:szCs w:val="20"/>
          <w:color w:val="auto"/>
        </w:rPr>
      </w:pPr>
    </w:p>
    <w:p>
      <w:pPr>
        <w:ind w:left="2" w:right="1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or one of its</w:t>
      </w:r>
    </w:p>
    <w:p>
      <w:pPr>
        <w:spacing w:after="0" w:line="228" w:lineRule="exact"/>
        <w:rPr>
          <w:sz w:val="20"/>
          <w:szCs w:val="20"/>
          <w:color w:val="auto"/>
        </w:rPr>
      </w:pPr>
    </w:p>
    <w:p>
      <w:pPr>
        <w:sectPr>
          <w:pgSz w:w="11900" w:h="16838" w:orient="portrait"/>
          <w:cols w:equalWidth="0" w:num="2">
            <w:col w:w="5200" w:space="718"/>
            <w:col w:w="5322"/>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4"/>
          <w:szCs w:val="14"/>
          <w:color w:val="auto"/>
        </w:rPr>
        <w:t>CEO - RSR 2026</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94" w:right="339" w:bottom="1440" w:gutter="0" w:footer="0" w:header="0"/>
          <w:type w:val="continuous"/>
        </w:sectPr>
      </w:pPr>
    </w:p>
    <w:bookmarkStart w:id="60" w:name="page61"/>
    <w:bookmarkEnd w:id="60"/>
    <w:p>
      <w:pPr>
        <w:ind w:right="80"/>
        <w:spacing w:after="0" w:line="254" w:lineRule="auto"/>
        <w:rPr>
          <w:sz w:val="20"/>
          <w:szCs w:val="20"/>
          <w:color w:val="auto"/>
        </w:rPr>
      </w:pPr>
      <w:r>
        <w:rPr>
          <w:rFonts w:ascii="Times New Roman" w:cs="Times New Roman" w:eastAsia="Times New Roman" w:hAnsi="Times New Roman"/>
          <w:sz w:val="18"/>
          <w:szCs w:val="18"/>
          <w:color w:val="auto"/>
        </w:rPr>
        <w:t>subsidiaries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4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4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68"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ind w:left="2"/>
        <w:spacing w:after="0" w:line="253" w:lineRule="auto"/>
        <w:rPr>
          <w:sz w:val="20"/>
          <w:szCs w:val="20"/>
          <w:color w:val="auto"/>
        </w:rPr>
      </w:pPr>
      <w:r>
        <w:rPr>
          <w:rFonts w:ascii="Times New Roman" w:cs="Times New Roman" w:eastAsia="Times New Roman" w:hAnsi="Times New Roman"/>
          <w:sz w:val="18"/>
          <w:szCs w:val="18"/>
          <w:color w:val="auto"/>
        </w:rPr>
        <w:t>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50" w:lineRule="exact"/>
        <w:rPr>
          <w:sz w:val="20"/>
          <w:szCs w:val="20"/>
          <w:color w:val="auto"/>
        </w:rPr>
      </w:pPr>
    </w:p>
    <w:p>
      <w:pPr>
        <w:ind w:left="2"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i w:val="1"/>
          <w:iCs w:val="1"/>
          <w:color w:val="auto"/>
        </w:rPr>
        <w:t>Termination of Employment Due to Retirement</w:t>
      </w:r>
      <w:r>
        <w:rPr>
          <w:rFonts w:ascii="Times New Roman" w:cs="Times New Roman" w:eastAsia="Times New Roman" w:hAnsi="Times New Roman"/>
          <w:sz w:val="18"/>
          <w:szCs w:val="18"/>
          <w:color w:val="auto"/>
        </w:rPr>
        <w: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53" w:lineRule="exact"/>
        <w:rPr>
          <w:sz w:val="20"/>
          <w:szCs w:val="20"/>
          <w:color w:val="auto"/>
        </w:rPr>
      </w:pPr>
    </w:p>
    <w:p>
      <w:pPr>
        <w:jc w:val="both"/>
        <w:ind w:left="2" w:right="140" w:firstLine="405"/>
        <w:spacing w:after="0" w:line="257" w:lineRule="auto"/>
        <w:rPr>
          <w:sz w:val="20"/>
          <w:szCs w:val="20"/>
          <w:color w:val="auto"/>
        </w:rPr>
      </w:pPr>
      <w:r>
        <w:rPr>
          <w:rFonts w:ascii="Times New Roman" w:cs="Times New Roman" w:eastAsia="Times New Roman" w:hAnsi="Times New Roman"/>
          <w:sz w:val="18"/>
          <w:szCs w:val="18"/>
          <w:color w:val="auto"/>
        </w:rPr>
        <w:t>Subject to the following provisions of this paragraph, RSRs (and related Dividend Equivalents) vesting under this Section shall be paid within 60 days following the Grantee’s Separation from Service.</w:t>
      </w:r>
    </w:p>
    <w:p>
      <w:pPr>
        <w:spacing w:after="0" w:line="1" w:lineRule="exact"/>
        <w:rPr>
          <w:sz w:val="20"/>
          <w:szCs w:val="20"/>
          <w:color w:val="auto"/>
        </w:rPr>
      </w:pPr>
    </w:p>
    <w:p>
      <w:pPr>
        <w:ind w:left="2" w:right="80"/>
        <w:spacing w:after="0" w:line="250" w:lineRule="auto"/>
        <w:rPr>
          <w:sz w:val="20"/>
          <w:szCs w:val="20"/>
          <w:color w:val="auto"/>
        </w:rPr>
      </w:pPr>
      <w:r>
        <w:rPr>
          <w:rFonts w:ascii="Times New Roman" w:cs="Times New Roman" w:eastAsia="Times New Roman" w:hAnsi="Times New Roman"/>
          <w:sz w:val="18"/>
          <w:szCs w:val="18"/>
          <w:color w:val="auto"/>
        </w:rPr>
        <w:t>However, in the case of a Governmental Service Retirement by the Grantee, payment of the vested RSRs (and related Dividend Equivalents) will be made within 10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promptly after, and in all events within thirty</w:t>
      </w:r>
    </w:p>
    <w:p>
      <w:pPr>
        <w:spacing w:after="0" w:line="3" w:lineRule="exact"/>
        <w:rPr>
          <w:sz w:val="20"/>
          <w:szCs w:val="20"/>
          <w:color w:val="auto"/>
        </w:rPr>
      </w:pPr>
    </w:p>
    <w:p>
      <w:pPr>
        <w:jc w:val="both"/>
        <w:ind w:left="2" w:right="40" w:hanging="2"/>
        <w:spacing w:after="0" w:line="255" w:lineRule="auto"/>
        <w:tabs>
          <w:tab w:leader="none" w:pos="3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first to occur of) (a) the date which is six (6) months and one day after the Grantee’s Separation from Service, or (b) the date of the Grantee’s death. The</w:t>
      </w:r>
    </w:p>
    <w:p>
      <w:pPr>
        <w:sectPr>
          <w:pgSz w:w="11900" w:h="16838" w:orient="portrait"/>
          <w:cols w:equalWidth="0" w:num="2">
            <w:col w:w="5200" w:space="718"/>
            <w:col w:w="5202"/>
          </w:cols>
          <w:pgMar w:left="320" w:top="1161" w:right="459" w:bottom="1440" w:gutter="0" w:footer="0" w:header="0"/>
        </w:sectPr>
      </w:pPr>
    </w:p>
    <w:bookmarkStart w:id="61" w:name="page62"/>
    <w:bookmarkEnd w:id="61"/>
    <w:p>
      <w:pPr>
        <w:spacing w:after="0" w:line="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provisions of the preceding sentence shall only apply if, and to the extent, required to avoid the imputation of any tax, penalty or interest pursuant to Section 409A of the Code.</w:t>
      </w:r>
    </w:p>
    <w:p>
      <w:pPr>
        <w:spacing w:after="0" w:line="135" w:lineRule="exact"/>
        <w:rPr>
          <w:sz w:val="20"/>
          <w:szCs w:val="20"/>
          <w:color w:val="auto"/>
        </w:rPr>
      </w:pPr>
    </w:p>
    <w:p>
      <w:pPr>
        <w:ind w:firstLine="180"/>
        <w:spacing w:after="0" w:line="251" w:lineRule="auto"/>
        <w:rPr>
          <w:sz w:val="20"/>
          <w:szCs w:val="20"/>
          <w:color w:val="auto"/>
        </w:rPr>
      </w:pPr>
      <w:r>
        <w:rPr>
          <w:rFonts w:ascii="Times New Roman" w:cs="Times New Roman" w:eastAsia="Times New Roman" w:hAnsi="Times New Roman"/>
          <w:sz w:val="18"/>
          <w:szCs w:val="18"/>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Notwithstanding the foregoing, if the Grantee ceased to be employed by the Company or a subsidiary and was later rehired by the Company or a subsidiary, the Grantee’s service prior to the break in service shall be disregarded in determining service for such purposes; provided that, if the Grantee’s previous employment with the Company or a subsidiary had terminated due to the Grantee’s Early Retirement, Normal Retirement, or by the Company or a subsidiary as part of a reduction in force as determined at the Company’s sole discretion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60"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left="2"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 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Grantee is required to reimburse the Company pursuant to such policy or applicable law with respect to the award.</w:t>
      </w:r>
    </w:p>
    <w:p>
      <w:pPr>
        <w:spacing w:after="0" w:line="149" w:lineRule="exact"/>
        <w:rPr>
          <w:sz w:val="20"/>
          <w:szCs w:val="20"/>
          <w:color w:val="auto"/>
        </w:rPr>
      </w:pPr>
    </w:p>
    <w:p>
      <w:pPr>
        <w:ind w:left="642" w:hanging="642"/>
        <w:spacing w:after="0"/>
        <w:tabs>
          <w:tab w:leader="none" w:pos="64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firstLine="405"/>
        <w:spacing w:after="0" w:line="267" w:lineRule="auto"/>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w:t>
      </w:r>
    </w:p>
    <w:p>
      <w:pPr>
        <w:sectPr>
          <w:pgSz w:w="11900" w:h="16838" w:orient="portrait"/>
          <w:cols w:equalWidth="0" w:num="2">
            <w:col w:w="5200" w:space="718"/>
            <w:col w:w="5182"/>
          </w:cols>
          <w:pgMar w:left="320" w:top="1157" w:right="479" w:bottom="1440" w:gutter="0" w:footer="0" w:header="0"/>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8"/>
          <w:szCs w:val="18"/>
          <w:color w:val="auto"/>
        </w:rPr>
        <w:t>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spacing w:after="0" w:line="21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w:t>
      </w:r>
    </w:p>
    <w:p>
      <w:pPr>
        <w:spacing w:after="0" w:line="22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31" w:lineRule="exact"/>
        <w:rPr>
          <w:sz w:val="20"/>
          <w:szCs w:val="20"/>
          <w:color w:val="auto"/>
        </w:rPr>
      </w:pPr>
    </w:p>
    <w:p>
      <w:pPr>
        <w:ind w:firstLine="8"/>
        <w:spacing w:after="0" w:line="271" w:lineRule="auto"/>
        <w:tabs>
          <w:tab w:leader="none" w:pos="34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spacing w:after="0" w:line="3" w:lineRule="exact"/>
        <w:rPr>
          <w:sz w:val="20"/>
          <w:szCs w:val="20"/>
          <w:color w:val="auto"/>
        </w:rPr>
      </w:pPr>
    </w:p>
    <w:p>
      <w:pPr>
        <w:ind w:left="2"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10" w:lineRule="exact"/>
        <w:rPr>
          <w:sz w:val="20"/>
          <w:szCs w:val="20"/>
          <w:color w:val="auto"/>
        </w:rPr>
      </w:pPr>
    </w:p>
    <w:p>
      <w:pPr>
        <w:ind w:left="2" w:right="10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sz w:val="20"/>
          <w:szCs w:val="20"/>
          <w:color w:val="auto"/>
        </w:rPr>
      </w:pPr>
    </w:p>
    <w:p>
      <w:pPr>
        <w:ind w:left="2" w:right="180" w:hanging="2"/>
        <w:spacing w:after="0" w:line="265" w:lineRule="auto"/>
        <w:tabs>
          <w:tab w:leader="none" w:pos="31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ind w:left="2"/>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2" w:lineRule="exact"/>
        <w:rPr>
          <w:sz w:val="20"/>
          <w:szCs w:val="20"/>
          <w:color w:val="auto"/>
        </w:rPr>
      </w:pPr>
    </w:p>
    <w:p>
      <w:pPr>
        <w:ind w:left="2"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w:t>
      </w:r>
    </w:p>
    <w:p>
      <w:pPr>
        <w:sectPr>
          <w:pgSz w:w="11900" w:h="16838" w:orient="portrait"/>
          <w:cols w:equalWidth="0" w:num="2">
            <w:col w:w="5200" w:space="718"/>
            <w:col w:w="5202"/>
          </w:cols>
          <w:pgMar w:left="320" w:top="1269" w:right="459" w:bottom="1440" w:gutter="0" w:footer="0" w:header="0"/>
        </w:sectPr>
      </w:pPr>
    </w:p>
    <w:bookmarkStart w:id="63" w:name="page64"/>
    <w:bookmarkEnd w:id="63"/>
    <w:p>
      <w:pPr>
        <w:ind w:right="200"/>
        <w:spacing w:after="0" w:line="282" w:lineRule="auto"/>
        <w:rPr>
          <w:sz w:val="20"/>
          <w:szCs w:val="20"/>
          <w:color w:val="auto"/>
        </w:rPr>
      </w:pPr>
      <w:r>
        <w:rPr>
          <w:rFonts w:ascii="Times New Roman" w:cs="Times New Roman" w:eastAsia="Times New Roman" w:hAnsi="Times New Roman"/>
          <w:sz w:val="18"/>
          <w:szCs w:val="18"/>
          <w:color w:val="auto"/>
        </w:rPr>
        <w:t>monetary damages, to the maximum extent available and without any requirement to post bond.</w:t>
      </w:r>
    </w:p>
    <w:p>
      <w:pPr>
        <w:spacing w:after="0" w:line="185" w:lineRule="exact"/>
        <w:rPr>
          <w:sz w:val="20"/>
          <w:szCs w:val="20"/>
          <w:color w:val="auto"/>
        </w:rPr>
      </w:pPr>
    </w:p>
    <w:p>
      <w:pPr>
        <w:ind w:left="420" w:right="560" w:hanging="412"/>
        <w:spacing w:after="0" w:line="286" w:lineRule="auto"/>
        <w:tabs>
          <w:tab w:leader="none" w:pos="4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43"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 subject to the award are subject to adjustment upon the occurrence of events such as stock splits, stock dividends and other changes in capitalization in accordance with Section 6(a) of the Plan.</w:t>
      </w:r>
    </w:p>
    <w:p>
      <w:pPr>
        <w:spacing w:after="0" w:line="13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5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100"/>
        <w:spacing w:after="0" w:line="266" w:lineRule="auto"/>
        <w:rPr>
          <w:sz w:val="20"/>
          <w:szCs w:val="20"/>
          <w:color w:val="auto"/>
        </w:rPr>
      </w:pPr>
      <w:r>
        <w:rPr>
          <w:rFonts w:ascii="Times New Roman" w:cs="Times New Roman" w:eastAsia="Times New Roman" w:hAnsi="Times New Roman"/>
          <w:sz w:val="18"/>
          <w:szCs w:val="18"/>
          <w:color w:val="auto"/>
        </w:rPr>
        <w:t>downsizing program that commenced prior to the Protected Period and such termination of employment was expected at that time to occur within six (6) months.</w:t>
      </w:r>
    </w:p>
    <w:p>
      <w:pPr>
        <w:spacing w:after="0" w:line="135" w:lineRule="exact"/>
        <w:rPr>
          <w:sz w:val="20"/>
          <w:szCs w:val="20"/>
          <w:color w:val="auto"/>
        </w:rPr>
      </w:pPr>
    </w:p>
    <w:p>
      <w:pPr>
        <w:ind w:left="2" w:firstLine="405"/>
        <w:spacing w:after="0" w:line="261"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35" w:lineRule="exact"/>
        <w:rPr>
          <w:sz w:val="20"/>
          <w:szCs w:val="20"/>
          <w:color w:val="auto"/>
        </w:rPr>
      </w:pPr>
    </w:p>
    <w:p>
      <w:pPr>
        <w:ind w:left="2" w:right="40" w:firstLine="324"/>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5" w:lineRule="exact"/>
        <w:rPr>
          <w:sz w:val="20"/>
          <w:szCs w:val="20"/>
          <w:color w:val="auto"/>
        </w:rPr>
      </w:pPr>
    </w:p>
    <w:p>
      <w:pPr>
        <w:ind w:left="2" w:right="40" w:hanging="2"/>
        <w:spacing w:after="0" w:line="251" w:lineRule="auto"/>
        <w:tabs>
          <w:tab w:leader="none" w:pos="2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66" w:lineRule="exact"/>
        <w:rPr>
          <w:sz w:val="20"/>
          <w:szCs w:val="20"/>
          <w:color w:val="auto"/>
        </w:rPr>
      </w:pPr>
    </w:p>
    <w:p>
      <w:pPr>
        <w:ind w:left="2" w:firstLine="405"/>
        <w:spacing w:after="0" w:line="254"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44" w:lineRule="exact"/>
        <w:rPr>
          <w:sz w:val="20"/>
          <w:szCs w:val="20"/>
          <w:color w:val="auto"/>
        </w:rPr>
      </w:pPr>
    </w:p>
    <w:p>
      <w:pPr>
        <w:ind w:left="382" w:hanging="382"/>
        <w:spacing w:after="0"/>
        <w:tabs>
          <w:tab w:leader="none" w:pos="38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2" w:right="4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w:t>
      </w:r>
    </w:p>
    <w:p>
      <w:pPr>
        <w:sectPr>
          <w:pgSz w:w="11900" w:h="16838" w:orient="portrait"/>
          <w:cols w:equalWidth="0" w:num="2">
            <w:col w:w="5220" w:space="698"/>
            <w:col w:w="5202"/>
          </w:cols>
          <w:pgMar w:left="320" w:top="1161" w:right="459" w:bottom="1440" w:gutter="0" w:footer="0" w:header="0"/>
        </w:sectPr>
      </w:pPr>
    </w:p>
    <w:bookmarkStart w:id="64" w:name="page65"/>
    <w:bookmarkEnd w:id="64"/>
    <w:p>
      <w:pPr>
        <w:ind w:right="40"/>
        <w:spacing w:after="0" w:line="253" w:lineRule="auto"/>
        <w:rPr>
          <w:sz w:val="20"/>
          <w:szCs w:val="20"/>
          <w:color w:val="auto"/>
        </w:rPr>
      </w:pPr>
      <w:r>
        <w:rPr>
          <w:rFonts w:ascii="Times New Roman" w:cs="Times New Roman" w:eastAsia="Times New Roman" w:hAnsi="Times New Roman"/>
          <w:sz w:val="18"/>
          <w:szCs w:val="18"/>
          <w:color w:val="auto"/>
        </w:rPr>
        <w:t>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4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 transfer taxes, if any, and other fees and expenses in connection with the issuance of shares in connection with the vesting of the RSRs.</w:t>
      </w:r>
    </w:p>
    <w:p>
      <w:pPr>
        <w:spacing w:after="0" w:line="130"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Committee shall administer and construe the award in a manner designed to comply with the Code and to avoid adverse tax consequences under Code Section 409A.</w:t>
      </w:r>
    </w:p>
    <w:p>
      <w:pPr>
        <w:spacing w:after="0" w:line="144"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1.5 Code Section 280G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2"/>
        <w:spacing w:after="0" w:line="253" w:lineRule="auto"/>
        <w:rPr>
          <w:sz w:val="20"/>
          <w:szCs w:val="20"/>
          <w:color w:val="auto"/>
        </w:rPr>
      </w:pPr>
      <w:r>
        <w:rPr>
          <w:rFonts w:ascii="Times New Roman" w:cs="Times New Roman" w:eastAsia="Times New Roman" w:hAnsi="Times New Roman"/>
          <w:sz w:val="18"/>
          <w:szCs w:val="18"/>
          <w:color w:val="auto"/>
        </w:rPr>
        <w:t>Company and you no later than the date of the applicable Change in Control. In the event that any payments or benefits to the Grantee are to be reduced pursuant to this Section 7.5, such payments and benefits shall be reduced 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50" w:lineRule="exact"/>
        <w:rPr>
          <w:sz w:val="20"/>
          <w:szCs w:val="20"/>
          <w:color w:val="auto"/>
        </w:rPr>
      </w:pPr>
    </w:p>
    <w:p>
      <w:pPr>
        <w:ind w:left="642" w:hanging="642"/>
        <w:spacing w:after="0"/>
        <w:tabs>
          <w:tab w:leader="none" w:pos="64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2" w:firstLine="177"/>
        <w:spacing w:after="0" w:line="267" w:lineRule="auto"/>
        <w:rPr>
          <w:sz w:val="20"/>
          <w:szCs w:val="20"/>
          <w:color w:val="auto"/>
        </w:rPr>
      </w:pPr>
      <w:r>
        <w:rPr>
          <w:rFonts w:ascii="Times New Roman" w:cs="Times New Roman" w:eastAsia="Times New Roman" w:hAnsi="Times New Roman"/>
          <w:sz w:val="17"/>
          <w:szCs w:val="17"/>
          <w:color w:val="auto"/>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7" w:lineRule="exact"/>
        <w:rPr>
          <w:sz w:val="20"/>
          <w:szCs w:val="20"/>
          <w:color w:val="auto"/>
        </w:rPr>
      </w:pPr>
    </w:p>
    <w:p>
      <w:pPr>
        <w:ind w:left="322" w:hanging="322"/>
        <w:spacing w:after="0"/>
        <w:tabs>
          <w:tab w:leader="none" w:pos="32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firstLine="405"/>
        <w:spacing w:after="0" w:line="254"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ectPr>
          <w:pgSz w:w="11900" w:h="16838" w:orient="portrait"/>
          <w:cols w:equalWidth="0" w:num="2">
            <w:col w:w="5220" w:space="698"/>
            <w:col w:w="5162"/>
          </w:cols>
          <w:pgMar w:left="320" w:top="1161" w:right="499" w:bottom="1440" w:gutter="0" w:footer="0" w:header="0"/>
        </w:sectPr>
      </w:pPr>
    </w:p>
    <w:bookmarkStart w:id="65" w:name="page66"/>
    <w:bookmarkEnd w:id="65"/>
    <w:p>
      <w:pPr>
        <w:ind w:left="400" w:hanging="392"/>
        <w:spacing w:after="0"/>
        <w:tabs>
          <w:tab w:leader="none" w:pos="4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7"/>
          <w:szCs w:val="17"/>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402" w:hanging="402"/>
        <w:spacing w:after="0"/>
        <w:tabs>
          <w:tab w:leader="none" w:pos="40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1"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98"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89" w:lineRule="exact"/>
        <w:rPr>
          <w:sz w:val="20"/>
          <w:szCs w:val="20"/>
          <w:color w:val="auto"/>
        </w:rPr>
      </w:pPr>
    </w:p>
    <w:p>
      <w:pPr>
        <w:ind w:left="562" w:right="120" w:hanging="319"/>
        <w:spacing w:after="0" w:line="258" w:lineRule="auto"/>
        <w:tabs>
          <w:tab w:leader="none" w:pos="58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42" w:lineRule="exact"/>
        <w:rPr>
          <w:rFonts w:ascii="Times New Roman" w:cs="Times New Roman" w:eastAsia="Times New Roman" w:hAnsi="Times New Roman"/>
          <w:sz w:val="18"/>
          <w:szCs w:val="18"/>
          <w:color w:val="auto"/>
        </w:rPr>
      </w:pPr>
    </w:p>
    <w:p>
      <w:pPr>
        <w:ind w:left="562" w:right="40" w:hanging="319"/>
        <w:spacing w:after="0" w:line="256" w:lineRule="auto"/>
        <w:tabs>
          <w:tab w:leader="none" w:pos="6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56"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left="2" w:right="10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ind w:left="2" w:right="6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44"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85"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ectPr>
          <w:pgSz w:w="11900" w:h="16838" w:orient="portrait"/>
          <w:cols w:equalWidth="0" w:num="2">
            <w:col w:w="5200" w:space="718"/>
            <w:col w:w="5202"/>
          </w:cols>
          <w:pgMar w:left="320" w:top="1157" w:right="459" w:bottom="1440" w:gutter="0" w:footer="0" w:header="0"/>
        </w:sectPr>
      </w:pPr>
    </w:p>
    <w:bookmarkStart w:id="66" w:name="page67"/>
    <w:bookmarkEnd w:id="66"/>
    <w:p>
      <w:pPr>
        <w:ind w:right="241"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83" w:lineRule="exact"/>
        <w:rPr>
          <w:sz w:val="20"/>
          <w:szCs w:val="20"/>
          <w:color w:val="auto"/>
        </w:rPr>
      </w:pPr>
    </w:p>
    <w:p>
      <w:pPr>
        <w:ind w:left="580" w:right="421" w:hanging="329"/>
        <w:spacing w:after="0" w:line="282" w:lineRule="auto"/>
        <w:tabs>
          <w:tab w:leader="none" w:pos="4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spacing w:after="0" w:line="134" w:lineRule="exact"/>
        <w:rPr>
          <w:rFonts w:ascii="Times New Roman" w:cs="Times New Roman" w:eastAsia="Times New Roman" w:hAnsi="Times New Roman"/>
          <w:sz w:val="18"/>
          <w:szCs w:val="18"/>
          <w:color w:val="auto"/>
        </w:rPr>
      </w:pPr>
    </w:p>
    <w:p>
      <w:pPr>
        <w:ind w:left="580" w:right="361" w:hanging="329"/>
        <w:spacing w:after="0" w:line="261" w:lineRule="auto"/>
        <w:tabs>
          <w:tab w:leader="none" w:pos="6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39" w:lineRule="exact"/>
        <w:rPr>
          <w:rFonts w:ascii="Times New Roman" w:cs="Times New Roman" w:eastAsia="Times New Roman" w:hAnsi="Times New Roman"/>
          <w:sz w:val="18"/>
          <w:szCs w:val="18"/>
          <w:color w:val="auto"/>
        </w:rPr>
      </w:pPr>
    </w:p>
    <w:p>
      <w:pPr>
        <w:ind w:left="580" w:right="241" w:hanging="329"/>
        <w:spacing w:after="0" w:line="261" w:lineRule="auto"/>
        <w:tabs>
          <w:tab w:leader="none" w:pos="7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35" w:lineRule="exact"/>
        <w:rPr>
          <w:sz w:val="20"/>
          <w:szCs w:val="20"/>
          <w:color w:val="auto"/>
        </w:rPr>
      </w:pPr>
    </w:p>
    <w:p>
      <w:pPr>
        <w:ind w:right="521"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9" w:lineRule="exact"/>
        <w:rPr>
          <w:sz w:val="20"/>
          <w:szCs w:val="20"/>
          <w:color w:val="auto"/>
        </w:rPr>
      </w:pPr>
    </w:p>
    <w:p>
      <w:pPr>
        <w:ind w:right="561"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95" w:lineRule="exact"/>
        <w:rPr>
          <w:sz w:val="20"/>
          <w:szCs w:val="20"/>
          <w:color w:val="auto"/>
        </w:rPr>
      </w:pPr>
    </w:p>
    <w:p>
      <w:pPr>
        <w:ind w:left="580" w:right="361" w:hanging="329"/>
        <w:spacing w:after="0" w:line="252" w:lineRule="auto"/>
        <w:tabs>
          <w:tab w:leader="none" w:pos="5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319" w:hanging="143"/>
        <w:spacing w:after="0" w:line="252" w:lineRule="auto"/>
        <w:rPr>
          <w:sz w:val="20"/>
          <w:szCs w:val="20"/>
          <w:color w:val="auto"/>
        </w:rPr>
      </w:pPr>
      <w:r>
        <w:rPr>
          <w:rFonts w:ascii="Times New Roman" w:cs="Times New Roman" w:eastAsia="Times New Roman" w:hAnsi="Times New Roman"/>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7" w:lineRule="exact"/>
        <w:rPr>
          <w:sz w:val="20"/>
          <w:szCs w:val="20"/>
          <w:color w:val="auto"/>
        </w:rPr>
      </w:pPr>
    </w:p>
    <w:p>
      <w:pPr>
        <w:ind w:left="319" w:right="60" w:hanging="319"/>
        <w:spacing w:after="0" w:line="261" w:lineRule="auto"/>
        <w:tabs>
          <w:tab w:leader="none" w:pos="3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39" w:lineRule="exact"/>
        <w:rPr>
          <w:rFonts w:ascii="Times New Roman" w:cs="Times New Roman" w:eastAsia="Times New Roman" w:hAnsi="Times New Roman"/>
          <w:sz w:val="18"/>
          <w:szCs w:val="18"/>
          <w:color w:val="auto"/>
        </w:rPr>
      </w:pPr>
    </w:p>
    <w:p>
      <w:pPr>
        <w:ind w:left="319" w:right="20" w:hanging="319"/>
        <w:spacing w:after="0" w:line="253" w:lineRule="auto"/>
        <w:tabs>
          <w:tab w:leader="none" w:pos="4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62" w:lineRule="exact"/>
        <w:rPr>
          <w:rFonts w:ascii="Times New Roman" w:cs="Times New Roman" w:eastAsia="Times New Roman" w:hAnsi="Times New Roman"/>
          <w:sz w:val="18"/>
          <w:szCs w:val="18"/>
          <w:color w:val="auto"/>
        </w:rPr>
      </w:pPr>
    </w:p>
    <w:p>
      <w:pPr>
        <w:ind w:left="319" w:hanging="319"/>
        <w:spacing w:after="0" w:line="253" w:lineRule="auto"/>
        <w:tabs>
          <w:tab w:leader="none" w:pos="4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ectPr>
          <w:pgSz w:w="11900" w:h="16838" w:orient="portrait"/>
          <w:cols w:equalWidth="0" w:num="2">
            <w:col w:w="5441" w:space="720"/>
            <w:col w:w="4959"/>
          </w:cols>
          <w:pgMar w:left="320" w:top="1157" w:right="459" w:bottom="1440" w:gutter="0" w:footer="0" w:header="0"/>
        </w:sectPr>
      </w:pPr>
    </w:p>
    <w:bookmarkStart w:id="67" w:name="page68"/>
    <w:bookmarkEnd w:id="67"/>
    <w:p>
      <w:pPr>
        <w:ind w:left="580" w:right="100" w:hanging="329"/>
        <w:spacing w:after="0" w:line="254" w:lineRule="auto"/>
        <w:tabs>
          <w:tab w:leader="none" w:pos="6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39"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5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8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 employment after (i) attaining age 65 with at least 10 years of service (other than in connection with a termination by the Company or a subsidiary for Cause); or (ii) assisting the Board with the transition of Grantee’s executive officer position to the satisfaction of the Board.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other than in connection with a termination by the Company or a subsidiary for Cause).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2024 Long-Term Incentive Stock Plan, as it may be amended form time to time.</w:t>
      </w:r>
    </w:p>
    <w:p>
      <w:pPr>
        <w:spacing w:after="0" w:line="128"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4" w:lineRule="exact"/>
        <w:rPr>
          <w:sz w:val="20"/>
          <w:szCs w:val="20"/>
          <w:color w:val="auto"/>
        </w:rPr>
      </w:pPr>
    </w:p>
    <w:p>
      <w:pPr>
        <w:ind w:left="560" w:hanging="319"/>
        <w:spacing w:after="0" w:line="254" w:lineRule="auto"/>
        <w:tabs>
          <w:tab w:leader="none" w:pos="5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Times New Roman" w:cs="Times New Roman" w:eastAsia="Times New Roman" w:hAnsi="Times New Roman"/>
          <w:sz w:val="18"/>
          <w:szCs w:val="18"/>
          <w:color w:val="auto"/>
        </w:rPr>
      </w:pPr>
    </w:p>
    <w:p>
      <w:pPr>
        <w:ind w:left="560" w:hanging="319"/>
        <w:spacing w:after="0" w:line="254" w:lineRule="auto"/>
        <w:tabs>
          <w:tab w:leader="none" w:pos="6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61" w:lineRule="exact"/>
        <w:rPr>
          <w:rFonts w:ascii="Times New Roman" w:cs="Times New Roman" w:eastAsia="Times New Roman" w:hAnsi="Times New Roman"/>
          <w:sz w:val="18"/>
          <w:szCs w:val="18"/>
          <w:color w:val="auto"/>
        </w:rPr>
      </w:pPr>
    </w:p>
    <w:p>
      <w:pPr>
        <w:ind w:left="700" w:hanging="459"/>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7" w:lineRule="exact"/>
        <w:rPr>
          <w:rFonts w:ascii="Times New Roman" w:cs="Times New Roman" w:eastAsia="Times New Roman" w:hAnsi="Times New Roman"/>
          <w:sz w:val="18"/>
          <w:szCs w:val="18"/>
          <w:color w:val="auto"/>
        </w:rPr>
      </w:pPr>
    </w:p>
    <w:p>
      <w:pPr>
        <w:jc w:val="both"/>
        <w:ind w:left="560" w:right="140" w:firstLine="5"/>
        <w:spacing w:after="0" w:line="253" w:lineRule="auto"/>
        <w:tabs>
          <w:tab w:leader="none" w:pos="77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including the date of the Change in Control.</w:t>
      </w:r>
    </w:p>
    <w:p>
      <w:pPr>
        <w:spacing w:after="0" w:line="144"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42" w:lineRule="exact"/>
        <w:rPr>
          <w:sz w:val="20"/>
          <w:szCs w:val="20"/>
          <w:color w:val="auto"/>
        </w:rPr>
      </w:pPr>
    </w:p>
    <w:p>
      <w:pPr>
        <w:ind w:right="24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as a beneficiary designated in the Stock Plan System, or if none, the Grantee’s estate.</w:t>
      </w:r>
    </w:p>
    <w:p>
      <w:pPr>
        <w:sectPr>
          <w:pgSz w:w="11900" w:h="16838" w:orient="portrait"/>
          <w:cols w:equalWidth="0" w:num="2">
            <w:col w:w="5200" w:space="720"/>
            <w:col w:w="5200"/>
          </w:cols>
          <w:pgMar w:left="320" w:top="1161" w:right="45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RESTRICTED PERFORMANCE STOCK RIGHTS GRANT AGREEMENT</w:t>
      </w:r>
    </w:p>
    <w:p>
      <w:pPr>
        <w:spacing w:after="0" w:line="2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color w:val="auto"/>
        </w:rPr>
        <w:t>This 2026 Restricted Performance Stock Rights Grant Agreement (“Agreement”) applies to certain “Restricted Performance Stock Rights” (“RPSRs”) granted by Northrop Grumman Corporation (the “Company”) in 2026 under its 2024 Long-Term Incentive Stock Plan. If you were granted an RPSR award by the Company in 2026,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2026 RPSR award under the Plan,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Each RPSR represents a right to receive one share of the Company’s Common Stock, or cash of equivalent value as provided herein subject to vesting as provided herein. The performance period applicable to your award is January 1, 2026 to December 31, 2028 (the “Performance Period”). The target number of RPSRs subject to your award is subject to adjustment as provided herein. The RPSR award is subject to all of the terms and conditions set forth in this Agreement, and is further subject to all of the terms and conditions of the Plan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ectPr>
          <w:pgSz w:w="11900" w:h="16838" w:orient="portrait"/>
          <w:cols w:equalWidth="0" w:num="1">
            <w:col w:w="11240"/>
          </w:cols>
          <w:pgMar w:left="320" w:top="122" w:right="339" w:bottom="1440" w:gutter="0" w:footer="0" w:header="0"/>
        </w:sectPr>
      </w:pPr>
    </w:p>
    <w:p>
      <w:pPr>
        <w:spacing w:after="0" w:line="183" w:lineRule="exact"/>
        <w:rPr>
          <w:sz w:val="20"/>
          <w:szCs w:val="20"/>
          <w:color w:val="auto"/>
        </w:rPr>
      </w:pPr>
    </w:p>
    <w:p>
      <w:pPr>
        <w:ind w:left="400" w:hanging="392"/>
        <w:spacing w:after="0"/>
        <w:tabs>
          <w:tab w:leader="none" w:pos="4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Payment of RPSRs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Performance-Based Vesting of RPSRs</w:t>
      </w:r>
      <w:r>
        <w:rPr>
          <w:rFonts w:ascii="Times New Roman" w:cs="Times New Roman" w:eastAsia="Times New Roman" w:hAnsi="Times New Roman"/>
          <w:sz w:val="18"/>
          <w:szCs w:val="18"/>
          <w:color w:val="auto"/>
        </w:rPr>
        <w:t>. Subject to Sections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43"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Payment of RPSRs</w:t>
      </w:r>
      <w:r>
        <w:rPr>
          <w:rFonts w:ascii="Times New Roman" w:cs="Times New Roman" w:eastAsia="Times New Roman" w:hAnsi="Times New Roman"/>
          <w:sz w:val="18"/>
          <w:szCs w:val="18"/>
          <w:color w:val="auto"/>
        </w:rPr>
        <w:t>. The number of RPSRs payable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conclusion of the Performance Period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4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 to Section 2 or 6) during the period from the beginning of the Performance Period until the date the Vested RPSRs (or the RPSRs that vest and become payable pursuant to Section 2 or 6) are paid, without interest or</w:t>
      </w:r>
    </w:p>
    <w:p>
      <w:pPr>
        <w:spacing w:after="0" w:line="200" w:lineRule="exact"/>
        <w:rPr>
          <w:sz w:val="20"/>
          <w:szCs w:val="20"/>
          <w:color w:val="auto"/>
        </w:rPr>
      </w:pPr>
    </w:p>
    <w:p>
      <w:pPr>
        <w:sectPr>
          <w:pgSz w:w="11900" w:h="16838" w:orient="portrait"/>
          <w:cols w:equalWidth="0" w:num="2">
            <w:col w:w="5200" w:space="720"/>
            <w:col w:w="53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color w:val="auto"/>
        </w:rPr>
        <w:t>CEO - RPSR 2026</w:t>
      </w:r>
      <w:r>
        <w:rPr>
          <w:sz w:val="20"/>
          <w:szCs w:val="20"/>
          <w:color w:val="auto"/>
        </w:rPr>
        <w:tab/>
      </w: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type w:val="continuous"/>
        </w:sectPr>
      </w:pPr>
    </w:p>
    <w:bookmarkStart w:id="69" w:name="page70"/>
    <w:bookmarkEnd w:id="69"/>
    <w:p>
      <w:pPr>
        <w:ind w:right="220"/>
        <w:spacing w:after="0" w:line="272" w:lineRule="auto"/>
        <w:rPr>
          <w:sz w:val="20"/>
          <w:szCs w:val="20"/>
          <w:color w:val="auto"/>
        </w:rPr>
      </w:pPr>
      <w:r>
        <w:rPr>
          <w:rFonts w:ascii="Times New Roman" w:cs="Times New Roman" w:eastAsia="Times New Roman" w:hAnsi="Times New Roman"/>
          <w:sz w:val="17"/>
          <w:szCs w:val="17"/>
          <w:color w:val="auto"/>
        </w:rPr>
        <w:t>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27"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RPSRs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56"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i w:val="1"/>
          <w:iCs w:val="1"/>
          <w:color w:val="auto"/>
        </w:rPr>
        <w:t>Termination of Employment Due to Retirement, Death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The number of RPSRs (and related Dividend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subject to the award shall vest on a prorated basis as provided herein if the Grantee’s employment by the Company and its subsidiaries terminates due to the Grantee’s Early Retirement, death, or Disability </w:t>
      </w:r>
      <w:r>
        <w:rPr>
          <w:rFonts w:ascii="Times New Roman" w:cs="Times New Roman" w:eastAsia="Times New Roman" w:hAnsi="Times New Roman"/>
          <w:sz w:val="17"/>
          <w:szCs w:val="17"/>
          <w:u w:val="single" w:color="auto"/>
          <w:color w:val="auto"/>
        </w:rPr>
        <w:t>and</w:t>
      </w:r>
      <w:r>
        <w:rPr>
          <w:rFonts w:ascii="Times New Roman" w:cs="Times New Roman" w:eastAsia="Times New Roman" w:hAnsi="Times New Roman"/>
          <w:sz w:val="17"/>
          <w:szCs w:val="17"/>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w:t>
      </w:r>
    </w:p>
    <w:p>
      <w:pPr>
        <w:spacing w:after="0" w:line="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full Performance Period. 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145" w:lineRule="exact"/>
        <w:rPr>
          <w:sz w:val="20"/>
          <w:szCs w:val="20"/>
          <w:color w:val="auto"/>
        </w:rPr>
      </w:pPr>
    </w:p>
    <w:p>
      <w:pPr>
        <w:ind w:right="80" w:firstLine="180"/>
        <w:spacing w:after="0" w:line="290" w:lineRule="auto"/>
        <w:rPr>
          <w:sz w:val="20"/>
          <w:szCs w:val="20"/>
          <w:color w:val="auto"/>
        </w:rPr>
      </w:pPr>
      <w:r>
        <w:rPr>
          <w:rFonts w:ascii="Times New Roman" w:cs="Times New Roman" w:eastAsia="Times New Roman" w:hAnsi="Times New Roman"/>
          <w:sz w:val="17"/>
          <w:szCs w:val="17"/>
          <w:i w:val="1"/>
          <w:iCs w:val="1"/>
          <w:color w:val="auto"/>
        </w:rPr>
        <w:t>Death or Disability</w:t>
      </w:r>
      <w:r>
        <w:rPr>
          <w:rFonts w:ascii="Times New Roman" w:cs="Times New Roman" w:eastAsia="Times New Roman" w:hAnsi="Times New Roman"/>
          <w:sz w:val="17"/>
          <w:szCs w:val="17"/>
          <w:color w:val="auto"/>
        </w:rPr>
        <w:t>. In the case of death or Disability (a) the Earnout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Grantee’s Prorated RPSRs (and related Dividend Equivalents) will be deemed to be 100% (target), regardless of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181" w:lineRule="exact"/>
        <w:rPr>
          <w:sz w:val="20"/>
          <w:szCs w:val="20"/>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Retirement in General</w:t>
      </w:r>
      <w:r>
        <w:rPr>
          <w:rFonts w:ascii="Times New Roman" w:cs="Times New Roman" w:eastAsia="Times New Roman" w:hAnsi="Times New Roman"/>
          <w:sz w:val="18"/>
          <w:szCs w:val="18"/>
          <w:color w:val="auto"/>
        </w:rPr>
        <w:t>. Subject to the following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85" w:lineRule="exact"/>
        <w:rPr>
          <w:sz w:val="20"/>
          <w:szCs w:val="20"/>
          <w:color w:val="auto"/>
        </w:rPr>
      </w:pPr>
    </w:p>
    <w:p>
      <w:pPr>
        <w:ind w:firstLine="180"/>
        <w:spacing w:after="0" w:line="251" w:lineRule="auto"/>
        <w:rPr>
          <w:sz w:val="20"/>
          <w:szCs w:val="20"/>
          <w:color w:val="auto"/>
        </w:rPr>
      </w:pPr>
      <w:r>
        <w:rPr>
          <w:rFonts w:ascii="Times New Roman" w:cs="Times New Roman" w:eastAsia="Times New Roman" w:hAnsi="Times New Roman"/>
          <w:sz w:val="18"/>
          <w:szCs w:val="18"/>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Notwithstanding the foregoing, if the Grantee ceased to be employed by the Company or a subsidiary and was later rehired by the Company or a subsidiary, the Grantee’s service prior to the break in service shall be disregarded in determining service for such purposes; provided that, if the Grantee’s previous employment with the Company or a subsidiary had terminated due to the Grantee’s Retirement, or by the Company or a subsidiary as part of a reduction in force as determined at the Company’s sole discretion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203"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Retirement Due to Government Service. </w:t>
      </w:r>
      <w:r>
        <w:rPr>
          <w:rFonts w:ascii="Times New Roman" w:cs="Times New Roman" w:eastAsia="Times New Roman" w:hAnsi="Times New Roman"/>
          <w:sz w:val="18"/>
          <w:szCs w:val="18"/>
          <w:color w:val="auto"/>
        </w:rPr>
        <w:t>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w:t>
      </w:r>
    </w:p>
    <w:p>
      <w:pPr>
        <w:sectPr>
          <w:pgSz w:w="11900" w:h="16838" w:orient="portrait"/>
          <w:cols w:equalWidth="0" w:num="2">
            <w:col w:w="5220" w:space="700"/>
            <w:col w:w="5180"/>
          </w:cols>
          <w:pgMar w:left="320" w:top="1161" w:right="479" w:bottom="1440" w:gutter="0" w:footer="0" w:header="0"/>
        </w:sectPr>
      </w:pPr>
    </w:p>
    <w:bookmarkStart w:id="70" w:name="page71"/>
    <w:bookmarkEnd w:id="70"/>
    <w:p>
      <w:pPr>
        <w:spacing w:after="0" w:line="266" w:lineRule="auto"/>
        <w:rPr>
          <w:sz w:val="20"/>
          <w:szCs w:val="20"/>
          <w:color w:val="auto"/>
        </w:rPr>
      </w:pPr>
      <w:r>
        <w:rPr>
          <w:rFonts w:ascii="Times New Roman" w:cs="Times New Roman" w:eastAsia="Times New Roman" w:hAnsi="Times New Roman"/>
          <w:sz w:val="18"/>
          <w:szCs w:val="18"/>
          <w:color w:val="auto"/>
        </w:rPr>
        <w:t>Period, and (c) payment of the Prorated RPSRs that become Vested RPSRs (and Dividend Equivalents thereon) will be made within 20 days after Retirement.</w:t>
      </w:r>
    </w:p>
    <w:p>
      <w:pPr>
        <w:spacing w:after="0" w:line="17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b w:val="1"/>
          <w:bCs w:val="1"/>
          <w:i w:val="1"/>
          <w:iCs w:val="1"/>
          <w:color w:val="auto"/>
        </w:rPr>
        <w:t>Other Terminations of Employment</w:t>
      </w:r>
      <w:r>
        <w:rPr>
          <w:rFonts w:ascii="Times New Roman" w:cs="Times New Roman" w:eastAsia="Times New Roman" w:hAnsi="Times New Roman"/>
          <w:sz w:val="18"/>
          <w:szCs w:val="18"/>
          <w:color w:val="auto"/>
        </w:rPr>
        <w:t>. Subject to 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4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2.4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or one of its subsidiaries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5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Times New Roman" w:cs="Times New Roman" w:eastAsia="Times New Roman" w:hAnsi="Times New Roman"/>
          <w:sz w:val="18"/>
          <w:szCs w:val="18"/>
          <w:color w:val="auto"/>
        </w:rPr>
        <w:t>Retirement treated as provided for in Section 2.2 (subject to Section 6).</w:t>
      </w:r>
    </w:p>
    <w:p>
      <w:pPr>
        <w:spacing w:after="0" w:line="181" w:lineRule="exact"/>
        <w:rPr>
          <w:sz w:val="20"/>
          <w:szCs w:val="20"/>
          <w:color w:val="auto"/>
        </w:rPr>
      </w:pPr>
    </w:p>
    <w:p>
      <w:pPr>
        <w:ind w:left="2" w:firstLine="405"/>
        <w:spacing w:after="0" w:line="270" w:lineRule="auto"/>
        <w:rPr>
          <w:sz w:val="20"/>
          <w:szCs w:val="20"/>
          <w:color w:val="auto"/>
        </w:rPr>
      </w:pPr>
      <w:r>
        <w:rPr>
          <w:rFonts w:ascii="Times New Roman" w:cs="Times New Roman" w:eastAsia="Times New Roman" w:hAnsi="Times New Roman"/>
          <w:sz w:val="17"/>
          <w:szCs w:val="17"/>
          <w:b w:val="1"/>
          <w:bCs w:val="1"/>
          <w:color w:val="auto"/>
        </w:rPr>
        <w:t>2.7</w:t>
      </w:r>
      <w:r>
        <w:rPr>
          <w:rFonts w:ascii="Times New Roman" w:cs="Times New Roman" w:eastAsia="Times New Roman" w:hAnsi="Times New Roman"/>
          <w:sz w:val="17"/>
          <w:szCs w:val="17"/>
          <w:b w:val="1"/>
          <w:bCs w:val="1"/>
          <w:i w:val="1"/>
          <w:iCs w:val="1"/>
          <w:color w:val="auto"/>
        </w:rPr>
        <w:t>Continuance of Employment Required</w:t>
      </w:r>
      <w:r>
        <w:rPr>
          <w:rFonts w:ascii="Times New Roman" w:cs="Times New Roman" w:eastAsia="Times New Roman" w:hAnsi="Times New Roman"/>
          <w:sz w:val="17"/>
          <w:szCs w:val="17"/>
          <w:color w:val="auto"/>
        </w:rPr>
        <w:t>. Except as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w:t>
      </w:r>
    </w:p>
    <w:p>
      <w:pPr>
        <w:spacing w:after="0" w:line="1" w:lineRule="exact"/>
        <w:rPr>
          <w:sz w:val="20"/>
          <w:szCs w:val="20"/>
          <w:color w:val="auto"/>
        </w:rPr>
      </w:pPr>
    </w:p>
    <w:p>
      <w:pPr>
        <w:ind w:left="2" w:right="100"/>
        <w:spacing w:after="0" w:line="256" w:lineRule="auto"/>
        <w:rPr>
          <w:sz w:val="20"/>
          <w:szCs w:val="20"/>
          <w:color w:val="auto"/>
        </w:rPr>
      </w:pPr>
      <w:r>
        <w:rPr>
          <w:rFonts w:ascii="Times New Roman" w:cs="Times New Roman" w:eastAsia="Times New Roman" w:hAnsi="Times New Roman"/>
          <w:sz w:val="18"/>
          <w:szCs w:val="18"/>
          <w:color w:val="auto"/>
        </w:rPr>
        <w:t>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56" w:lineRule="exact"/>
        <w:rPr>
          <w:sz w:val="20"/>
          <w:szCs w:val="20"/>
          <w:color w:val="auto"/>
        </w:rPr>
      </w:pPr>
    </w:p>
    <w:p>
      <w:pPr>
        <w:ind w:left="2" w:right="8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b w:val="1"/>
          <w:bCs w:val="1"/>
          <w:i w:val="1"/>
          <w:iCs w:val="1"/>
          <w:color w:val="auto"/>
        </w:rPr>
        <w:t>Death</w:t>
      </w:r>
      <w:r>
        <w:rPr>
          <w:rFonts w:ascii="Times New Roman" w:cs="Times New Roman" w:eastAsia="Times New Roman" w:hAnsi="Times New Roman"/>
          <w:sz w:val="18"/>
          <w:szCs w:val="18"/>
          <w:color w:val="auto"/>
        </w:rPr>
        <w:t>. In the event of the Grantee’s death subsequent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42" w:lineRule="exact"/>
        <w:rPr>
          <w:sz w:val="20"/>
          <w:szCs w:val="20"/>
          <w:color w:val="auto"/>
        </w:rPr>
      </w:pPr>
    </w:p>
    <w:p>
      <w:pPr>
        <w:ind w:left="642" w:hanging="642"/>
        <w:spacing w:after="0"/>
        <w:tabs>
          <w:tab w:leader="none" w:pos="64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RPSRs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85" w:lineRule="exact"/>
        <w:rPr>
          <w:sz w:val="20"/>
          <w:szCs w:val="20"/>
          <w:color w:val="auto"/>
        </w:rPr>
      </w:pPr>
    </w:p>
    <w:p>
      <w:pPr>
        <w:jc w:val="both"/>
        <w:ind w:left="2" w:right="12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b w:val="1"/>
          <w:bCs w:val="1"/>
          <w:i w:val="1"/>
          <w:iCs w:val="1"/>
          <w:color w:val="auto"/>
        </w:rPr>
        <w:t>Forfeiture or Recoupment of Awards</w:t>
      </w:r>
      <w:r>
        <w:rPr>
          <w:rFonts w:ascii="Times New Roman" w:cs="Times New Roman" w:eastAsia="Times New Roman" w:hAnsi="Times New Roman"/>
          <w:sz w:val="18"/>
          <w:szCs w:val="18"/>
          <w:color w:val="auto"/>
        </w:rPr>
        <w:t>. If, prior to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with respect to the award, Grantee’s employment is terminated for Cause (or</w:t>
      </w:r>
    </w:p>
    <w:p>
      <w:pPr>
        <w:sectPr>
          <w:pgSz w:w="11900" w:h="16838" w:orient="portrait"/>
          <w:cols w:equalWidth="0" w:num="2">
            <w:col w:w="5220" w:space="698"/>
            <w:col w:w="5202"/>
          </w:cols>
          <w:pgMar w:left="320" w:top="1161" w:right="459" w:bottom="1440" w:gutter="0" w:footer="0" w:header="0"/>
        </w:sectPr>
      </w:pPr>
    </w:p>
    <w:bookmarkStart w:id="71" w:name="page72"/>
    <w:bookmarkEnd w:id="71"/>
    <w:p>
      <w:pPr>
        <w:spacing w:after="0" w:line="252" w:lineRule="auto"/>
        <w:rPr>
          <w:sz w:val="20"/>
          <w:szCs w:val="20"/>
          <w:color w:val="auto"/>
        </w:rPr>
      </w:pPr>
      <w:r>
        <w:rPr>
          <w:rFonts w:ascii="Times New Roman" w:cs="Times New Roman" w:eastAsia="Times New Roman" w:hAnsi="Times New Roman"/>
          <w:sz w:val="18"/>
          <w:szCs w:val="18"/>
          <w:color w:val="auto"/>
        </w:rPr>
        <w:t>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 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Grantee is required to reimburse the Company pursuant to such policy or applicable law with respect to the award.</w:t>
      </w:r>
    </w:p>
    <w:p>
      <w:pPr>
        <w:spacing w:after="0" w:line="188"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b w:val="1"/>
          <w:bCs w:val="1"/>
          <w:i w:val="1"/>
          <w:iCs w:val="1"/>
          <w:color w:val="auto"/>
        </w:rPr>
        <w:t>Executive Leadership Team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 w:right="40"/>
        <w:spacing w:after="0" w:line="256" w:lineRule="auto"/>
        <w:rPr>
          <w:sz w:val="20"/>
          <w:szCs w:val="20"/>
          <w:color w:val="auto"/>
        </w:rPr>
      </w:pPr>
      <w:r>
        <w:rPr>
          <w:rFonts w:ascii="Times New Roman" w:cs="Times New Roman" w:eastAsia="Times New Roman" w:hAnsi="Times New Roman"/>
          <w:sz w:val="18"/>
          <w:szCs w:val="18"/>
          <w:color w:val="auto"/>
        </w:rPr>
        <w:t>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spacing w:after="0" w:line="210" w:lineRule="exact"/>
        <w:rPr>
          <w:sz w:val="20"/>
          <w:szCs w:val="20"/>
          <w:color w:val="auto"/>
        </w:rPr>
      </w:pPr>
    </w:p>
    <w:p>
      <w:pPr>
        <w:ind w:left="2"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w:t>
      </w:r>
    </w:p>
    <w:p>
      <w:pPr>
        <w:spacing w:after="0" w:line="222" w:lineRule="exact"/>
        <w:rPr>
          <w:sz w:val="20"/>
          <w:szCs w:val="20"/>
          <w:color w:val="auto"/>
        </w:rPr>
      </w:pPr>
    </w:p>
    <w:p>
      <w:pPr>
        <w:ind w:left="2" w:right="6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31" w:lineRule="exact"/>
        <w:rPr>
          <w:sz w:val="20"/>
          <w:szCs w:val="20"/>
          <w:color w:val="auto"/>
        </w:rPr>
      </w:pPr>
    </w:p>
    <w:p>
      <w:pPr>
        <w:ind w:left="2" w:right="20" w:hanging="2"/>
        <w:spacing w:after="0" w:line="271" w:lineRule="auto"/>
        <w:tabs>
          <w:tab w:leader="none" w:pos="34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7" w:lineRule="exact"/>
        <w:rPr>
          <w:sz w:val="20"/>
          <w:szCs w:val="20"/>
          <w:color w:val="auto"/>
        </w:rPr>
      </w:pPr>
    </w:p>
    <w:p>
      <w:pPr>
        <w:ind w:left="2" w:right="14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w:t>
      </w:r>
    </w:p>
    <w:p>
      <w:pPr>
        <w:sectPr>
          <w:pgSz w:w="11900" w:h="16838" w:orient="portrait"/>
          <w:cols w:equalWidth="0" w:num="2">
            <w:col w:w="5200" w:space="718"/>
            <w:col w:w="5202"/>
          </w:cols>
          <w:pgMar w:left="320" w:top="1161" w:right="459" w:bottom="1440" w:gutter="0" w:footer="0" w:header="0"/>
        </w:sectPr>
      </w:pPr>
    </w:p>
    <w:bookmarkStart w:id="72" w:name="page73"/>
    <w:bookmarkEnd w:id="72"/>
    <w:p>
      <w:pPr>
        <w:spacing w:after="0" w:line="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spacing w:after="0" w:line="215"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0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sz w:val="20"/>
          <w:szCs w:val="20"/>
          <w:color w:val="auto"/>
        </w:rPr>
      </w:pPr>
    </w:p>
    <w:p>
      <w:pPr>
        <w:ind w:right="240" w:firstLine="8"/>
        <w:spacing w:after="0" w:line="265" w:lineRule="auto"/>
        <w:tabs>
          <w:tab w:leader="none" w:pos="31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w:t>
      </w: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 and without any requirement to post bond.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322" w:right="620" w:hanging="322"/>
        <w:spacing w:after="0" w:line="286" w:lineRule="auto"/>
        <w:tabs>
          <w:tab w:leader="none" w:pos="32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2" w:firstLine="405"/>
        <w:spacing w:after="0" w:line="269" w:lineRule="auto"/>
        <w:rPr>
          <w:sz w:val="20"/>
          <w:szCs w:val="20"/>
          <w:color w:val="auto"/>
        </w:rPr>
      </w:pPr>
      <w:r>
        <w:rPr>
          <w:rFonts w:ascii="Times New Roman" w:cs="Times New Roman" w:eastAsia="Times New Roman" w:hAnsi="Times New Roman"/>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72" w:lineRule="exact"/>
        <w:rPr>
          <w:sz w:val="20"/>
          <w:szCs w:val="20"/>
          <w:color w:val="auto"/>
        </w:rPr>
      </w:pPr>
    </w:p>
    <w:p>
      <w:pPr>
        <w:ind w:left="642" w:hanging="642"/>
        <w:spacing w:after="0"/>
        <w:tabs>
          <w:tab w:leader="none" w:pos="64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RPSRs, Dividend Equivalents,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the award 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61"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53" w:lineRule="exact"/>
        <w:rPr>
          <w:sz w:val="20"/>
          <w:szCs w:val="20"/>
          <w:color w:val="auto"/>
        </w:rPr>
      </w:pPr>
    </w:p>
    <w:p>
      <w:pPr>
        <w:jc w:val="both"/>
        <w:ind w:left="2" w:right="240" w:firstLine="405"/>
        <w:spacing w:after="0" w:line="281" w:lineRule="auto"/>
        <w:rPr>
          <w:sz w:val="20"/>
          <w:szCs w:val="20"/>
          <w:color w:val="auto"/>
        </w:rPr>
      </w:pPr>
      <w:r>
        <w:rPr>
          <w:rFonts w:ascii="Times New Roman" w:cs="Times New Roman" w:eastAsia="Times New Roman" w:hAnsi="Times New Roman"/>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w:t>
      </w:r>
    </w:p>
    <w:p>
      <w:pPr>
        <w:sectPr>
          <w:pgSz w:w="11900" w:h="16838" w:orient="portrait"/>
          <w:cols w:equalWidth="0" w:num="2">
            <w:col w:w="5200" w:space="718"/>
            <w:col w:w="5202"/>
          </w:cols>
          <w:pgMar w:left="320" w:top="1157" w:right="459" w:bottom="1440" w:gutter="0" w:footer="0" w:header="0"/>
        </w:sectPr>
      </w:pPr>
    </w:p>
    <w:bookmarkStart w:id="73" w:name="page74"/>
    <w:bookmarkEnd w:id="73"/>
    <w:p>
      <w:pPr>
        <w:ind w:right="40"/>
        <w:spacing w:after="0" w:line="256" w:lineRule="auto"/>
        <w:rPr>
          <w:sz w:val="20"/>
          <w:szCs w:val="20"/>
          <w:color w:val="auto"/>
        </w:rPr>
      </w:pPr>
      <w:r>
        <w:rPr>
          <w:rFonts w:ascii="Times New Roman" w:cs="Times New Roman" w:eastAsia="Times New Roman" w:hAnsi="Times New Roman"/>
          <w:sz w:val="18"/>
          <w:szCs w:val="18"/>
          <w:color w:val="auto"/>
        </w:rPr>
        <w:t>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7"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Grantee’s termination of employment.</w:t>
      </w:r>
    </w:p>
    <w:p>
      <w:pPr>
        <w:spacing w:after="0" w:line="151"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b w:val="1"/>
          <w:bCs w:val="1"/>
          <w:i w:val="1"/>
          <w:iCs w:val="1"/>
          <w:color w:val="auto"/>
        </w:rPr>
        <w:t>Automatic Acceleration; Early Termination</w:t>
      </w:r>
      <w:r>
        <w:rPr>
          <w:rFonts w:ascii="Times New Roman" w:cs="Times New Roman" w:eastAsia="Times New Roman" w:hAnsi="Times New Roman"/>
          <w:sz w:val="18"/>
          <w:szCs w:val="18"/>
          <w:color w:val="auto"/>
        </w:rPr>
        <w:t>. If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5" w:lineRule="exact"/>
        <w:rPr>
          <w:sz w:val="20"/>
          <w:szCs w:val="20"/>
          <w:color w:val="auto"/>
        </w:rPr>
      </w:pPr>
    </w:p>
    <w:p>
      <w:pPr>
        <w:ind w:right="20" w:firstLine="8"/>
        <w:spacing w:after="0" w:line="251"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6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 the event the Grantee is entitled to a payment in accordance with the foregoing provisions of this Section 6.3, then the Grantee will be eligible for payment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2"/>
        <w:spacing w:after="0" w:line="252" w:lineRule="auto"/>
        <w:rPr>
          <w:sz w:val="20"/>
          <w:szCs w:val="20"/>
          <w:color w:val="auto"/>
        </w:rPr>
      </w:pPr>
      <w:r>
        <w:rPr>
          <w:rFonts w:ascii="Times New Roman" w:cs="Times New Roman" w:eastAsia="Times New Roman" w:hAnsi="Times New Roman"/>
          <w:sz w:val="18"/>
          <w:szCs w:val="18"/>
          <w:color w:val="auto"/>
        </w:rPr>
        <w:t>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43" w:lineRule="exact"/>
        <w:rPr>
          <w:sz w:val="20"/>
          <w:szCs w:val="20"/>
          <w:color w:val="auto"/>
        </w:rPr>
      </w:pPr>
    </w:p>
    <w:p>
      <w:pPr>
        <w:ind w:left="382" w:hanging="382"/>
        <w:spacing w:after="0"/>
        <w:tabs>
          <w:tab w:leader="none" w:pos="38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6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58" w:lineRule="exact"/>
        <w:rPr>
          <w:sz w:val="20"/>
          <w:szCs w:val="20"/>
          <w:color w:val="auto"/>
        </w:rPr>
      </w:pPr>
    </w:p>
    <w:p>
      <w:pPr>
        <w:ind w:left="2"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RPSRs.</w:t>
      </w:r>
    </w:p>
    <w:p>
      <w:pPr>
        <w:spacing w:after="0" w:line="130" w:lineRule="exact"/>
        <w:rPr>
          <w:sz w:val="20"/>
          <w:szCs w:val="20"/>
          <w:color w:val="auto"/>
        </w:rPr>
      </w:pPr>
    </w:p>
    <w:p>
      <w:pPr>
        <w:jc w:val="both"/>
        <w:ind w:left="2" w:right="18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This Agreement is designed to be exempt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Section 409A, and the Committee shall administer and construe the award in such a way as</w:t>
      </w:r>
    </w:p>
    <w:p>
      <w:pPr>
        <w:sectPr>
          <w:pgSz w:w="11900" w:h="16838" w:orient="portrait"/>
          <w:cols w:equalWidth="0" w:num="2">
            <w:col w:w="5200" w:space="718"/>
            <w:col w:w="5202"/>
          </w:cols>
          <w:pgMar w:left="320" w:top="1161" w:right="459" w:bottom="1440" w:gutter="0" w:footer="0" w:header="0"/>
        </w:sectPr>
      </w:pPr>
    </w:p>
    <w:bookmarkStart w:id="74" w:name="page75"/>
    <w:bookmarkEnd w:id="74"/>
    <w:p>
      <w:pPr>
        <w:ind w:right="160"/>
        <w:spacing w:after="0" w:line="282" w:lineRule="auto"/>
        <w:rPr>
          <w:sz w:val="20"/>
          <w:szCs w:val="20"/>
          <w:color w:val="auto"/>
        </w:rPr>
      </w:pPr>
      <w:r>
        <w:rPr>
          <w:rFonts w:ascii="Times New Roman" w:cs="Times New Roman" w:eastAsia="Times New Roman" w:hAnsi="Times New Roman"/>
          <w:sz w:val="18"/>
          <w:szCs w:val="18"/>
          <w:color w:val="auto"/>
        </w:rPr>
        <w:t>to be exempt from and to avoid adverse tax consequences under Code Section 409A.</w:t>
      </w:r>
    </w:p>
    <w:p>
      <w:pPr>
        <w:spacing w:after="0" w:line="117"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b w:val="1"/>
          <w:bCs w:val="1"/>
          <w:color w:val="auto"/>
        </w:rPr>
        <w:t>7.5</w:t>
      </w:r>
      <w:r>
        <w:rPr>
          <w:rFonts w:ascii="Times New Roman" w:cs="Times New Roman" w:eastAsia="Times New Roman" w:hAnsi="Times New Roman"/>
          <w:sz w:val="18"/>
          <w:szCs w:val="18"/>
          <w:b w:val="1"/>
          <w:bCs w:val="1"/>
          <w:i w:val="1"/>
          <w:iCs w:val="1"/>
          <w:color w:val="auto"/>
        </w:rPr>
        <w:t>Code Section 280G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any payments or benefits to the Grantee are to be reduced pursuant to this Section 7.5, such payments and benefits shall be reduced 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7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80" w:firstLine="177"/>
        <w:spacing w:after="0" w:line="256"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2"/>
        <w:spacing w:after="0" w:line="252" w:lineRule="auto"/>
        <w:rPr>
          <w:sz w:val="20"/>
          <w:szCs w:val="20"/>
          <w:color w:val="auto"/>
        </w:rPr>
      </w:pPr>
      <w:r>
        <w:rPr>
          <w:rFonts w:ascii="Times New Roman" w:cs="Times New Roman" w:eastAsia="Times New Roman" w:hAnsi="Times New Roman"/>
          <w:sz w:val="18"/>
          <w:szCs w:val="18"/>
          <w:color w:val="auto"/>
        </w:rPr>
        <w:t>accordance with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53" w:lineRule="exact"/>
        <w:rPr>
          <w:sz w:val="20"/>
          <w:szCs w:val="20"/>
          <w:color w:val="auto"/>
        </w:rPr>
      </w:pPr>
    </w:p>
    <w:p>
      <w:pPr>
        <w:ind w:left="382" w:hanging="382"/>
        <w:spacing w:after="0"/>
        <w:tabs>
          <w:tab w:leader="none" w:pos="38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7" w:lineRule="exact"/>
        <w:rPr>
          <w:sz w:val="20"/>
          <w:szCs w:val="20"/>
          <w:color w:val="auto"/>
        </w:rPr>
      </w:pPr>
    </w:p>
    <w:p>
      <w:pPr>
        <w:ind w:left="402" w:hanging="402"/>
        <w:spacing w:after="0"/>
        <w:tabs>
          <w:tab w:leader="none" w:pos="40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40" w:firstLine="405"/>
        <w:spacing w:after="0" w:line="253" w:lineRule="auto"/>
        <w:rPr>
          <w:sz w:val="20"/>
          <w:szCs w:val="20"/>
          <w:color w:val="auto"/>
        </w:rPr>
      </w:pPr>
      <w:r>
        <w:rPr>
          <w:rFonts w:ascii="Times New Roman" w:cs="Times New Roman" w:eastAsia="Times New Roman" w:hAnsi="Times New Roman"/>
          <w:sz w:val="18"/>
          <w:szCs w:val="18"/>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82" w:hanging="382"/>
        <w:spacing w:after="0"/>
        <w:tabs>
          <w:tab w:leader="none" w:pos="38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2" w:right="180" w:firstLine="180"/>
        <w:spacing w:after="0" w:line="258"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w:t>
      </w:r>
    </w:p>
    <w:p>
      <w:pPr>
        <w:sectPr>
          <w:pgSz w:w="11900" w:h="16838" w:orient="portrait"/>
          <w:cols w:equalWidth="0" w:num="2">
            <w:col w:w="5200" w:space="718"/>
            <w:col w:w="5202"/>
          </w:cols>
          <w:pgMar w:left="320" w:top="1161" w:right="459" w:bottom="1440" w:gutter="0" w:footer="0" w:header="0"/>
        </w:sectPr>
      </w:pPr>
    </w:p>
    <w:bookmarkStart w:id="75" w:name="page76"/>
    <w:bookmarkEnd w:id="75"/>
    <w:p>
      <w:pPr>
        <w:ind w:right="40"/>
        <w:spacing w:after="0" w:line="253" w:lineRule="auto"/>
        <w:rPr>
          <w:sz w:val="20"/>
          <w:szCs w:val="20"/>
          <w:color w:val="auto"/>
        </w:rPr>
      </w:pPr>
      <w:r>
        <w:rPr>
          <w:rFonts w:ascii="Times New Roman" w:cs="Times New Roman" w:eastAsia="Times New Roman" w:hAnsi="Times New Roman"/>
          <w:sz w:val="18"/>
          <w:szCs w:val="18"/>
          <w:color w:val="auto"/>
        </w:rPr>
        <w:t>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w:t>
      </w:r>
    </w:p>
    <w:p>
      <w:pPr>
        <w:spacing w:after="0" w:line="5" w:lineRule="exact"/>
        <w:rPr>
          <w:sz w:val="20"/>
          <w:szCs w:val="20"/>
          <w:color w:val="auto"/>
        </w:rPr>
      </w:pPr>
    </w:p>
    <w:p>
      <w:pPr>
        <w:jc w:val="both"/>
        <w:ind w:right="20" w:firstLine="8"/>
        <w:spacing w:after="0" w:line="265" w:lineRule="auto"/>
        <w:tabs>
          <w:tab w:leader="none" w:pos="28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Change in Control that results in termination and payment under Section 6.2 or 6.3 above, or (D) with respected to Grantee’s entering a U.S. federal government position only, the latest of</w:t>
      </w:r>
    </w:p>
    <w:p>
      <w:pPr>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 circumstances the holding period requirement will apply as to any shares acquired upon payment of RPSRs within one year after such</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5" w:lineRule="exact"/>
        <w:rPr>
          <w:sz w:val="20"/>
          <w:szCs w:val="20"/>
          <w:color w:val="auto"/>
        </w:rPr>
      </w:pPr>
    </w:p>
    <w:p>
      <w:pPr>
        <w:ind w:left="400" w:hanging="392"/>
        <w:spacing w:after="0"/>
        <w:tabs>
          <w:tab w:leader="none" w:pos="4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560" w:right="120" w:hanging="319"/>
        <w:spacing w:after="0" w:line="258" w:lineRule="auto"/>
        <w:tabs>
          <w:tab w:leader="none" w:pos="58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42" w:lineRule="exact"/>
        <w:rPr>
          <w:rFonts w:ascii="Times New Roman" w:cs="Times New Roman" w:eastAsia="Times New Roman" w:hAnsi="Times New Roman"/>
          <w:sz w:val="18"/>
          <w:szCs w:val="18"/>
          <w:color w:val="auto"/>
        </w:rPr>
      </w:pPr>
    </w:p>
    <w:p>
      <w:pPr>
        <w:ind w:left="560" w:right="40" w:hanging="319"/>
        <w:spacing w:after="0" w:line="256" w:lineRule="auto"/>
        <w:tabs>
          <w:tab w:leader="none" w:pos="6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98" w:lineRule="exact"/>
        <w:rPr>
          <w:sz w:val="20"/>
          <w:szCs w:val="20"/>
          <w:color w:val="auto"/>
        </w:rPr>
      </w:pPr>
    </w:p>
    <w:p>
      <w:pPr>
        <w:ind w:right="10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9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45"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3" w:lineRule="exact"/>
        <w:rPr>
          <w:sz w:val="20"/>
          <w:szCs w:val="20"/>
          <w:color w:val="auto"/>
        </w:rPr>
      </w:pPr>
    </w:p>
    <w:p>
      <w:pPr>
        <w:ind w:right="80" w:firstLine="178"/>
        <w:spacing w:after="0" w:line="250" w:lineRule="auto"/>
        <w:tabs>
          <w:tab w:leader="none" w:pos="5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after the Grantee has attained age 55 with at least 10 years of service.</w:t>
      </w:r>
    </w:p>
    <w:p>
      <w:pPr>
        <w:ind w:firstLine="178"/>
        <w:spacing w:after="0" w:line="255" w:lineRule="auto"/>
        <w:tabs>
          <w:tab w:leader="none" w:pos="5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Grantee has attained age 53 with at least 10 years of service.</w:t>
      </w:r>
    </w:p>
    <w:p>
      <w:pPr>
        <w:sectPr>
          <w:pgSz w:w="11900" w:h="16838" w:orient="portrait"/>
          <w:cols w:equalWidth="0" w:num="2">
            <w:col w:w="5200" w:space="720"/>
            <w:col w:w="5200"/>
          </w:cols>
          <w:pgMar w:left="320" w:top="1161" w:right="459" w:bottom="1440" w:gutter="0" w:footer="0" w:header="0"/>
        </w:sectPr>
      </w:pPr>
    </w:p>
    <w:bookmarkStart w:id="76" w:name="page77"/>
    <w:bookmarkEnd w:id="76"/>
    <w:p>
      <w:pPr>
        <w:ind w:right="20" w:firstLine="413"/>
        <w:spacing w:after="0" w:line="261" w:lineRule="auto"/>
        <w:tabs>
          <w:tab w:leader="none" w:pos="8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by the Company or a subsidiary as part of a reduction in force and, at the time of such termination, the sum of the Grantee’s age and years of service is at least 75.</w:t>
      </w:r>
    </w:p>
    <w:p>
      <w:pPr>
        <w:spacing w:after="0" w:line="135" w:lineRule="exact"/>
        <w:rPr>
          <w:sz w:val="20"/>
          <w:szCs w:val="20"/>
          <w:color w:val="auto"/>
        </w:rPr>
      </w:pPr>
    </w:p>
    <w:p>
      <w:pPr>
        <w:ind w:right="280"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6" w:lineRule="exact"/>
        <w:rPr>
          <w:sz w:val="20"/>
          <w:szCs w:val="20"/>
          <w:color w:val="auto"/>
        </w:rPr>
      </w:pPr>
    </w:p>
    <w:p>
      <w:pPr>
        <w:ind w:right="320"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109" w:lineRule="exact"/>
        <w:rPr>
          <w:sz w:val="20"/>
          <w:szCs w:val="20"/>
          <w:color w:val="auto"/>
        </w:rPr>
      </w:pPr>
    </w:p>
    <w:p>
      <w:pPr>
        <w:ind w:left="580" w:right="120" w:hanging="329"/>
        <w:spacing w:after="0" w:line="252" w:lineRule="auto"/>
        <w:tabs>
          <w:tab w:leader="none" w:pos="5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50" w:lineRule="exact"/>
        <w:rPr>
          <w:sz w:val="20"/>
          <w:szCs w:val="20"/>
          <w:color w:val="auto"/>
        </w:rPr>
      </w:pPr>
    </w:p>
    <w:p>
      <w:pPr>
        <w:ind w:left="580" w:hanging="143"/>
        <w:spacing w:after="0" w:line="269" w:lineRule="auto"/>
        <w:rPr>
          <w:sz w:val="20"/>
          <w:szCs w:val="20"/>
          <w:color w:val="auto"/>
        </w:rPr>
      </w:pPr>
      <w:r>
        <w:rPr>
          <w:rFonts w:ascii="Times New Roman" w:cs="Times New Roman" w:eastAsia="Times New Roman" w:hAnsi="Times New Roman"/>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jc w:val="both"/>
        <w:ind w:left="560" w:right="640"/>
        <w:spacing w:after="0" w:line="312" w:lineRule="auto"/>
        <w:rPr>
          <w:sz w:val="20"/>
          <w:szCs w:val="20"/>
          <w:color w:val="auto"/>
        </w:rPr>
      </w:pPr>
      <w:r>
        <w:rPr>
          <w:rFonts w:ascii="Times New Roman" w:cs="Times New Roman" w:eastAsia="Times New Roman" w:hAnsi="Times New Roman"/>
          <w:sz w:val="17"/>
          <w:szCs w:val="17"/>
          <w:color w:val="auto"/>
        </w:rPr>
        <w:t>Grantee immediately prior to the commencement of the Protected Period do not have the title of vice-president.</w:t>
      </w:r>
    </w:p>
    <w:p>
      <w:pPr>
        <w:spacing w:after="0" w:line="99" w:lineRule="exact"/>
        <w:rPr>
          <w:sz w:val="20"/>
          <w:szCs w:val="20"/>
          <w:color w:val="auto"/>
        </w:rPr>
      </w:pPr>
    </w:p>
    <w:p>
      <w:pPr>
        <w:ind w:left="560" w:right="20" w:hanging="319"/>
        <w:spacing w:after="0" w:line="261" w:lineRule="auto"/>
        <w:tabs>
          <w:tab w:leader="none" w:pos="62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9" w:lineRule="exact"/>
        <w:rPr>
          <w:rFonts w:ascii="Times New Roman" w:cs="Times New Roman" w:eastAsia="Times New Roman" w:hAnsi="Times New Roman"/>
          <w:sz w:val="18"/>
          <w:szCs w:val="18"/>
          <w:color w:val="auto"/>
        </w:rPr>
      </w:pPr>
    </w:p>
    <w:p>
      <w:pPr>
        <w:ind w:left="560" w:right="20" w:hanging="319"/>
        <w:spacing w:after="0" w:line="253" w:lineRule="auto"/>
        <w:tabs>
          <w:tab w:leader="none" w:pos="67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62" w:lineRule="exact"/>
        <w:rPr>
          <w:rFonts w:ascii="Times New Roman" w:cs="Times New Roman" w:eastAsia="Times New Roman" w:hAnsi="Times New Roman"/>
          <w:sz w:val="18"/>
          <w:szCs w:val="18"/>
          <w:color w:val="auto"/>
        </w:rPr>
      </w:pPr>
    </w:p>
    <w:p>
      <w:pPr>
        <w:ind w:left="560" w:hanging="319"/>
        <w:spacing w:after="0" w:line="253" w:lineRule="auto"/>
        <w:tabs>
          <w:tab w:leader="none" w:pos="6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53" w:lineRule="exact"/>
        <w:rPr>
          <w:rFonts w:ascii="Times New Roman" w:cs="Times New Roman" w:eastAsia="Times New Roman" w:hAnsi="Times New Roman"/>
          <w:sz w:val="18"/>
          <w:szCs w:val="18"/>
          <w:color w:val="auto"/>
        </w:rPr>
      </w:pPr>
    </w:p>
    <w:p>
      <w:pPr>
        <w:ind w:left="560" w:right="100" w:hanging="319"/>
        <w:spacing w:after="0" w:line="254" w:lineRule="auto"/>
        <w:tabs>
          <w:tab w:leader="none" w:pos="62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w:t>
      </w:r>
    </w:p>
    <w:p>
      <w:pPr>
        <w:sectPr>
          <w:pgSz w:w="11900" w:h="16838" w:orient="portrait"/>
          <w:cols w:equalWidth="0" w:num="2">
            <w:col w:w="5200" w:space="720"/>
            <w:col w:w="5200"/>
          </w:cols>
          <w:pgMar w:left="320" w:top="1161" w:right="459" w:bottom="1440" w:gutter="0" w:footer="0" w:header="0"/>
        </w:sectPr>
      </w:pPr>
    </w:p>
    <w:bookmarkStart w:id="77" w:name="page78"/>
    <w:bookmarkEnd w:id="77"/>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Grantee’s continued employment shall not constitute a consent to, or a waiver of rights with respect to, any circumstances constituting Good Reason herein.</w:t>
      </w:r>
    </w:p>
    <w:p>
      <w:pPr>
        <w:spacing w:after="0" w:line="131"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Service Retirement</w:t>
      </w:r>
      <w:r>
        <w:rPr>
          <w:rFonts w:ascii="Times New Roman" w:cs="Times New Roman" w:eastAsia="Times New Roman" w:hAnsi="Times New Roman"/>
          <w:sz w:val="18"/>
          <w:szCs w:val="18"/>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39"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that the Grantee terminates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after (i) attaining age 65 with at least 10 years of service (other than in connection with a termination by the Company or a subsidiary for Cause); or (ii) assisting the Board with the transition of Grantee’s executive officer position to the satisfaction of the Board. In the case of a Grantee who is an officer of the Company subject to the Company’s mandatory retirement at age 65 policy and who, at the applicable time, is not otherwise eligible for Normal Retirement as</w:t>
      </w:r>
    </w:p>
    <w:p>
      <w:pPr>
        <w:spacing w:after="0" w:line="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2024 Long-Term Incentive Stock Plan, as it may be amended form time to time.</w:t>
      </w:r>
    </w:p>
    <w:p>
      <w:pPr>
        <w:spacing w:after="0" w:line="128"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34" w:lineRule="exact"/>
        <w:rPr>
          <w:sz w:val="20"/>
          <w:szCs w:val="20"/>
          <w:color w:val="auto"/>
        </w:rPr>
      </w:pPr>
    </w:p>
    <w:p>
      <w:pPr>
        <w:ind w:left="580" w:right="20" w:hanging="329"/>
        <w:spacing w:after="0" w:line="254" w:lineRule="auto"/>
        <w:tabs>
          <w:tab w:leader="none" w:pos="60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Times New Roman" w:cs="Times New Roman" w:eastAsia="Times New Roman" w:hAnsi="Times New Roman"/>
          <w:sz w:val="18"/>
          <w:szCs w:val="18"/>
          <w:color w:val="auto"/>
        </w:rPr>
      </w:pPr>
    </w:p>
    <w:p>
      <w:pPr>
        <w:ind w:left="580" w:right="20" w:hanging="329"/>
        <w:spacing w:after="0" w:line="255" w:lineRule="auto"/>
        <w:tabs>
          <w:tab w:leader="none" w:pos="6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ind w:left="560"/>
        <w:spacing w:after="0" w:line="266" w:lineRule="auto"/>
        <w:rPr>
          <w:sz w:val="20"/>
          <w:szCs w:val="20"/>
          <w:color w:val="auto"/>
        </w:rPr>
      </w:pPr>
      <w:r>
        <w:rPr>
          <w:rFonts w:ascii="Times New Roman" w:cs="Times New Roman" w:eastAsia="Times New Roman" w:hAnsi="Times New Roman"/>
          <w:sz w:val="18"/>
          <w:szCs w:val="18"/>
          <w:color w:val="auto"/>
        </w:rPr>
        <w:t>provided that in no case will the Protected Period commence earlier than the date that is six (6) months prior to the Change in Control.</w:t>
      </w:r>
    </w:p>
    <w:p>
      <w:pPr>
        <w:spacing w:after="0" w:line="135" w:lineRule="exact"/>
        <w:rPr>
          <w:sz w:val="20"/>
          <w:szCs w:val="20"/>
          <w:color w:val="auto"/>
        </w:rPr>
      </w:pPr>
    </w:p>
    <w:p>
      <w:pPr>
        <w:ind w:left="700" w:hanging="459"/>
        <w:spacing w:after="0"/>
        <w:tabs>
          <w:tab w:leader="none" w:pos="7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7" w:lineRule="exact"/>
        <w:rPr>
          <w:rFonts w:ascii="Times New Roman" w:cs="Times New Roman" w:eastAsia="Times New Roman" w:hAnsi="Times New Roman"/>
          <w:sz w:val="18"/>
          <w:szCs w:val="18"/>
          <w:color w:val="auto"/>
        </w:rPr>
      </w:pPr>
    </w:p>
    <w:p>
      <w:pPr>
        <w:jc w:val="both"/>
        <w:ind w:left="560" w:right="220" w:firstLine="5"/>
        <w:spacing w:after="0" w:line="253" w:lineRule="auto"/>
        <w:tabs>
          <w:tab w:leader="none" w:pos="77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include the date of the Change in Control.</w:t>
      </w:r>
    </w:p>
    <w:p>
      <w:pPr>
        <w:spacing w:after="0" w:line="144" w:lineRule="exact"/>
        <w:rPr>
          <w:sz w:val="20"/>
          <w:szCs w:val="20"/>
          <w:color w:val="auto"/>
        </w:rPr>
      </w:pPr>
    </w:p>
    <w:p>
      <w:pPr>
        <w:ind w:right="22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as a beneficiary designated in the Stock Plan System, or if none, the Grantee’s estate.</w:t>
      </w:r>
    </w:p>
    <w:p>
      <w:pPr>
        <w:sectPr>
          <w:pgSz w:w="11900" w:h="16838" w:orient="portrait"/>
          <w:cols w:equalWidth="0" w:num="2">
            <w:col w:w="5220" w:space="700"/>
            <w:col w:w="5180"/>
          </w:cols>
          <w:pgMar w:left="320" w:top="1161" w:right="4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NORTHROP GRUMMAN CORPORATION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RESTRICTED STOCK RIGHTS GRANT AGREEMENT</w:t>
      </w:r>
    </w:p>
    <w:p>
      <w:pPr>
        <w:spacing w:after="0" w:line="2" w:lineRule="exact"/>
        <w:rPr>
          <w:sz w:val="20"/>
          <w:szCs w:val="20"/>
          <w:color w:val="auto"/>
        </w:rPr>
      </w:pPr>
    </w:p>
    <w:p>
      <w:pPr>
        <w:ind w:right="40" w:firstLine="405"/>
        <w:spacing w:after="0" w:line="251" w:lineRule="auto"/>
        <w:rPr>
          <w:sz w:val="20"/>
          <w:szCs w:val="20"/>
          <w:color w:val="auto"/>
        </w:rPr>
      </w:pPr>
      <w:r>
        <w:rPr>
          <w:rFonts w:ascii="Times New Roman" w:cs="Times New Roman" w:eastAsia="Times New Roman" w:hAnsi="Times New Roman"/>
          <w:sz w:val="18"/>
          <w:szCs w:val="18"/>
          <w:color w:val="auto"/>
        </w:rPr>
        <w:t>This 2026 Restricted Stock Rights Grant Agreement (“Agreement”) applies to certain “Restricted Stock Rights” (“RSRs”) granted by Northrop Grumman Corporation (the “Company”) in 2026 under its 2024 Long-Term Incentive Stock Plan. The date of grant of your Special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2026 RSR award under the Plan,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52" w:lineRule="exact"/>
        <w:rPr>
          <w:sz w:val="20"/>
          <w:szCs w:val="20"/>
          <w:color w:val="auto"/>
        </w:rPr>
      </w:pPr>
    </w:p>
    <w:p>
      <w:pPr>
        <w:ind w:right="40" w:firstLine="180"/>
        <w:spacing w:after="0" w:line="258" w:lineRule="auto"/>
        <w:rPr>
          <w:sz w:val="20"/>
          <w:szCs w:val="20"/>
          <w:color w:val="auto"/>
        </w:rPr>
      </w:pPr>
      <w:r>
        <w:rPr>
          <w:rFonts w:ascii="Times New Roman" w:cs="Times New Roman" w:eastAsia="Times New Roman" w:hAnsi="Times New Roman"/>
          <w:sz w:val="18"/>
          <w:szCs w:val="18"/>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122" w:right="339" w:bottom="1440" w:gutter="0" w:footer="0" w:header="0"/>
        </w:sectPr>
      </w:pPr>
    </w:p>
    <w:p>
      <w:pPr>
        <w:spacing w:after="0" w:line="179" w:lineRule="exact"/>
        <w:rPr>
          <w:sz w:val="20"/>
          <w:szCs w:val="20"/>
          <w:color w:val="auto"/>
        </w:rPr>
      </w:pPr>
    </w:p>
    <w:p>
      <w:pPr>
        <w:ind w:left="400" w:hanging="392"/>
        <w:spacing w:after="0"/>
        <w:tabs>
          <w:tab w:leader="none" w:pos="4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Issuance of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Subject to Sections 2, 3, 4 and 6 below, fifty percent (50%) of the number of RSRs (and any Dividend Equivalents (as defined below)) subject to your award (subject to adjustment as provided in Section 6.1) shall vest upon the first anniversary of the Grant Date and the remaining fifty percent (50%) of the number of RSRs (and any Dividend Equivalents (as defined below)) subject to your award (subject to adjustment as provided in Section 6.1) shall vest upon the second anniversary of the Grant Date, provided that if either anniversary of the Grant Date falls on a weekend or holiday, then the award shall vest on the next business day.</w:t>
      </w:r>
    </w:p>
    <w:p>
      <w:pPr>
        <w:spacing w:after="0" w:line="163"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Payment of RSRs</w:t>
      </w:r>
      <w:r>
        <w:rPr>
          <w:rFonts w:ascii="Times New Roman" w:cs="Times New Roman" w:eastAsia="Times New Roman" w:hAnsi="Times New Roman"/>
          <w:sz w:val="18"/>
          <w:szCs w:val="18"/>
          <w:color w:val="auto"/>
        </w:rPr>
        <w:t>. Except as otherwise provided below,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pay an RSR subject to the award that vests (“Vested RSR”) (and related Dividend Equivalents) (i) within 60 days following the vesting of the RSR on the first anniversary of the Grant Date with respect to the first 50% of the award, and (ii) within 60 days following the vesting of the RSR on the second anniversary of the Grant Date with respect to the remaining 50% of the award.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47" w:lineRule="exact"/>
        <w:rPr>
          <w:sz w:val="20"/>
          <w:szCs w:val="20"/>
          <w:color w:val="auto"/>
        </w:rPr>
      </w:pPr>
    </w:p>
    <w:p>
      <w:pPr>
        <w:ind w:right="58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The Grantee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Dividend Equivalents (if any)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 w:right="140"/>
        <w:spacing w:after="0" w:line="254" w:lineRule="auto"/>
        <w:rPr>
          <w:sz w:val="20"/>
          <w:szCs w:val="20"/>
          <w:color w:val="auto"/>
        </w:rPr>
      </w:pPr>
      <w:r>
        <w:rPr>
          <w:rFonts w:ascii="Times New Roman" w:cs="Times New Roman" w:eastAsia="Times New Roman" w:hAnsi="Times New Roman"/>
          <w:sz w:val="18"/>
          <w:szCs w:val="18"/>
          <w:color w:val="auto"/>
        </w:rPr>
        <w:t>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47" w:lineRule="exact"/>
        <w:rPr>
          <w:sz w:val="20"/>
          <w:szCs w:val="20"/>
          <w:color w:val="auto"/>
        </w:rPr>
      </w:pPr>
    </w:p>
    <w:p>
      <w:pPr>
        <w:ind w:left="382" w:hanging="382"/>
        <w:spacing w:after="0"/>
        <w:tabs>
          <w:tab w:leader="none" w:pos="38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Early Termination of Award; Termination of Employment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 w:right="14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The RSRs (and related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to the extent not previously vested, shall terminate and become null and void if and when (a) the award terminates in connection with a Change in Control pursuant to Section 6 below, or (b) except as provided in Section 2.6, and in Section 6, the Grantee ceases for any reason to be an employee of the Company or one of its subsidiaries.</w:t>
      </w:r>
    </w:p>
    <w:p>
      <w:pPr>
        <w:spacing w:after="0" w:line="142" w:lineRule="exact"/>
        <w:rPr>
          <w:sz w:val="20"/>
          <w:szCs w:val="20"/>
          <w:color w:val="auto"/>
        </w:rPr>
      </w:pPr>
    </w:p>
    <w:p>
      <w:pPr>
        <w:ind w:left="2" w:right="12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Leave of Absence</w:t>
      </w:r>
      <w:r>
        <w:rPr>
          <w:rFonts w:ascii="Times New Roman" w:cs="Times New Roman" w:eastAsia="Times New Roman" w:hAnsi="Times New Roman"/>
          <w:sz w:val="18"/>
          <w:szCs w:val="18"/>
          <w:color w:val="auto"/>
        </w:rPr>
        <w:t>. Unless the Committee otherwise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w:t>
      </w:r>
    </w:p>
    <w:p>
      <w:pPr>
        <w:spacing w:after="0" w:line="449" w:lineRule="exact"/>
        <w:rPr>
          <w:sz w:val="20"/>
          <w:szCs w:val="20"/>
          <w:color w:val="auto"/>
        </w:rPr>
      </w:pPr>
    </w:p>
    <w:p>
      <w:pPr>
        <w:sectPr>
          <w:pgSz w:w="11900" w:h="16838" w:orient="portrait"/>
          <w:cols w:equalWidth="0" w:num="2">
            <w:col w:w="5220" w:space="698"/>
            <w:col w:w="5322"/>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4"/>
          <w:szCs w:val="14"/>
          <w:color w:val="auto"/>
        </w:rPr>
        <w:t>ELT - RSR 2026 Special Sign On 2-year 50-50 vesting</w:t>
      </w:r>
      <w:r>
        <w:rPr>
          <w:sz w:val="20"/>
          <w:szCs w:val="20"/>
          <w:color w:val="auto"/>
        </w:rPr>
        <w:tab/>
      </w: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2" w:right="339" w:bottom="1440" w:gutter="0" w:footer="0" w:header="0"/>
          <w:type w:val="continuous"/>
        </w:sectPr>
      </w:pPr>
    </w:p>
    <w:bookmarkStart w:id="79" w:name="page80"/>
    <w:bookmarkEnd w:id="79"/>
    <w:p>
      <w:pPr>
        <w:ind w:right="700"/>
        <w:spacing w:after="0" w:line="282" w:lineRule="auto"/>
        <w:rPr>
          <w:sz w:val="20"/>
          <w:szCs w:val="20"/>
          <w:color w:val="auto"/>
        </w:rPr>
      </w:pPr>
      <w:r>
        <w:rPr>
          <w:rFonts w:ascii="Times New Roman" w:cs="Times New Roman" w:eastAsia="Times New Roman" w:hAnsi="Times New Roman"/>
          <w:sz w:val="18"/>
          <w:szCs w:val="18"/>
          <w:color w:val="auto"/>
        </w:rPr>
        <w:t>approved leave or if the Grantee commences a leave that is not approved by the Company.</w:t>
      </w:r>
    </w:p>
    <w:p>
      <w:pPr>
        <w:spacing w:after="0" w:line="117"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Salary Continuation</w:t>
      </w:r>
      <w:r>
        <w:rPr>
          <w:rFonts w:ascii="Times New Roman" w:cs="Times New Roman" w:eastAsia="Times New Roman" w:hAnsi="Times New Roman"/>
          <w:sz w:val="18"/>
          <w:szCs w:val="18"/>
          <w:color w:val="auto"/>
        </w:rPr>
        <w:t>. Subject to Section 2.2 above,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as used herein means active employment by the Company or one of its subsidiaries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42"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Sale or Spinoff of Subsidiary or Business Unit</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6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Continuance of Employment Required</w:t>
      </w:r>
      <w:r>
        <w:rPr>
          <w:rFonts w:ascii="Times New Roman" w:cs="Times New Roman" w:eastAsia="Times New Roman" w:hAnsi="Times New Roman"/>
          <w:sz w:val="18"/>
          <w:szCs w:val="18"/>
          <w:color w:val="auto"/>
        </w:rPr>
        <w:t>. Except as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2.6 and in Section 6, the vesting of the RSRs (and related Dividend Equivalents) subject to the award requires continued employment through the first anniversary of the Grant Date with respect to the first 50% of the award and through the second anniversary of the Grant Date with respect to the remaining 50% of the award, as a condition to the vesting of any portion of the award, provided that if Grantee’s employment is involuntarily terminated due to inability to timely obtain Company-required security clearances and program accesses, only the first 50% will vest at termination (if not already vested) and will be paid within 60 days of the first anniversary of the Grant Date, and the remaining 50% is forfeited.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jc w:val="both"/>
        <w:ind w:left="2" w:right="160"/>
        <w:spacing w:after="0" w:line="266" w:lineRule="auto"/>
        <w:rPr>
          <w:sz w:val="20"/>
          <w:szCs w:val="20"/>
          <w:color w:val="auto"/>
        </w:rPr>
      </w:pPr>
      <w:r>
        <w:rPr>
          <w:rFonts w:ascii="Times New Roman" w:cs="Times New Roman" w:eastAsia="Times New Roman" w:hAnsi="Times New Roman"/>
          <w:sz w:val="18"/>
          <w:szCs w:val="18"/>
          <w:color w:val="auto"/>
        </w:rPr>
        <w:t>the Company or any subsidiary, or interferes in any way with the right of the Company or of any subsidiary to terminate such employment at any time.</w:t>
      </w:r>
    </w:p>
    <w:p>
      <w:pPr>
        <w:spacing w:after="0" w:line="131"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Death or Disability</w:t>
      </w:r>
      <w:r>
        <w:rPr>
          <w:rFonts w:ascii="Times New Roman" w:cs="Times New Roman" w:eastAsia="Times New Roman" w:hAnsi="Times New Roman"/>
          <w:sz w:val="18"/>
          <w:szCs w:val="18"/>
          <w:color w:val="auto"/>
        </w:rPr>
        <w:t>. If the Grantee dies or incurs a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45" w:lineRule="exact"/>
        <w:rPr>
          <w:sz w:val="20"/>
          <w:szCs w:val="20"/>
          <w:color w:val="auto"/>
        </w:rPr>
      </w:pPr>
    </w:p>
    <w:p>
      <w:pPr>
        <w:ind w:left="382" w:hanging="382"/>
        <w:spacing w:after="0"/>
        <w:tabs>
          <w:tab w:leader="none" w:pos="38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 and Other Restrictions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i w:val="1"/>
          <w:iCs w:val="1"/>
          <w:color w:val="auto"/>
        </w:rPr>
        <w:t>Non-Transferability</w:t>
      </w:r>
      <w:r>
        <w:rPr>
          <w:rFonts w:ascii="Times New Roman" w:cs="Times New Roman" w:eastAsia="Times New Roman" w:hAnsi="Times New Roman"/>
          <w:sz w:val="18"/>
          <w:szCs w:val="18"/>
          <w:color w:val="auto"/>
        </w:rPr>
        <w:t>. The award, as well as the RSRs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Dividend Equivalents) subject to the award, are non-transferable and shall not be subject in any manner to sale, transfer, anticipation, alienation, assignment, pledge, encumbrance or charge. The foregoing transfer restrictions shall not apply to: (a) transfers to the Company; (b) transfers to a Successor upon death; or (c) if the Grantee has suffered a disability, permitted transfers to or exercises on behalf of the holder by his or her legal representative.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45" w:lineRule="exact"/>
        <w:rPr>
          <w:sz w:val="20"/>
          <w:szCs w:val="20"/>
          <w:color w:val="auto"/>
        </w:rPr>
      </w:pPr>
    </w:p>
    <w:p>
      <w:pPr>
        <w:ind w:left="2" w:right="60" w:firstLine="405"/>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i w:val="1"/>
          <w:iCs w:val="1"/>
          <w:color w:val="auto"/>
        </w:rPr>
        <w:t>Forfeiture or Recoupment of Awards</w:t>
      </w:r>
      <w:r>
        <w:rPr>
          <w:rFonts w:ascii="Times New Roman" w:cs="Times New Roman" w:eastAsia="Times New Roman" w:hAnsi="Times New Roman"/>
          <w:sz w:val="17"/>
          <w:szCs w:val="17"/>
          <w:color w:val="auto"/>
        </w:rPr>
        <w:t>. If, prior to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You agree to be bound by and fully comply with the Company’s Policy regarding the Recoupment of Certain Incentive Compensation Payments filed as Exhibit 97 to the Company’s 10-K for the year ended December 31, 2025 and as in effect from time to time (“Recoupment Policy.”). Any payments or issuances of shares with</w:t>
      </w:r>
    </w:p>
    <w:p>
      <w:pPr>
        <w:sectPr>
          <w:pgSz w:w="11900" w:h="16838" w:orient="portrait"/>
          <w:cols w:equalWidth="0" w:num="2">
            <w:col w:w="5220" w:space="698"/>
            <w:col w:w="5202"/>
          </w:cols>
          <w:pgMar w:left="320" w:top="1161" w:right="45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17"/>
          <w:szCs w:val="17"/>
          <w:color w:val="auto"/>
        </w:rPr>
        <w:t>respect to the award are subject to the Recoupment Policy,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any amounts the Grantee is required to reimburse the Company pursuant to such policy or applicable law with respect to the award.</w:t>
      </w:r>
    </w:p>
    <w:p>
      <w:pPr>
        <w:spacing w:after="0" w:line="129"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Post-Employment Conduct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b w:val="1"/>
          <w:bCs w:val="1"/>
          <w:i w:val="1"/>
          <w:iCs w:val="1"/>
          <w:color w:val="auto"/>
        </w:rPr>
        <w:t>Executive Leadership Team Contribution.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acknowledge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 provided that the provisions of Sections 4.2 and 4.3 in this Agreement shall not apply where not permitted by applicable law.</w:t>
      </w:r>
    </w:p>
    <w:p>
      <w:pPr>
        <w:spacing w:after="0" w:line="200" w:lineRule="exact"/>
        <w:rPr>
          <w:sz w:val="20"/>
          <w:szCs w:val="20"/>
          <w:color w:val="auto"/>
        </w:rPr>
      </w:pPr>
    </w:p>
    <w:p>
      <w:pPr>
        <w:spacing w:after="0" w:line="21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Non-Competition</w:t>
      </w:r>
      <w:r>
        <w:rPr>
          <w:rFonts w:ascii="Times New Roman" w:cs="Times New Roman" w:eastAsia="Times New Roman" w:hAnsi="Times New Roman"/>
          <w:sz w:val="18"/>
          <w:szCs w:val="18"/>
          <w:color w:val="auto"/>
        </w:rPr>
        <w:t>. For a period of twelve (12)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the termination of Grantee’s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left="2" w:right="20"/>
        <w:spacing w:after="0" w:line="252" w:lineRule="auto"/>
        <w:rPr>
          <w:sz w:val="20"/>
          <w:szCs w:val="20"/>
          <w:color w:val="auto"/>
        </w:rPr>
      </w:pPr>
      <w:r>
        <w:rPr>
          <w:rFonts w:ascii="Times New Roman" w:cs="Times New Roman" w:eastAsia="Times New Roman" w:hAnsi="Times New Roman"/>
          <w:sz w:val="18"/>
          <w:szCs w:val="18"/>
          <w:color w:val="auto"/>
        </w:rPr>
        <w:t>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space systems, military aircraft, missile defense, advanced weapons and long-range fires capabilities, mission systems, networking and communications, strategic deterrence systems, advanced computing, microelectronics and cyber, directly or indirectly for U.S. and international government customers.</w:t>
      </w:r>
    </w:p>
    <w:p>
      <w:pPr>
        <w:spacing w:after="0" w:line="220"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b w:val="1"/>
          <w:bCs w:val="1"/>
          <w:i w:val="1"/>
          <w:iCs w:val="1"/>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eighteen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b w:val="1"/>
          <w:bCs w:val="1"/>
          <w:i w:val="1"/>
          <w:iCs w:val="1"/>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period of twenty-four</w:t>
      </w:r>
    </w:p>
    <w:p>
      <w:pPr>
        <w:spacing w:after="0" w:line="31" w:lineRule="exact"/>
        <w:rPr>
          <w:sz w:val="20"/>
          <w:szCs w:val="20"/>
          <w:color w:val="auto"/>
        </w:rPr>
      </w:pPr>
    </w:p>
    <w:p>
      <w:pPr>
        <w:ind w:left="2" w:hanging="2"/>
        <w:spacing w:after="0" w:line="271" w:lineRule="auto"/>
        <w:tabs>
          <w:tab w:leader="none" w:pos="34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7" w:lineRule="exact"/>
        <w:rPr>
          <w:sz w:val="20"/>
          <w:szCs w:val="20"/>
          <w:color w:val="auto"/>
        </w:rPr>
      </w:pPr>
    </w:p>
    <w:p>
      <w:pPr>
        <w:ind w:left="2"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b w:val="1"/>
          <w:bCs w:val="1"/>
          <w:i w:val="1"/>
          <w:iCs w:val="1"/>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issue or communicate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 For the avoidance of doubt, nothing prohibits you from making any disclosures that are protected under the whistleblower provisions of any applicable law, rule, or regulation.</w:t>
      </w:r>
    </w:p>
    <w:p>
      <w:pPr>
        <w:sectPr>
          <w:pgSz w:w="11900" w:h="16838" w:orient="portrait"/>
          <w:cols w:equalWidth="0" w:num="2">
            <w:col w:w="5200" w:space="718"/>
            <w:col w:w="5182"/>
          </w:cols>
          <w:pgMar w:left="320" w:top="1161" w:right="479" w:bottom="1440" w:gutter="0" w:footer="0" w:header="0"/>
        </w:sectPr>
      </w:pPr>
    </w:p>
    <w:bookmarkStart w:id="81" w:name="page82"/>
    <w:bookmarkEnd w:id="81"/>
    <w:p>
      <w:pPr>
        <w:ind w:right="2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b w:val="1"/>
          <w:bCs w:val="1"/>
          <w:i w:val="1"/>
          <w:iCs w:val="1"/>
          <w:color w:val="auto"/>
        </w:rPr>
        <w:t>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request an exception to the covenants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06"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b w:val="1"/>
          <w:bCs w:val="1"/>
          <w:i w:val="1"/>
          <w:iCs w:val="1"/>
          <w:color w:val="auto"/>
        </w:rPr>
        <w:t>Reasonableness.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agree that the restrictions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sz w:val="20"/>
          <w:szCs w:val="20"/>
          <w:color w:val="auto"/>
        </w:rPr>
      </w:pPr>
    </w:p>
    <w:p>
      <w:pPr>
        <w:ind w:right="160" w:firstLine="8"/>
        <w:spacing w:after="0" w:line="265" w:lineRule="auto"/>
        <w:tabs>
          <w:tab w:leader="none" w:pos="31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2"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b w:val="1"/>
          <w:bCs w:val="1"/>
          <w:i w:val="1"/>
          <w:iCs w:val="1"/>
          <w:color w:val="auto"/>
        </w:rPr>
        <w:t>Remedies</w:t>
      </w:r>
      <w:r>
        <w:rPr>
          <w:rFonts w:ascii="Times New Roman" w:cs="Times New Roman" w:eastAsia="Times New Roman" w:hAnsi="Times New Roman"/>
          <w:sz w:val="18"/>
          <w:szCs w:val="18"/>
          <w:color w:val="auto"/>
        </w:rPr>
        <w:t>. If you violate any provision in Section 4.2, 4.3,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 and without any requirement to post bond.</w:t>
      </w:r>
    </w:p>
    <w:p>
      <w:pPr>
        <w:spacing w:after="0" w:line="212" w:lineRule="exact"/>
        <w:rPr>
          <w:sz w:val="20"/>
          <w:szCs w:val="20"/>
          <w:color w:val="auto"/>
        </w:rPr>
      </w:pPr>
    </w:p>
    <w:p>
      <w:pPr>
        <w:ind w:left="420" w:right="540" w:hanging="412"/>
        <w:spacing w:after="0" w:line="286" w:lineRule="auto"/>
        <w:tabs>
          <w:tab w:leader="none" w:pos="4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 No Stockholder Rights Prior to Issuance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ind w:left="2" w:right="60"/>
        <w:spacing w:after="0" w:line="255" w:lineRule="auto"/>
        <w:rPr>
          <w:sz w:val="20"/>
          <w:szCs w:val="20"/>
          <w:color w:val="auto"/>
        </w:rPr>
      </w:pPr>
      <w:r>
        <w:rPr>
          <w:rFonts w:ascii="Times New Roman" w:cs="Times New Roman" w:eastAsia="Times New Roman" w:hAnsi="Times New Roman"/>
          <w:sz w:val="18"/>
          <w:szCs w:val="18"/>
          <w:color w:val="auto"/>
        </w:rPr>
        <w:t>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44" w:lineRule="exact"/>
        <w:rPr>
          <w:sz w:val="20"/>
          <w:szCs w:val="20"/>
          <w:color w:val="auto"/>
        </w:rPr>
      </w:pPr>
    </w:p>
    <w:p>
      <w:pPr>
        <w:ind w:left="382" w:hanging="382"/>
        <w:spacing w:after="0"/>
        <w:tabs>
          <w:tab w:leader="none" w:pos="38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Change in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 w:right="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The RSRs, Dividend Equivalents, and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award are subject to adjustment upon the occurrence of events such as stock splits, stock dividends and other changes in capitalization in accordance with Section 6(a) of the Plan.</w:t>
      </w:r>
    </w:p>
    <w:p>
      <w:pPr>
        <w:spacing w:after="0" w:line="149" w:lineRule="exact"/>
        <w:rPr>
          <w:sz w:val="20"/>
          <w:szCs w:val="20"/>
          <w:color w:val="auto"/>
        </w:rPr>
      </w:pPr>
    </w:p>
    <w:p>
      <w:pPr>
        <w:ind w:left="2"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Possible Acceleration on Change in Control</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53" w:lineRule="exact"/>
        <w:rPr>
          <w:sz w:val="20"/>
          <w:szCs w:val="20"/>
          <w:color w:val="auto"/>
        </w:rPr>
      </w:pPr>
    </w:p>
    <w:p>
      <w:pPr>
        <w:ind w:left="2" w:firstLine="405"/>
        <w:spacing w:after="0" w:line="253" w:lineRule="auto"/>
        <w:rPr>
          <w:sz w:val="20"/>
          <w:szCs w:val="20"/>
          <w:color w:val="auto"/>
        </w:rPr>
      </w:pPr>
      <w:r>
        <w:rPr>
          <w:rFonts w:ascii="Times New Roman" w:cs="Times New Roman" w:eastAsia="Times New Roman" w:hAnsi="Times New Roman"/>
          <w:sz w:val="18"/>
          <w:szCs w:val="18"/>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54" w:lineRule="exact"/>
        <w:rPr>
          <w:sz w:val="20"/>
          <w:szCs w:val="20"/>
          <w:color w:val="auto"/>
        </w:rPr>
      </w:pPr>
    </w:p>
    <w:p>
      <w:pPr>
        <w:ind w:left="2" w:firstLine="405"/>
        <w:spacing w:after="0" w:line="266" w:lineRule="auto"/>
        <w:rPr>
          <w:sz w:val="20"/>
          <w:szCs w:val="20"/>
          <w:color w:val="auto"/>
        </w:rPr>
      </w:pPr>
      <w:r>
        <w:rPr>
          <w:rFonts w:ascii="Times New Roman" w:cs="Times New Roman" w:eastAsia="Times New Roman" w:hAnsi="Times New Roman"/>
          <w:sz w:val="18"/>
          <w:szCs w:val="18"/>
          <w:color w:val="auto"/>
        </w:rPr>
        <w:t>Payment of any RSRs (and related Dividend Equivalents) that vest under this Section will be made within 60 days of the termination of Grantee’s employment.</w:t>
      </w:r>
    </w:p>
    <w:p>
      <w:pPr>
        <w:spacing w:after="0" w:line="145" w:lineRule="exact"/>
        <w:rPr>
          <w:sz w:val="20"/>
          <w:szCs w:val="20"/>
          <w:color w:val="auto"/>
        </w:rPr>
      </w:pPr>
    </w:p>
    <w:p>
      <w:pPr>
        <w:ind w:left="2" w:right="100"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i w:val="1"/>
          <w:iCs w:val="1"/>
          <w:color w:val="auto"/>
        </w:rPr>
        <w:t>Automatic Acceleration; Early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undergoes a Change in Control triggered by clause (iii) or (iv) of the definition thereof and the Company is not the surviving entity and the successor to the Company (if any) (or a Parent thereof) does not agree</w:t>
      </w:r>
    </w:p>
    <w:p>
      <w:pPr>
        <w:sectPr>
          <w:pgSz w:w="11900" w:h="16838" w:orient="portrait"/>
          <w:cols w:equalWidth="0" w:num="2">
            <w:col w:w="5200" w:space="718"/>
            <w:col w:w="5202"/>
          </w:cols>
          <w:pgMar w:left="320" w:top="1157" w:right="459" w:bottom="1440" w:gutter="0" w:footer="0" w:header="0"/>
        </w:sectPr>
      </w:pPr>
    </w:p>
    <w:bookmarkStart w:id="82" w:name="page83"/>
    <w:bookmarkEnd w:id="82"/>
    <w:p>
      <w:pPr>
        <w:spacing w:after="0" w:line="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6" w:lineRule="exact"/>
        <w:rPr>
          <w:sz w:val="20"/>
          <w:szCs w:val="20"/>
          <w:color w:val="auto"/>
        </w:rPr>
      </w:pPr>
    </w:p>
    <w:p>
      <w:pPr>
        <w:ind w:right="40" w:firstLine="8"/>
        <w:spacing w:after="0" w:line="251"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 Payment of any RSRs (and related Dividend Equivalents) that vest under this Section 6.3 will be made within 60 days of the Change in Control.</w:t>
      </w:r>
    </w:p>
    <w:p>
      <w:pPr>
        <w:spacing w:after="0" w:line="148" w:lineRule="exact"/>
        <w:rPr>
          <w:sz w:val="20"/>
          <w:szCs w:val="20"/>
          <w:color w:val="auto"/>
        </w:rPr>
      </w:pPr>
    </w:p>
    <w:p>
      <w:pPr>
        <w:ind w:left="400" w:hanging="392"/>
        <w:spacing w:after="0"/>
        <w:tabs>
          <w:tab w:leader="none" w:pos="4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Tax Withholding</w:t>
      </w:r>
      <w:r>
        <w:rPr>
          <w:rFonts w:ascii="Times New Roman" w:cs="Times New Roman" w:eastAsia="Times New Roman" w:hAnsi="Times New Roman"/>
          <w:sz w:val="18"/>
          <w:szCs w:val="18"/>
          <w:color w:val="auto"/>
        </w:rPr>
        <w:t>. The Company or the subsidiary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5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 The Company will pay all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taxes, if any, and other fees and expenses in connection with the issuance of shares in connection with the vesting of the RSRs.</w:t>
      </w:r>
    </w:p>
    <w:p>
      <w:pPr>
        <w:spacing w:after="0" w:line="130"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i w:val="1"/>
          <w:iCs w:val="1"/>
          <w:color w:val="auto"/>
        </w:rPr>
        <w:t>Compliance with Code</w:t>
      </w:r>
      <w:r>
        <w:rPr>
          <w:rFonts w:ascii="Times New Roman" w:cs="Times New Roman" w:eastAsia="Times New Roman" w:hAnsi="Times New Roman"/>
          <w:sz w:val="18"/>
          <w:szCs w:val="18"/>
          <w:color w:val="auto"/>
        </w:rPr>
        <w:t>. The Agreement is designed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Code Section 409A, and the Committee shall administer and construe the award in such a way as to be exempt from and to avoid adverse tax consequences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2" w:right="20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Unfunded Arrangement</w:t>
      </w:r>
      <w:r>
        <w:rPr>
          <w:rFonts w:ascii="Times New Roman" w:cs="Times New Roman" w:eastAsia="Times New Roman" w:hAnsi="Times New Roman"/>
          <w:sz w:val="18"/>
          <w:szCs w:val="18"/>
          <w:color w:val="auto"/>
        </w:rPr>
        <w:t>. The right of the Grantee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2" w:lineRule="exact"/>
        <w:rPr>
          <w:sz w:val="20"/>
          <w:szCs w:val="20"/>
          <w:color w:val="auto"/>
        </w:rPr>
      </w:pPr>
    </w:p>
    <w:p>
      <w:pPr>
        <w:ind w:left="2"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1.5 Code Section 280G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any other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to the contrary, in the event that any amounts payable to you under this Agreement,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under this Agreement,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any payments or benefits to the Grantee are to be reduced pursuant to this Section 7.5, such payments and benefits shall be reduced such that the reduction of compensation to be provided to the Grantee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62" w:lineRule="exact"/>
        <w:rPr>
          <w:sz w:val="20"/>
          <w:szCs w:val="20"/>
          <w:color w:val="auto"/>
        </w:rPr>
      </w:pPr>
    </w:p>
    <w:p>
      <w:pPr>
        <w:ind w:left="642" w:hanging="642"/>
        <w:spacing w:after="0"/>
        <w:tabs>
          <w:tab w:leader="none" w:pos="64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Arbitration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2" w:right="80" w:firstLine="177"/>
        <w:spacing w:after="0" w:line="254" w:lineRule="auto"/>
        <w:rPr>
          <w:sz w:val="20"/>
          <w:szCs w:val="20"/>
          <w:color w:val="auto"/>
        </w:rPr>
      </w:pPr>
      <w:r>
        <w:rPr>
          <w:rFonts w:ascii="Times New Roman" w:cs="Times New Roman" w:eastAsia="Times New Roman" w:hAnsi="Times New Roman"/>
          <w:sz w:val="18"/>
          <w:szCs w:val="18"/>
          <w:color w:val="auto"/>
        </w:rPr>
        <w:t>This Agreement shall be governed by the laws of the State of Delaware. You agree to be bound by and fully comply with Northrop Grumman Manual USHR 2-32, Arbitration and Mediation (“USHR 2-32”). Any cause of action or claim arising out of or related to the terms and conditions applicable to this grant will be determined through final and binding arbitration, in accordance with USHR 2-32, provided that the prevailing party in the arbitration shall be entitled to receive from the losing party reasonably incurred</w:t>
      </w:r>
    </w:p>
    <w:p>
      <w:pPr>
        <w:sectPr>
          <w:pgSz w:w="11900" w:h="16838" w:orient="portrait"/>
          <w:cols w:equalWidth="0" w:num="2">
            <w:col w:w="5220" w:space="698"/>
            <w:col w:w="5202"/>
          </w:cols>
          <w:pgMar w:left="320" w:top="1157" w:right="459" w:bottom="1440" w:gutter="0" w:footer="0" w:header="0"/>
        </w:sectPr>
      </w:pPr>
    </w:p>
    <w:bookmarkStart w:id="83" w:name="page84"/>
    <w:bookmarkEnd w:id="83"/>
    <w:p>
      <w:pPr>
        <w:spacing w:after="0" w:line="253" w:lineRule="auto"/>
        <w:rPr>
          <w:sz w:val="20"/>
          <w:szCs w:val="20"/>
          <w:color w:val="auto"/>
        </w:rPr>
      </w:pPr>
      <w:r>
        <w:rPr>
          <w:rFonts w:ascii="Times New Roman" w:cs="Times New Roman" w:eastAsia="Times New Roman" w:hAnsi="Times New Roman"/>
          <w:sz w:val="18"/>
          <w:szCs w:val="18"/>
          <w:color w:val="auto"/>
        </w:rPr>
        <w:t>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5"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7" w:lineRule="exact"/>
        <w:rPr>
          <w:sz w:val="20"/>
          <w:szCs w:val="20"/>
          <w:color w:val="auto"/>
        </w:rPr>
      </w:pPr>
    </w:p>
    <w:p>
      <w:pPr>
        <w:ind w:left="400" w:hanging="392"/>
        <w:spacing w:after="0"/>
        <w:tabs>
          <w:tab w:leader="none" w:pos="4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Amendment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Holding Period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right="20" w:firstLine="180"/>
        <w:spacing w:after="0" w:line="254" w:lineRule="auto"/>
        <w:rPr>
          <w:sz w:val="20"/>
          <w:szCs w:val="20"/>
          <w:color w:val="auto"/>
        </w:rPr>
      </w:pPr>
      <w:r>
        <w:rPr>
          <w:rFonts w:ascii="Times New Roman" w:cs="Times New Roman" w:eastAsia="Times New Roman" w:hAnsi="Times New Roman"/>
          <w:sz w:val="18"/>
          <w:szCs w:val="18"/>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ind w:left="2"/>
        <w:spacing w:after="0" w:line="252" w:lineRule="auto"/>
        <w:rPr>
          <w:sz w:val="20"/>
          <w:szCs w:val="20"/>
          <w:color w:val="auto"/>
        </w:rPr>
      </w:pPr>
      <w:r>
        <w:rPr>
          <w:rFonts w:ascii="Times New Roman" w:cs="Times New Roman" w:eastAsia="Times New Roman" w:hAnsi="Times New Roman"/>
          <w:sz w:val="18"/>
          <w:szCs w:val="18"/>
          <w:color w:val="auto"/>
        </w:rPr>
        <w:t>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43" w:lineRule="exact"/>
        <w:rPr>
          <w:sz w:val="20"/>
          <w:szCs w:val="20"/>
          <w:color w:val="auto"/>
        </w:rPr>
      </w:pPr>
    </w:p>
    <w:p>
      <w:pPr>
        <w:ind w:left="402" w:hanging="402"/>
        <w:spacing w:after="0"/>
        <w:tabs>
          <w:tab w:leader="none" w:pos="40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 w:right="80" w:firstLine="405"/>
        <w:spacing w:after="0" w:line="266" w:lineRule="auto"/>
        <w:rPr>
          <w:sz w:val="20"/>
          <w:szCs w:val="20"/>
          <w:color w:val="auto"/>
        </w:rPr>
      </w:pPr>
      <w:r>
        <w:rPr>
          <w:rFonts w:ascii="Times New Roman" w:cs="Times New Roman" w:eastAsia="Times New Roman" w:hAnsi="Times New Roman"/>
          <w:sz w:val="18"/>
          <w:szCs w:val="18"/>
          <w:color w:val="auto"/>
        </w:rPr>
        <w:t>Whenever used in this Agreement, the following terms shall have the meanings set forth below and, when the meaning is intended, the initial letter of the word is capitalized:</w:t>
      </w:r>
    </w:p>
    <w:p>
      <w:pPr>
        <w:spacing w:after="0" w:line="145"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85"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either or both of the following:</w:t>
      </w:r>
    </w:p>
    <w:p>
      <w:pPr>
        <w:spacing w:after="0" w:line="189" w:lineRule="exact"/>
        <w:rPr>
          <w:sz w:val="20"/>
          <w:szCs w:val="20"/>
          <w:color w:val="auto"/>
        </w:rPr>
      </w:pPr>
    </w:p>
    <w:p>
      <w:pPr>
        <w:ind w:left="562" w:right="120" w:hanging="319"/>
        <w:spacing w:after="0" w:line="258" w:lineRule="auto"/>
        <w:tabs>
          <w:tab w:leader="none" w:pos="58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56" w:lineRule="exact"/>
        <w:rPr>
          <w:rFonts w:ascii="Times New Roman" w:cs="Times New Roman" w:eastAsia="Times New Roman" w:hAnsi="Times New Roman"/>
          <w:sz w:val="18"/>
          <w:szCs w:val="18"/>
          <w:color w:val="auto"/>
        </w:rPr>
      </w:pPr>
    </w:p>
    <w:p>
      <w:pPr>
        <w:ind w:left="562" w:right="40" w:hanging="319"/>
        <w:spacing w:after="0" w:line="256" w:lineRule="auto"/>
        <w:tabs>
          <w:tab w:leader="none" w:pos="6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ectPr>
          <w:pgSz w:w="11900" w:h="16838" w:orient="portrait"/>
          <w:cols w:equalWidth="0" w:num="2">
            <w:col w:w="5220" w:space="698"/>
            <w:col w:w="5202"/>
          </w:cols>
          <w:pgMar w:left="320" w:top="1161" w:right="459" w:bottom="1440" w:gutter="0" w:footer="0" w:header="0"/>
        </w:sectPr>
      </w:pPr>
    </w:p>
    <w:bookmarkStart w:id="84" w:name="page85"/>
    <w:bookmarkEnd w:id="84"/>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341"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4" w:lineRule="exact"/>
        <w:rPr>
          <w:sz w:val="20"/>
          <w:szCs w:val="20"/>
          <w:color w:val="auto"/>
        </w:rPr>
      </w:pPr>
    </w:p>
    <w:p>
      <w:pPr>
        <w:ind w:right="301"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Company’s Compensation and Human Capital Committee or any successor committee appointed by the Board to administer the Plan.</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w:t>
      </w:r>
    </w:p>
    <w:p>
      <w:pPr>
        <w:spacing w:after="0" w:line="185" w:lineRule="exact"/>
        <w:rPr>
          <w:sz w:val="20"/>
          <w:szCs w:val="20"/>
          <w:color w:val="auto"/>
        </w:rPr>
      </w:pPr>
    </w:p>
    <w:p>
      <w:pPr>
        <w:ind w:right="241" w:firstLine="405"/>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45" w:lineRule="exact"/>
        <w:rPr>
          <w:sz w:val="20"/>
          <w:szCs w:val="20"/>
          <w:color w:val="auto"/>
        </w:rPr>
      </w:pPr>
    </w:p>
    <w:p>
      <w:pPr>
        <w:ind w:right="521" w:firstLine="40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9" w:lineRule="exact"/>
        <w:rPr>
          <w:sz w:val="20"/>
          <w:szCs w:val="20"/>
          <w:color w:val="auto"/>
        </w:rPr>
      </w:pPr>
    </w:p>
    <w:p>
      <w:pPr>
        <w:ind w:right="561" w:firstLine="405"/>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Grantee’s express written consent, the occurrence of any one or more of the following:</w:t>
      </w:r>
    </w:p>
    <w:p>
      <w:pPr>
        <w:spacing w:after="0" w:line="95" w:lineRule="exact"/>
        <w:rPr>
          <w:sz w:val="20"/>
          <w:szCs w:val="20"/>
          <w:color w:val="auto"/>
        </w:rPr>
      </w:pPr>
    </w:p>
    <w:p>
      <w:pPr>
        <w:ind w:left="580" w:right="361" w:hanging="329"/>
        <w:spacing w:after="0" w:line="252" w:lineRule="auto"/>
        <w:tabs>
          <w:tab w:leader="none" w:pos="59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left="319" w:right="140"/>
        <w:spacing w:after="0" w:line="258" w:lineRule="auto"/>
        <w:rPr>
          <w:sz w:val="20"/>
          <w:szCs w:val="20"/>
          <w:color w:val="auto"/>
        </w:rPr>
      </w:pPr>
      <w:r>
        <w:rPr>
          <w:rFonts w:ascii="Times New Roman" w:cs="Times New Roman" w:eastAsia="Times New Roman" w:hAnsi="Times New Roman"/>
          <w:sz w:val="18"/>
          <w:szCs w:val="18"/>
          <w:color w:val="auto"/>
        </w:rPr>
        <w:t>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43" w:lineRule="exact"/>
        <w:rPr>
          <w:sz w:val="20"/>
          <w:szCs w:val="20"/>
          <w:color w:val="auto"/>
        </w:rPr>
      </w:pPr>
    </w:p>
    <w:p>
      <w:pPr>
        <w:ind w:left="319" w:hanging="143"/>
        <w:spacing w:after="0" w:line="252" w:lineRule="auto"/>
        <w:rPr>
          <w:sz w:val="20"/>
          <w:szCs w:val="20"/>
          <w:color w:val="auto"/>
        </w:rPr>
      </w:pPr>
      <w:r>
        <w:rPr>
          <w:rFonts w:ascii="Times New Roman" w:cs="Times New Roman" w:eastAsia="Times New Roman" w:hAnsi="Times New Roman"/>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7" w:lineRule="exact"/>
        <w:rPr>
          <w:sz w:val="20"/>
          <w:szCs w:val="20"/>
          <w:color w:val="auto"/>
        </w:rPr>
      </w:pPr>
    </w:p>
    <w:p>
      <w:pPr>
        <w:ind w:left="319" w:right="60" w:hanging="319"/>
        <w:spacing w:after="0" w:line="261" w:lineRule="auto"/>
        <w:tabs>
          <w:tab w:leader="none" w:pos="38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Grantee’s annualized rate of base salary as in effect at the start of the Protected Period, or as the same shall be increased from time to time.</w:t>
      </w:r>
    </w:p>
    <w:p>
      <w:pPr>
        <w:spacing w:after="0" w:line="152" w:lineRule="exact"/>
        <w:rPr>
          <w:rFonts w:ascii="Times New Roman" w:cs="Times New Roman" w:eastAsia="Times New Roman" w:hAnsi="Times New Roman"/>
          <w:sz w:val="18"/>
          <w:szCs w:val="18"/>
          <w:color w:val="auto"/>
        </w:rPr>
      </w:pPr>
    </w:p>
    <w:p>
      <w:pPr>
        <w:ind w:left="319" w:right="20" w:hanging="319"/>
        <w:spacing w:after="0" w:line="253" w:lineRule="auto"/>
        <w:tabs>
          <w:tab w:leader="none" w:pos="4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49" w:lineRule="exact"/>
        <w:rPr>
          <w:rFonts w:ascii="Times New Roman" w:cs="Times New Roman" w:eastAsia="Times New Roman" w:hAnsi="Times New Roman"/>
          <w:sz w:val="18"/>
          <w:szCs w:val="18"/>
          <w:color w:val="auto"/>
        </w:rPr>
      </w:pPr>
    </w:p>
    <w:p>
      <w:pPr>
        <w:ind w:left="319" w:hanging="319"/>
        <w:spacing w:after="0" w:line="255" w:lineRule="auto"/>
        <w:tabs>
          <w:tab w:leader="none" w:pos="4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w:t>
      </w:r>
    </w:p>
    <w:p>
      <w:pPr>
        <w:sectPr>
          <w:pgSz w:w="11900" w:h="16838" w:orient="portrait"/>
          <w:cols w:equalWidth="0" w:num="2">
            <w:col w:w="5441" w:space="720"/>
            <w:col w:w="4959"/>
          </w:cols>
          <w:pgMar w:left="320" w:top="1157" w:right="459" w:bottom="1440" w:gutter="0" w:footer="0" w:header="0"/>
        </w:sectPr>
      </w:pPr>
    </w:p>
    <w:bookmarkStart w:id="85" w:name="page86"/>
    <w:bookmarkEnd w:id="85"/>
    <w:p>
      <w:pPr>
        <w:ind w:left="580"/>
        <w:spacing w:after="0" w:line="261" w:lineRule="auto"/>
        <w:rPr>
          <w:sz w:val="20"/>
          <w:szCs w:val="20"/>
          <w:color w:val="auto"/>
        </w:rPr>
      </w:pPr>
      <w:r>
        <w:rPr>
          <w:rFonts w:ascii="Times New Roman" w:cs="Times New Roman" w:eastAsia="Times New Roman" w:hAnsi="Times New Roman"/>
          <w:sz w:val="18"/>
          <w:szCs w:val="18"/>
          <w:color w:val="auto"/>
        </w:rPr>
        <w:t>substantially consistent with the average level of participation of other employees who have positions commensurate with the position held by the Grantee immediately prior to the start of the Protected Period.</w:t>
      </w:r>
    </w:p>
    <w:p>
      <w:pPr>
        <w:spacing w:after="0" w:line="139" w:lineRule="exact"/>
        <w:rPr>
          <w:sz w:val="20"/>
          <w:szCs w:val="20"/>
          <w:color w:val="auto"/>
        </w:rPr>
      </w:pPr>
    </w:p>
    <w:p>
      <w:pPr>
        <w:ind w:left="580" w:right="120" w:hanging="329"/>
        <w:spacing w:after="0" w:line="254" w:lineRule="auto"/>
        <w:tabs>
          <w:tab w:leader="none" w:pos="64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used as defined in the Plan.</w:t>
      </w:r>
    </w:p>
    <w:p>
      <w:pPr>
        <w:spacing w:after="0" w:line="185"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Northrop Grumman 2024 Long-Term Incentive Stock Plan, as it may be amended form time to time.</w:t>
      </w:r>
    </w:p>
    <w:p>
      <w:pPr>
        <w:spacing w:after="0" w:line="114"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Protected Period</w:t>
      </w:r>
      <w:r>
        <w:rPr>
          <w:rFonts w:ascii="Times New Roman" w:cs="Times New Roman" w:eastAsia="Times New Roman" w:hAnsi="Times New Roman"/>
          <w:sz w:val="18"/>
          <w:szCs w:val="18"/>
          <w:color w:val="auto"/>
        </w:rPr>
        <w:t>” corresponding to a Change in Control of the Company shall be a period of time determined in accordance with the following:</w:t>
      </w:r>
    </w:p>
    <w:p>
      <w:pPr>
        <w:spacing w:after="0" w:line="148" w:lineRule="exact"/>
        <w:rPr>
          <w:sz w:val="20"/>
          <w:szCs w:val="20"/>
          <w:color w:val="auto"/>
        </w:rPr>
      </w:pPr>
    </w:p>
    <w:p>
      <w:pPr>
        <w:ind w:left="580" w:right="20" w:hanging="329"/>
        <w:spacing w:after="0" w:line="254" w:lineRule="auto"/>
        <w:tabs>
          <w:tab w:leader="none" w:pos="60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Times New Roman" w:cs="Times New Roman" w:eastAsia="Times New Roman" w:hAnsi="Times New Roman"/>
          <w:sz w:val="18"/>
          <w:szCs w:val="18"/>
          <w:color w:val="auto"/>
        </w:rPr>
      </w:pPr>
    </w:p>
    <w:p>
      <w:pPr>
        <w:ind w:left="580" w:right="20" w:hanging="329"/>
        <w:spacing w:after="0" w:line="254" w:lineRule="auto"/>
        <w:tabs>
          <w:tab w:leader="none" w:pos="65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ind w:left="700" w:hanging="459"/>
        <w:spacing w:after="0"/>
        <w:tabs>
          <w:tab w:leader="none" w:pos="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Change in Control not described in clause</w:t>
      </w:r>
    </w:p>
    <w:p>
      <w:pPr>
        <w:spacing w:after="0" w:line="27" w:lineRule="exact"/>
        <w:rPr>
          <w:rFonts w:ascii="Times New Roman" w:cs="Times New Roman" w:eastAsia="Times New Roman" w:hAnsi="Times New Roman"/>
          <w:sz w:val="18"/>
          <w:szCs w:val="18"/>
          <w:color w:val="auto"/>
        </w:rPr>
      </w:pPr>
    </w:p>
    <w:p>
      <w:pPr>
        <w:jc w:val="both"/>
        <w:ind w:left="560" w:firstLine="5"/>
        <w:spacing w:after="0" w:line="253" w:lineRule="auto"/>
        <w:tabs>
          <w:tab w:leader="none" w:pos="77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 Protected Period shall commence on the date that is six (6) months prior to the Change in Control and shall continue through and including the date of the Change in Control.</w:t>
      </w:r>
    </w:p>
    <w:p>
      <w:pPr>
        <w:spacing w:after="0" w:line="144"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means the person acquiring a Grantee’s rights to a grant under the Plan as a beneficiary designated in the Stock Plan System, or if none, the Grantee’s estate.</w:t>
      </w:r>
    </w:p>
    <w:p>
      <w:pPr>
        <w:sectPr>
          <w:pgSz w:w="11900" w:h="16838" w:orient="portrait"/>
          <w:cols w:equalWidth="0" w:num="2">
            <w:col w:w="5220" w:space="700"/>
            <w:col w:w="5060"/>
          </w:cols>
          <w:pgMar w:left="320" w:top="1161" w:right="5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10.6</w:t>
      </w:r>
    </w:p>
    <w:p>
      <w:pPr>
        <w:spacing w:after="0" w:line="6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GROUP PERSONAL EXCESS LIABILITY POLICY</w:t>
      </w:r>
    </w:p>
    <w:p>
      <w:pPr>
        <w:spacing w:after="0" w:line="14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20" w:right="20" w:firstLine="1"/>
        <w:spacing w:after="0" w:line="282" w:lineRule="auto"/>
        <w:rPr>
          <w:sz w:val="20"/>
          <w:szCs w:val="20"/>
          <w:color w:val="auto"/>
        </w:rPr>
      </w:pPr>
      <w:r>
        <w:rPr>
          <w:rFonts w:ascii="Times New Roman" w:cs="Times New Roman" w:eastAsia="Times New Roman" w:hAnsi="Times New Roman"/>
          <w:sz w:val="18"/>
          <w:szCs w:val="18"/>
          <w:color w:val="auto"/>
        </w:rPr>
        <w:t>This is your Chubb Group Personal Excess Liability Policy. Together with your Coverage Summary Certificate, it explains your coverages and other conditions of your insurance in detail.</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policy is a contract between you and us. READ YOUR POLICY CAREFULLY and keep it in a safe place.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p>
    <w:p>
      <w:pPr>
        <w:spacing w:after="0" w:line="81" w:lineRule="exact"/>
        <w:rPr>
          <w:sz w:val="20"/>
          <w:szCs w:val="20"/>
          <w:color w:val="auto"/>
        </w:rPr>
      </w:pPr>
    </w:p>
    <w:p>
      <w:pPr>
        <w:ind w:left="20" w:right="820" w:hanging="17"/>
        <w:spacing w:after="0" w:line="282" w:lineRule="auto"/>
        <w:rPr>
          <w:sz w:val="20"/>
          <w:szCs w:val="20"/>
          <w:color w:val="auto"/>
        </w:rPr>
      </w:pPr>
      <w:r>
        <w:rPr>
          <w:rFonts w:ascii="Times New Roman" w:cs="Times New Roman" w:eastAsia="Times New Roman" w:hAnsi="Times New Roman"/>
          <w:sz w:val="18"/>
          <w:szCs w:val="18"/>
          <w:color w:val="auto"/>
        </w:rPr>
        <w:t>We agree to provide the insurance described in this policy in return for the premium paid by you or the Sponsoring Organization and your compliance with the policy conditions.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67" w:lineRule="exact"/>
        <w:rPr>
          <w:sz w:val="20"/>
          <w:szCs w:val="20"/>
          <w:color w:val="auto"/>
        </w:rPr>
      </w:pPr>
    </w:p>
    <w:p>
      <w:pPr>
        <w:ind w:left="20" w:right="1220" w:firstLine="2"/>
        <w:spacing w:after="0" w:line="282" w:lineRule="auto"/>
        <w:rPr>
          <w:sz w:val="20"/>
          <w:szCs w:val="20"/>
          <w:color w:val="auto"/>
        </w:rPr>
      </w:pPr>
      <w:r>
        <w:rPr>
          <w:rFonts w:ascii="Times New Roman" w:cs="Times New Roman" w:eastAsia="Times New Roman" w:hAnsi="Times New Roman"/>
          <w:sz w:val="18"/>
          <w:szCs w:val="18"/>
          <w:color w:val="auto"/>
        </w:rPr>
        <w:t>In this policy, we use words in their plain English meaning. Words with special meanings are defined in the part of the policy where they are used. The few defined terms used throughout the policy are defined here: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You </w:t>
      </w:r>
      <w:r>
        <w:rPr>
          <w:rFonts w:ascii="Times New Roman" w:cs="Times New Roman" w:eastAsia="Times New Roman" w:hAnsi="Times New Roman"/>
          <w:sz w:val="18"/>
          <w:szCs w:val="18"/>
          <w:color w:val="auto"/>
        </w:rPr>
        <w:t>means the individual who is a member of the Defined Group shown as the Insured named in the Coverage Summary Certificate.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Spouse </w:t>
      </w:r>
      <w:r>
        <w:rPr>
          <w:rFonts w:ascii="Times New Roman" w:cs="Times New Roman" w:eastAsia="Times New Roman" w:hAnsi="Times New Roman"/>
          <w:sz w:val="18"/>
          <w:szCs w:val="18"/>
          <w:color w:val="auto"/>
        </w:rPr>
        <w:t>means a partner in marriage or a partner in a civil union recognized under state law and who lives with you.</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us </w:t>
      </w:r>
      <w:r>
        <w:rPr>
          <w:rFonts w:ascii="Times New Roman" w:cs="Times New Roman" w:eastAsia="Times New Roman" w:hAnsi="Times New Roman"/>
          <w:sz w:val="18"/>
          <w:szCs w:val="18"/>
          <w:color w:val="auto"/>
        </w:rPr>
        <w:t>mean the insurance company named in the Coverage Summary Certificate.</w:t>
      </w:r>
    </w:p>
    <w:p>
      <w:pPr>
        <w:spacing w:after="0" w:line="131" w:lineRule="exact"/>
        <w:rPr>
          <w:sz w:val="20"/>
          <w:szCs w:val="20"/>
          <w:color w:val="auto"/>
        </w:rPr>
      </w:pPr>
    </w:p>
    <w:p>
      <w:pPr>
        <w:ind w:left="20" w:right="400"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means your spouse or domestic partner or other relative who lives with you, or any other person under 25 in your care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relative's care who lives with you or a student under 25 in your care temporarily away at school who is a resident of your household.</w:t>
      </w:r>
    </w:p>
    <w:p>
      <w:pPr>
        <w:spacing w:after="0" w:line="33" w:lineRule="exact"/>
        <w:rPr>
          <w:sz w:val="20"/>
          <w:szCs w:val="20"/>
          <w:color w:val="auto"/>
        </w:rPr>
      </w:pPr>
    </w:p>
    <w:p>
      <w:pPr>
        <w:ind w:left="20" w:right="400" w:hanging="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Domestic partner </w:t>
      </w:r>
      <w:r>
        <w:rPr>
          <w:rFonts w:ascii="Times New Roman" w:cs="Times New Roman" w:eastAsia="Times New Roman" w:hAnsi="Times New Roman"/>
          <w:sz w:val="18"/>
          <w:szCs w:val="18"/>
          <w:color w:val="auto"/>
        </w:rPr>
        <w:t>means a person in a legal or personal relationship with you, who lives with you and shares a common domestic life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meeting all of the benefits eligibility criteria as defined by the Sponsoring Organization.</w:t>
      </w:r>
    </w:p>
    <w:p>
      <w:pPr>
        <w:spacing w:after="0" w:line="47" w:lineRule="exact"/>
        <w:rPr>
          <w:sz w:val="20"/>
          <w:szCs w:val="20"/>
          <w:color w:val="auto"/>
        </w:rPr>
      </w:pPr>
    </w:p>
    <w:p>
      <w:pPr>
        <w:ind w:left="20" w:right="16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Sponsoring Organization </w:t>
      </w:r>
      <w:r>
        <w:rPr>
          <w:rFonts w:ascii="Times New Roman" w:cs="Times New Roman" w:eastAsia="Times New Roman" w:hAnsi="Times New Roman"/>
          <w:sz w:val="18"/>
          <w:szCs w:val="18"/>
          <w:color w:val="auto"/>
        </w:rPr>
        <w:t>means the entity, corporation, partnership or sole proprietorship sponsoring and defining the criteria for qualification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Insured.</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Policy </w:t>
      </w:r>
      <w:r>
        <w:rPr>
          <w:rFonts w:ascii="Times New Roman" w:cs="Times New Roman" w:eastAsia="Times New Roman" w:hAnsi="Times New Roman"/>
          <w:sz w:val="18"/>
          <w:szCs w:val="18"/>
          <w:color w:val="auto"/>
        </w:rPr>
        <w:t>means your entire Group Personal Excess Liability Policy, including the Coverage Summary Certificate.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Coverage Summary Certificate </w:t>
      </w:r>
      <w:r>
        <w:rPr>
          <w:rFonts w:ascii="Times New Roman" w:cs="Times New Roman" w:eastAsia="Times New Roman" w:hAnsi="Times New Roman"/>
          <w:sz w:val="18"/>
          <w:szCs w:val="18"/>
          <w:color w:val="auto"/>
        </w:rPr>
        <w:t>means the most recent Coverage Summary Certificate we issued to you, including any endorsements.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Occurrence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480" w:hanging="462"/>
        <w:spacing w:after="0"/>
        <w:tabs>
          <w:tab w:leader="none" w:pos="4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 which begins within the policy period resulting in bodily injury, mental anguish, mental injury, or property damage; or</w:t>
      </w:r>
    </w:p>
    <w:p>
      <w:pPr>
        <w:spacing w:after="0" w:line="27"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offense first committed within the policy period resulting in:</w:t>
      </w:r>
    </w:p>
    <w:p>
      <w:pPr>
        <w:spacing w:after="0" w:line="9" w:lineRule="exact"/>
        <w:rPr>
          <w:rFonts w:ascii="Times New Roman" w:cs="Times New Roman" w:eastAsia="Times New Roman" w:hAnsi="Times New Roman"/>
          <w:sz w:val="18"/>
          <w:szCs w:val="18"/>
          <w:color w:val="auto"/>
        </w:rPr>
      </w:pPr>
    </w:p>
    <w:p>
      <w:pPr>
        <w:ind w:left="820" w:hanging="348"/>
        <w:spacing w:after="0"/>
        <w:tabs>
          <w:tab w:leader="none" w:pos="8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arrest, false imprisonment, or wrongful detention;</w:t>
      </w:r>
    </w:p>
    <w:p>
      <w:pPr>
        <w:spacing w:after="0" w:line="9" w:lineRule="exact"/>
        <w:rPr>
          <w:rFonts w:ascii="Times New Roman" w:cs="Times New Roman" w:eastAsia="Times New Roman" w:hAnsi="Times New Roman"/>
          <w:sz w:val="18"/>
          <w:szCs w:val="18"/>
          <w:color w:val="auto"/>
        </w:rPr>
      </w:pPr>
    </w:p>
    <w:p>
      <w:pPr>
        <w:ind w:left="820" w:right="1420" w:hanging="348"/>
        <w:spacing w:after="0" w:line="250" w:lineRule="auto"/>
        <w:tabs>
          <w:tab w:leader="none" w:pos="81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entry into, wrongful eviction of a person from or other violation of a person's right of private occupancy of a residence premises or room that such person occupies, if committed by or on behalf of its landlord, lessor or owner;</w:t>
      </w:r>
    </w:p>
    <w:p>
      <w:pPr>
        <w:ind w:left="840" w:hanging="368"/>
        <w:spacing w:after="0"/>
        <w:tabs>
          <w:tab w:leader="none" w:pos="8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prosecution; or</w:t>
      </w:r>
    </w:p>
    <w:p>
      <w:pPr>
        <w:spacing w:after="0" w:line="9"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libel, slander, defamation of character, or invasion of privacy,</w:t>
      </w:r>
    </w:p>
    <w:p>
      <w:pPr>
        <w:spacing w:after="0" w:line="99" w:lineRule="exact"/>
        <w:rPr>
          <w:sz w:val="20"/>
          <w:szCs w:val="20"/>
          <w:color w:val="auto"/>
        </w:rPr>
      </w:pPr>
    </w:p>
    <w:p>
      <w:pPr>
        <w:ind w:left="20" w:right="380" w:firstLine="4"/>
        <w:spacing w:after="0" w:line="282" w:lineRule="auto"/>
        <w:rPr>
          <w:sz w:val="20"/>
          <w:szCs w:val="20"/>
          <w:color w:val="auto"/>
        </w:rPr>
      </w:pPr>
      <w:r>
        <w:rPr>
          <w:rFonts w:ascii="Times New Roman" w:cs="Times New Roman" w:eastAsia="Times New Roman" w:hAnsi="Times New Roman"/>
          <w:sz w:val="18"/>
          <w:szCs w:val="18"/>
          <w:color w:val="auto"/>
        </w:rPr>
        <w:t>to which this insurance applies. Continuous or repeated exposure to substantially the same general conditions unless excluded is considered to be one occurrence.</w:t>
      </w:r>
    </w:p>
    <w:p>
      <w:pPr>
        <w:spacing w:after="0" w:line="36" w:lineRule="exact"/>
        <w:rPr>
          <w:sz w:val="20"/>
          <w:szCs w:val="20"/>
          <w:color w:val="auto"/>
        </w:rPr>
      </w:pPr>
    </w:p>
    <w:p>
      <w:pPr>
        <w:ind w:left="20" w:right="400" w:hanging="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means any employment, trade, occupation, profession, or farm operation including the raising or care of animals or any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realize a benefit or financial gain engaged in on a full-time, part-time or occasional basis.</w:t>
      </w:r>
    </w:p>
    <w:p>
      <w:pPr>
        <w:spacing w:after="0" w:line="47" w:lineRule="exact"/>
        <w:rPr>
          <w:sz w:val="20"/>
          <w:szCs w:val="20"/>
          <w:color w:val="auto"/>
        </w:rPr>
      </w:pPr>
    </w:p>
    <w:p>
      <w:pPr>
        <w:ind w:left="2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Defined Group </w:t>
      </w:r>
      <w:r>
        <w:rPr>
          <w:rFonts w:ascii="Times New Roman" w:cs="Times New Roman" w:eastAsia="Times New Roman" w:hAnsi="Times New Roman"/>
          <w:sz w:val="18"/>
          <w:szCs w:val="18"/>
          <w:color w:val="auto"/>
        </w:rPr>
        <w:t>means those individuals meeting the criteria for qualification as an Insured as defined by the Sponsoring Organization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by us.</w:t>
      </w:r>
    </w:p>
    <w:p>
      <w:pPr>
        <w:sectPr>
          <w:pgSz w:w="11900" w:h="16838" w:orient="portrait"/>
          <w:cols w:equalWidth="0" w:num="1">
            <w:col w:w="10740"/>
          </w:cols>
          <w:pgMar w:left="820" w:top="1211" w:right="339" w:bottom="1440" w:gutter="0" w:footer="0" w:header="0"/>
        </w:sectPr>
      </w:pPr>
    </w:p>
    <w:bookmarkStart w:id="87" w:name="page88"/>
    <w:bookmarkEnd w:id="87"/>
    <w:p>
      <w:pPr>
        <w:jc w:val="both"/>
        <w:ind w:left="3" w:right="280" w:firstLine="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Follow form </w:t>
      </w:r>
      <w:r>
        <w:rPr>
          <w:rFonts w:ascii="Times New Roman" w:cs="Times New Roman" w:eastAsia="Times New Roman" w:hAnsi="Times New Roman"/>
          <w:sz w:val="18"/>
          <w:szCs w:val="18"/>
          <w:color w:val="auto"/>
        </w:rPr>
        <w:t>means we cover damages to the extent they are both covered under the Required Primary Underlying Insurance and, not excluded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policy. Also, the 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w:t>
      </w:r>
    </w:p>
    <w:p>
      <w:pPr>
        <w:spacing w:after="0" w:line="4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Covered person </w:t>
      </w:r>
      <w:r>
        <w:rPr>
          <w:rFonts w:ascii="Times New Roman" w:cs="Times New Roman" w:eastAsia="Times New Roman" w:hAnsi="Times New Roman"/>
          <w:sz w:val="18"/>
          <w:szCs w:val="18"/>
          <w:color w:val="auto"/>
        </w:rPr>
        <w:t>means:</w:t>
      </w:r>
    </w:p>
    <w:p>
      <w:pPr>
        <w:spacing w:after="0" w:line="31" w:lineRule="exact"/>
        <w:rPr>
          <w:sz w:val="20"/>
          <w:szCs w:val="20"/>
          <w:color w:val="auto"/>
        </w:rPr>
      </w:pPr>
    </w:p>
    <w:p>
      <w:pPr>
        <w:ind w:left="463" w:hanging="463"/>
        <w:spacing w:after="0"/>
        <w:tabs>
          <w:tab w:leader="none" w:pos="46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22" w:lineRule="exact"/>
        <w:rPr>
          <w:rFonts w:ascii="Times New Roman" w:cs="Times New Roman" w:eastAsia="Times New Roman" w:hAnsi="Times New Roman"/>
          <w:sz w:val="18"/>
          <w:szCs w:val="18"/>
          <w:color w:val="auto"/>
        </w:rPr>
      </w:pPr>
    </w:p>
    <w:p>
      <w:pPr>
        <w:ind w:left="463" w:right="300" w:hanging="462"/>
        <w:spacing w:after="0" w:line="258" w:lineRule="auto"/>
        <w:tabs>
          <w:tab w:leader="none" w:pos="4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using a vehicle or watercraft covered under this policy with permission from you or a family member with respect to their legal responsibility arising out of its use;</w:t>
      </w:r>
    </w:p>
    <w:p>
      <w:pPr>
        <w:ind w:left="463" w:hanging="462"/>
        <w:spacing w:after="0"/>
        <w:tabs>
          <w:tab w:leader="none" w:pos="46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organization with respect to their legal responsibility for covered acts or omissions of you or a family member; or</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108" w:lineRule="exact"/>
        <w:rPr>
          <w:sz w:val="20"/>
          <w:szCs w:val="20"/>
          <w:color w:val="auto"/>
        </w:rPr>
      </w:pPr>
    </w:p>
    <w:p>
      <w:pPr>
        <w:ind w:left="3" w:right="700" w:hanging="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Damages </w:t>
      </w:r>
      <w:r>
        <w:rPr>
          <w:rFonts w:ascii="Times New Roman" w:cs="Times New Roman" w:eastAsia="Times New Roman" w:hAnsi="Times New Roman"/>
          <w:sz w:val="18"/>
          <w:szCs w:val="18"/>
          <w:color w:val="auto"/>
        </w:rPr>
        <w:t>mean the sum that is paid or is payable to satisfy a claim settled by us or resolved by judicial procedure or by a compromise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in writing.</w:t>
      </w:r>
    </w:p>
    <w:p>
      <w:pPr>
        <w:spacing w:after="0" w:line="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Personal injury </w:t>
      </w:r>
      <w:r>
        <w:rPr>
          <w:rFonts w:ascii="Times New Roman" w:cs="Times New Roman" w:eastAsia="Times New Roman" w:hAnsi="Times New Roman"/>
          <w:sz w:val="18"/>
          <w:szCs w:val="18"/>
          <w:color w:val="auto"/>
        </w:rPr>
        <w:t>means the following injuries, and resulting death:</w:t>
      </w:r>
    </w:p>
    <w:p>
      <w:pPr>
        <w:spacing w:after="0" w:line="31" w:lineRule="exact"/>
        <w:rPr>
          <w:sz w:val="20"/>
          <w:szCs w:val="20"/>
          <w:color w:val="auto"/>
        </w:rPr>
      </w:pPr>
    </w:p>
    <w:p>
      <w:pPr>
        <w:ind w:left="463" w:hanging="463"/>
        <w:spacing w:after="0"/>
        <w:tabs>
          <w:tab w:leader="none" w:pos="4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bodily injury;</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anguish, or mental injury;</w:t>
      </w:r>
    </w:p>
    <w:p>
      <w:pPr>
        <w:spacing w:after="0" w:line="9" w:lineRule="exact"/>
        <w:rPr>
          <w:rFonts w:ascii="Times New Roman" w:cs="Times New Roman" w:eastAsia="Times New Roman" w:hAnsi="Times New Roman"/>
          <w:sz w:val="18"/>
          <w:szCs w:val="18"/>
          <w:color w:val="auto"/>
        </w:rPr>
      </w:pPr>
    </w:p>
    <w:p>
      <w:pPr>
        <w:ind w:left="443" w:hanging="443"/>
        <w:spacing w:after="0"/>
        <w:tabs>
          <w:tab w:leader="none" w:pos="4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arrest, false imprisonment, or wrongful detention;</w:t>
      </w:r>
    </w:p>
    <w:p>
      <w:pPr>
        <w:spacing w:after="0" w:line="9" w:lineRule="exact"/>
        <w:rPr>
          <w:rFonts w:ascii="Times New Roman" w:cs="Times New Roman" w:eastAsia="Times New Roman" w:hAnsi="Times New Roman"/>
          <w:sz w:val="18"/>
          <w:szCs w:val="18"/>
          <w:color w:val="auto"/>
        </w:rPr>
      </w:pPr>
    </w:p>
    <w:p>
      <w:pPr>
        <w:ind w:left="463" w:right="940" w:hanging="462"/>
        <w:spacing w:after="0" w:line="250" w:lineRule="auto"/>
        <w:tabs>
          <w:tab w:leader="none" w:pos="46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wrongful entry into, wrongful eviction of a person from or other violation of a person's right of private occupancy of a residence premises or room that such person occupies, if committed by or on behalf of its landlord, lessor or owner;</w:t>
      </w:r>
    </w:p>
    <w:p>
      <w:pPr>
        <w:ind w:left="463" w:hanging="463"/>
        <w:spacing w:after="0"/>
        <w:tabs>
          <w:tab w:leader="none" w:pos="4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malicious prosecution; and</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libel, slander, defamation of character, or invasion of privacy.</w:t>
      </w:r>
    </w:p>
    <w:p>
      <w:pPr>
        <w:spacing w:after="0" w:line="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b w:val="1"/>
          <w:bCs w:val="1"/>
          <w:color w:val="auto"/>
        </w:rPr>
        <w:t xml:space="preserve">Bodily injury </w:t>
      </w:r>
      <w:r>
        <w:rPr>
          <w:rFonts w:ascii="Times New Roman" w:cs="Times New Roman" w:eastAsia="Times New Roman" w:hAnsi="Times New Roman"/>
          <w:sz w:val="17"/>
          <w:szCs w:val="17"/>
          <w:color w:val="auto"/>
        </w:rPr>
        <w:t>means physical bodily harm, including sickness or disease that results from it, and required care, loss of services and resulting death.</w:t>
      </w:r>
    </w:p>
    <w:p>
      <w:pPr>
        <w:spacing w:after="0" w:line="142" w:lineRule="exact"/>
        <w:rPr>
          <w:sz w:val="20"/>
          <w:szCs w:val="20"/>
          <w:color w:val="auto"/>
        </w:rPr>
      </w:pPr>
    </w:p>
    <w:p>
      <w:pPr>
        <w:jc w:val="both"/>
        <w:ind w:left="3" w:right="200" w:firstLine="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damage </w:t>
      </w:r>
      <w:r>
        <w:rPr>
          <w:rFonts w:ascii="Times New Roman" w:cs="Times New Roman" w:eastAsia="Times New Roman" w:hAnsi="Times New Roman"/>
          <w:sz w:val="18"/>
          <w:szCs w:val="18"/>
          <w:color w:val="auto"/>
        </w:rPr>
        <w:t>means physical injury to or destruction of tangible property and the resulting loss of its use. Tangible property includes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recreating or replacing stocks, bonds, deeds, mortgages, bank deposits, and similar instruments, but does not include the value represented by such instruments.</w:t>
      </w:r>
    </w:p>
    <w:p>
      <w:pPr>
        <w:spacing w:after="0" w:line="4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Registered vehicle </w:t>
      </w:r>
      <w:r>
        <w:rPr>
          <w:rFonts w:ascii="Times New Roman" w:cs="Times New Roman" w:eastAsia="Times New Roman" w:hAnsi="Times New Roman"/>
          <w:sz w:val="18"/>
          <w:szCs w:val="18"/>
          <w:color w:val="auto"/>
        </w:rPr>
        <w:t>means any motorized land vehicle not described in "unregistered vehicle."</w:t>
      </w:r>
    </w:p>
    <w:p>
      <w:pPr>
        <w:spacing w:after="0" w:line="1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Unregistered vehicle </w:t>
      </w:r>
      <w:r>
        <w:rPr>
          <w:rFonts w:ascii="Times New Roman" w:cs="Times New Roman" w:eastAsia="Times New Roman" w:hAnsi="Times New Roman"/>
          <w:sz w:val="18"/>
          <w:szCs w:val="18"/>
          <w:color w:val="auto"/>
        </w:rPr>
        <w:t>means:</w:t>
      </w:r>
    </w:p>
    <w:p>
      <w:pPr>
        <w:spacing w:after="0" w:line="31" w:lineRule="exact"/>
        <w:rPr>
          <w:sz w:val="20"/>
          <w:szCs w:val="20"/>
          <w:color w:val="auto"/>
        </w:rPr>
      </w:pPr>
    </w:p>
    <w:p>
      <w:pPr>
        <w:ind w:left="463" w:hanging="463"/>
        <w:spacing w:after="0"/>
        <w:tabs>
          <w:tab w:leader="none" w:pos="4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not designed for or required to be registered for use on public roads;</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which is in dead storage at your residence;</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to service a residence premises or other grounds;</w:t>
      </w:r>
    </w:p>
    <w:p>
      <w:pPr>
        <w:spacing w:after="0" w:line="9" w:lineRule="exact"/>
        <w:rPr>
          <w:rFonts w:ascii="Times New Roman" w:cs="Times New Roman" w:eastAsia="Times New Roman" w:hAnsi="Times New Roman"/>
          <w:sz w:val="18"/>
          <w:szCs w:val="18"/>
          <w:color w:val="auto"/>
        </w:rPr>
      </w:pPr>
    </w:p>
    <w:p>
      <w:pPr>
        <w:ind w:left="463" w:right="560" w:hanging="462"/>
        <w:spacing w:after="0" w:line="250" w:lineRule="auto"/>
        <w:tabs>
          <w:tab w:leader="none" w:pos="4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motorized land vehicle used to assist the handicapped that is not designed for or required to be registered for use on public roads; or</w:t>
      </w:r>
    </w:p>
    <w:p>
      <w:pPr>
        <w:ind w:left="463" w:hanging="463"/>
        <w:spacing w:after="0"/>
        <w:tabs>
          <w:tab w:leader="none" w:pos="4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carts.</w:t>
      </w:r>
    </w:p>
    <w:p>
      <w:pPr>
        <w:spacing w:after="0" w:line="95" w:lineRule="exact"/>
        <w:rPr>
          <w:sz w:val="20"/>
          <w:szCs w:val="20"/>
          <w:color w:val="auto"/>
        </w:rPr>
      </w:pPr>
    </w:p>
    <w:p>
      <w:pPr>
        <w:jc w:val="both"/>
        <w:ind w:left="3" w:right="280" w:firstLine="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Employment discrimination </w:t>
      </w:r>
      <w:r>
        <w:rPr>
          <w:rFonts w:ascii="Times New Roman" w:cs="Times New Roman" w:eastAsia="Times New Roman" w:hAnsi="Times New Roman"/>
          <w:sz w:val="18"/>
          <w:szCs w:val="18"/>
          <w:color w:val="auto"/>
        </w:rPr>
        <w:t>means a violation of applicable employment discrimination law protecting any residential staff based on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4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Reputation management firm </w:t>
      </w:r>
      <w:r>
        <w:rPr>
          <w:rFonts w:ascii="Times New Roman" w:cs="Times New Roman" w:eastAsia="Times New Roman" w:hAnsi="Times New Roman"/>
          <w:sz w:val="18"/>
          <w:szCs w:val="18"/>
          <w:color w:val="auto"/>
        </w:rPr>
        <w:t>means:</w:t>
      </w:r>
    </w:p>
    <w:p>
      <w:pPr>
        <w:spacing w:after="0" w:line="31" w:lineRule="exact"/>
        <w:rPr>
          <w:sz w:val="20"/>
          <w:szCs w:val="20"/>
          <w:color w:val="auto"/>
        </w:rPr>
      </w:pPr>
    </w:p>
    <w:p>
      <w:pPr>
        <w:ind w:left="463" w:hanging="463"/>
        <w:spacing w:after="0"/>
        <w:tabs>
          <w:tab w:leader="none" w:pos="46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public relations consulting firm;</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security consulting firm; or</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media management consulting firm.</w:t>
      </w:r>
    </w:p>
    <w:p>
      <w:pPr>
        <w:spacing w:after="0" w:line="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Residential staff </w:t>
      </w:r>
      <w:r>
        <w:rPr>
          <w:rFonts w:ascii="Times New Roman" w:cs="Times New Roman" w:eastAsia="Times New Roman" w:hAnsi="Times New Roman"/>
          <w:sz w:val="18"/>
          <w:szCs w:val="18"/>
          <w:color w:val="auto"/>
        </w:rPr>
        <w:t>means your or a family member's employee who is:</w:t>
      </w:r>
    </w:p>
    <w:p>
      <w:pPr>
        <w:spacing w:after="0" w:line="31" w:lineRule="exact"/>
        <w:rPr>
          <w:sz w:val="20"/>
          <w:szCs w:val="20"/>
          <w:color w:val="auto"/>
        </w:rPr>
      </w:pPr>
    </w:p>
    <w:p>
      <w:pPr>
        <w:ind w:left="443" w:right="320" w:hanging="442"/>
        <w:spacing w:after="0" w:line="250" w:lineRule="auto"/>
        <w:tabs>
          <w:tab w:leader="none" w:pos="43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ind w:left="463" w:hanging="463"/>
        <w:spacing w:after="0"/>
        <w:tabs>
          <w:tab w:leader="none" w:pos="46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9" w:lineRule="exact"/>
        <w:rPr>
          <w:rFonts w:ascii="Times New Roman" w:cs="Times New Roman" w:eastAsia="Times New Roman" w:hAnsi="Times New Roman"/>
          <w:sz w:val="18"/>
          <w:szCs w:val="18"/>
          <w:color w:val="auto"/>
        </w:rPr>
      </w:pPr>
    </w:p>
    <w:p>
      <w:pPr>
        <w:ind w:left="463" w:hanging="462"/>
        <w:spacing w:after="0"/>
        <w:tabs>
          <w:tab w:leader="none" w:pos="46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regularly to work 15 or more hours per week.</w:t>
      </w:r>
    </w:p>
    <w:p>
      <w:pPr>
        <w:spacing w:after="0" w:line="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Residential staff includes a temporary worker. Residential staff does not include an independent contractor or any covered person.</w:t>
      </w:r>
    </w:p>
    <w:p>
      <w:pPr>
        <w:sectPr>
          <w:pgSz w:w="11900" w:h="16838" w:orient="portrait"/>
          <w:cols w:equalWidth="0" w:num="1">
            <w:col w:w="10623"/>
          </w:cols>
          <w:pgMar w:left="837" w:top="1319" w:right="4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Temporary worker </w:t>
      </w:r>
      <w:r>
        <w:rPr>
          <w:rFonts w:ascii="Times New Roman" w:cs="Times New Roman" w:eastAsia="Times New Roman" w:hAnsi="Times New Roman"/>
          <w:sz w:val="18"/>
          <w:szCs w:val="18"/>
          <w:color w:val="auto"/>
        </w:rPr>
        <w:t>means your or a family member's employee who is:</w:t>
      </w:r>
    </w:p>
    <w:p>
      <w:pPr>
        <w:spacing w:after="0" w:line="31" w:lineRule="exact"/>
        <w:rPr>
          <w:sz w:val="20"/>
          <w:szCs w:val="20"/>
          <w:color w:val="auto"/>
        </w:rPr>
      </w:pPr>
    </w:p>
    <w:p>
      <w:pPr>
        <w:ind w:left="460" w:right="160" w:hanging="442"/>
        <w:spacing w:after="0" w:line="250" w:lineRule="auto"/>
        <w:tabs>
          <w:tab w:leader="none" w:pos="45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you or a family member, or through a firm under an agreement with you or a family member, to perform duties related only to a covered person's domestic, personal, or business pursuits covered under this part of your policy;</w:t>
      </w:r>
    </w:p>
    <w:p>
      <w:pPr>
        <w:ind w:left="480" w:hanging="463"/>
        <w:spacing w:after="0"/>
        <w:tabs>
          <w:tab w:leader="none" w:pos="4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labor or services directed by you or a family member; and</w:t>
      </w:r>
    </w:p>
    <w:p>
      <w:pPr>
        <w:spacing w:after="0" w:line="9" w:lineRule="exact"/>
        <w:rPr>
          <w:rFonts w:ascii="Times New Roman" w:cs="Times New Roman" w:eastAsia="Times New Roman" w:hAnsi="Times New Roman"/>
          <w:sz w:val="18"/>
          <w:szCs w:val="18"/>
          <w:color w:val="auto"/>
        </w:rPr>
      </w:pPr>
    </w:p>
    <w:p>
      <w:pPr>
        <w:ind w:left="480" w:right="300" w:hanging="462"/>
        <w:spacing w:after="0" w:line="258" w:lineRule="auto"/>
        <w:tabs>
          <w:tab w:leader="none" w:pos="47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to work 15 or more hours per week to substitute for any residential staff on leave or to meet seasonal or short-term workload demands for 30 consecutive days or longer during a 6 month period.</w:t>
      </w:r>
    </w:p>
    <w:p>
      <w:pPr>
        <w:ind w:left="20"/>
        <w:spacing w:after="0"/>
        <w:rPr>
          <w:sz w:val="20"/>
          <w:szCs w:val="20"/>
          <w:color w:val="auto"/>
        </w:rPr>
      </w:pPr>
      <w:r>
        <w:rPr>
          <w:rFonts w:ascii="Times New Roman" w:cs="Times New Roman" w:eastAsia="Times New Roman" w:hAnsi="Times New Roman"/>
          <w:sz w:val="18"/>
          <w:szCs w:val="18"/>
          <w:color w:val="auto"/>
        </w:rPr>
        <w:t>Temporary worker does not include an independent contractor or any covered person.</w:t>
      </w:r>
    </w:p>
    <w:p>
      <w:pPr>
        <w:spacing w:after="0" w:line="81" w:lineRule="exact"/>
        <w:rPr>
          <w:sz w:val="20"/>
          <w:szCs w:val="20"/>
          <w:color w:val="auto"/>
        </w:rPr>
      </w:pPr>
    </w:p>
    <w:p>
      <w:pPr>
        <w:jc w:val="both"/>
        <w:ind w:left="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Wrongful employment act </w:t>
      </w:r>
      <w:r>
        <w:rPr>
          <w:rFonts w:ascii="Times New Roman" w:cs="Times New Roman" w:eastAsia="Times New Roman" w:hAnsi="Times New Roman"/>
          <w:sz w:val="18"/>
          <w:szCs w:val="18"/>
          <w:color w:val="auto"/>
        </w:rPr>
        <w:t>means any employment discrimination, sexual harassment, or wrongful termination of any residential staff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actually or allegedly committed or attempted by you or a family member, while acting in the capacity as an employer, that violates applicable employment law of any federal, state, or local statute, regulation, ordinance, or common law of the United States of America, its territories or possessions, or Puerto Rico.</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Wrongful termination </w:t>
      </w:r>
      <w:r>
        <w:rPr>
          <w:rFonts w:ascii="Times New Roman" w:cs="Times New Roman" w:eastAsia="Times New Roman" w:hAnsi="Times New Roman"/>
          <w:sz w:val="18"/>
          <w:szCs w:val="18"/>
          <w:color w:val="auto"/>
        </w:rPr>
        <w:t>means:</w:t>
      </w:r>
    </w:p>
    <w:p>
      <w:pPr>
        <w:spacing w:after="0" w:line="6" w:lineRule="exact"/>
        <w:rPr>
          <w:sz w:val="20"/>
          <w:szCs w:val="20"/>
          <w:color w:val="auto"/>
        </w:rPr>
      </w:pPr>
    </w:p>
    <w:p>
      <w:pPr>
        <w:ind w:left="480" w:right="680" w:hanging="466"/>
        <w:spacing w:after="0" w:line="226" w:lineRule="auto"/>
        <w:tabs>
          <w:tab w:leader="none" w:pos="47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constructive termination of employment of any residential staff by you or a family member in violation of applicable employment law; or</w:t>
      </w:r>
    </w:p>
    <w:p>
      <w:pPr>
        <w:spacing w:after="0" w:line="1" w:lineRule="exact"/>
        <w:rPr>
          <w:rFonts w:ascii="Times New Roman" w:cs="Times New Roman" w:eastAsia="Times New Roman" w:hAnsi="Times New Roman"/>
          <w:sz w:val="18"/>
          <w:szCs w:val="18"/>
          <w:color w:val="auto"/>
        </w:rPr>
      </w:pPr>
    </w:p>
    <w:p>
      <w:pPr>
        <w:ind w:left="460" w:hanging="447"/>
        <w:spacing w:after="0"/>
        <w:tabs>
          <w:tab w:leader="none" w:pos="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duty and care when you or a family member terminates an employment relationship with any residential staff.</w:t>
      </w:r>
    </w:p>
    <w:p>
      <w:pPr>
        <w:spacing w:after="0" w:line="80" w:lineRule="exact"/>
        <w:rPr>
          <w:sz w:val="20"/>
          <w:szCs w:val="20"/>
          <w:color w:val="auto"/>
        </w:rPr>
      </w:pPr>
    </w:p>
    <w:p>
      <w:pPr>
        <w:ind w:left="20" w:right="300" w:hanging="3"/>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Sexual harassment </w:t>
      </w:r>
      <w:r>
        <w:rPr>
          <w:rFonts w:ascii="Times New Roman" w:cs="Times New Roman" w:eastAsia="Times New Roman" w:hAnsi="Times New Roman"/>
          <w:sz w:val="18"/>
          <w:szCs w:val="18"/>
          <w:color w:val="auto"/>
        </w:rPr>
        <w:t>as it relates solely to a wrongful employment act means unwelcome sexual advances, requests for sexual favors,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 of a sexual nature that:</w:t>
      </w:r>
    </w:p>
    <w:p>
      <w:pPr>
        <w:ind w:left="480" w:hanging="463"/>
        <w:spacing w:after="0" w:line="220" w:lineRule="auto"/>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a condition of employment of any residential staff;</w:t>
      </w:r>
    </w:p>
    <w:p>
      <w:pPr>
        <w:ind w:left="480" w:hanging="463"/>
        <w:spacing w:after="0" w:line="234" w:lineRule="auto"/>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as a basis for employment decisions;</w:t>
      </w:r>
    </w:p>
    <w:p>
      <w:pPr>
        <w:ind w:left="480" w:hanging="463"/>
        <w:spacing w:after="0"/>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interferes with performance of any residential staffs duties; or</w:t>
      </w:r>
    </w:p>
    <w:p>
      <w:pPr>
        <w:spacing w:after="0" w:line="7"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 intimidating, hostile, or offensive working environment.</w:t>
      </w: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GROUP PERSONAL EXCESS COVERAGE</w:t>
      </w:r>
    </w:p>
    <w:p>
      <w:pPr>
        <w:spacing w:after="0" w:line="94" w:lineRule="exact"/>
        <w:rPr>
          <w:sz w:val="20"/>
          <w:szCs w:val="20"/>
          <w:color w:val="auto"/>
        </w:rPr>
      </w:pPr>
    </w:p>
    <w:p>
      <w:pPr>
        <w:ind w:left="20" w:right="160" w:hanging="4"/>
        <w:spacing w:after="0" w:line="282" w:lineRule="auto"/>
        <w:rPr>
          <w:sz w:val="20"/>
          <w:szCs w:val="20"/>
          <w:color w:val="auto"/>
        </w:rPr>
      </w:pPr>
      <w:r>
        <w:rPr>
          <w:rFonts w:ascii="Times New Roman" w:cs="Times New Roman" w:eastAsia="Times New Roman" w:hAnsi="Times New Roman"/>
          <w:sz w:val="18"/>
          <w:szCs w:val="18"/>
          <w:color w:val="auto"/>
        </w:rPr>
        <w:t>This part of your Group Personal Excess Liability Policy provides you or a family member with liability coverage in excess of your underlying insurance anywhere in the world unless stated otherwise or an exclusion applies.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Payment for a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Amount of coverage</w:t>
      </w:r>
    </w:p>
    <w:p>
      <w:pPr>
        <w:spacing w:after="0" w:line="31" w:lineRule="exact"/>
        <w:rPr>
          <w:sz w:val="20"/>
          <w:szCs w:val="20"/>
          <w:color w:val="auto"/>
        </w:rPr>
      </w:pPr>
    </w:p>
    <w:p>
      <w:pPr>
        <w:ind w:left="20" w:right="80" w:firstLine="1"/>
        <w:spacing w:after="0" w:line="260" w:lineRule="auto"/>
        <w:rPr>
          <w:sz w:val="20"/>
          <w:szCs w:val="20"/>
          <w:color w:val="auto"/>
        </w:rPr>
      </w:pPr>
      <w:r>
        <w:rPr>
          <w:rFonts w:ascii="Times New Roman" w:cs="Times New Roman" w:eastAsia="Times New Roman" w:hAnsi="Times New Roman"/>
          <w:sz w:val="18"/>
          <w:szCs w:val="18"/>
          <w:color w:val="auto"/>
        </w:rPr>
        <w:t>The amount of coverage for liability is shown in the Coverage Summary Certificate. We will pay on your behalf up to that amount for covered damages from any one occurrence, regardless of how many claims, homes, vehicles, watercraft, or people are involved in the occurrence.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Any costs we pay for legal expenses (see </w:t>
      </w:r>
      <w:r>
        <w:rPr>
          <w:rFonts w:ascii="Times New Roman" w:cs="Times New Roman" w:eastAsia="Times New Roman" w:hAnsi="Times New Roman"/>
          <w:sz w:val="18"/>
          <w:szCs w:val="18"/>
          <w:b w:val="1"/>
          <w:bCs w:val="1"/>
          <w:color w:val="auto"/>
        </w:rPr>
        <w:t>Defense coverages)</w:t>
      </w:r>
      <w:r>
        <w:rPr>
          <w:rFonts w:ascii="Times New Roman" w:cs="Times New Roman" w:eastAsia="Times New Roman" w:hAnsi="Times New Roman"/>
          <w:sz w:val="18"/>
          <w:szCs w:val="18"/>
          <w:color w:val="auto"/>
        </w:rPr>
        <w:t xml:space="preserve"> are in addition to the amount of coverage.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Underlying Insurance</w:t>
      </w:r>
    </w:p>
    <w:p>
      <w:pPr>
        <w:spacing w:after="0" w:line="31" w:lineRule="exact"/>
        <w:rPr>
          <w:sz w:val="20"/>
          <w:szCs w:val="20"/>
          <w:color w:val="auto"/>
        </w:rPr>
      </w:pPr>
    </w:p>
    <w:p>
      <w:pPr>
        <w:ind w:left="40" w:right="140" w:hanging="27"/>
        <w:spacing w:after="0" w:line="276" w:lineRule="auto"/>
        <w:rPr>
          <w:sz w:val="20"/>
          <w:szCs w:val="20"/>
          <w:color w:val="auto"/>
        </w:rPr>
      </w:pPr>
      <w:r>
        <w:rPr>
          <w:rFonts w:ascii="Times New Roman" w:cs="Times New Roman" w:eastAsia="Times New Roman" w:hAnsi="Times New Roman"/>
          <w:sz w:val="18"/>
          <w:szCs w:val="18"/>
          <w:color w:val="auto"/>
        </w:rPr>
        <w:t>We will pay only for covered damages in excess of all underlying insurance covering those damages, even if the underlying coverage is for more than the minimum amount.</w:t>
      </w:r>
    </w:p>
    <w:p>
      <w:pPr>
        <w:spacing w:after="0" w:line="59" w:lineRule="exact"/>
        <w:rPr>
          <w:sz w:val="20"/>
          <w:szCs w:val="20"/>
          <w:color w:val="auto"/>
        </w:rPr>
      </w:pPr>
    </w:p>
    <w:p>
      <w:pPr>
        <w:ind w:left="20" w:right="140" w:firstLine="3"/>
        <w:spacing w:after="0" w:line="282" w:lineRule="auto"/>
        <w:rPr>
          <w:sz w:val="20"/>
          <w:szCs w:val="20"/>
          <w:color w:val="auto"/>
        </w:rPr>
      </w:pPr>
      <w:r>
        <w:rPr>
          <w:rFonts w:ascii="Times New Roman" w:cs="Times New Roman" w:eastAsia="Times New Roman" w:hAnsi="Times New Roman"/>
          <w:sz w:val="18"/>
          <w:szCs w:val="18"/>
          <w:color w:val="auto"/>
        </w:rPr>
        <w:t>'Underlying insurance" includes all liability coverage that applies to the covered damages, except for other insurance purchased in excess of this policy.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Required primary underlying insurance</w:t>
      </w:r>
    </w:p>
    <w:p>
      <w:pPr>
        <w:spacing w:after="0" w:line="31" w:lineRule="exact"/>
        <w:rPr>
          <w:sz w:val="20"/>
          <w:szCs w:val="20"/>
          <w:color w:val="auto"/>
        </w:rPr>
      </w:pPr>
    </w:p>
    <w:p>
      <w:pPr>
        <w:jc w:val="both"/>
        <w:ind w:left="20" w:firstLine="6"/>
        <w:spacing w:after="0" w:line="253" w:lineRule="auto"/>
        <w:rPr>
          <w:sz w:val="20"/>
          <w:szCs w:val="20"/>
          <w:color w:val="auto"/>
        </w:rPr>
      </w:pPr>
      <w:r>
        <w:rPr>
          <w:rFonts w:ascii="Times New Roman" w:cs="Times New Roman" w:eastAsia="Times New Roman" w:hAnsi="Times New Roman"/>
          <w:sz w:val="18"/>
          <w:szCs w:val="18"/>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Certificate, covering your personal liability and to the extent you or a family member has such liability exposures, all vehicles and watercraft less than 43 feet or with 300 engine rated horsepower or less you or your family members own, or rent for longer than 60 consecutive days, or have furnished for longer than 60 consecutive days, as follows: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Personal liability (homeowners) for personal injury and property damage in the minimum amount of $300,000 each occurrence.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Registered vehicles in the minimum amount of:</w:t>
      </w:r>
    </w:p>
    <w:p>
      <w:pPr>
        <w:spacing w:after="0" w:line="27" w:lineRule="exact"/>
        <w:rPr>
          <w:sz w:val="20"/>
          <w:szCs w:val="20"/>
          <w:color w:val="auto"/>
        </w:rPr>
      </w:pPr>
    </w:p>
    <w:p>
      <w:pPr>
        <w:ind w:left="480" w:hanging="463"/>
        <w:spacing w:after="0"/>
        <w:tabs>
          <w:tab w:leader="none" w:pos="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18" w:lineRule="exact"/>
        <w:rPr>
          <w:sz w:val="20"/>
          <w:szCs w:val="20"/>
          <w:color w:val="auto"/>
        </w:rPr>
      </w:pPr>
    </w:p>
    <w:p>
      <w:pPr>
        <w:ind w:left="20" w:right="1600" w:hanging="11"/>
        <w:spacing w:after="0" w:line="261" w:lineRule="auto"/>
        <w:rPr>
          <w:sz w:val="20"/>
          <w:szCs w:val="20"/>
          <w:color w:val="auto"/>
        </w:rPr>
      </w:pPr>
      <w:r>
        <w:rPr>
          <w:rFonts w:ascii="Times New Roman" w:cs="Times New Roman" w:eastAsia="Times New Roman" w:hAnsi="Times New Roman"/>
          <w:sz w:val="18"/>
          <w:szCs w:val="18"/>
          <w:color w:val="auto"/>
        </w:rPr>
        <w:t>Unregistered vehicles in the minimum amount of $300,000 bodily injury and property damage each occurrence. Registered vehicles with less than four wheels and motor homes in the minimum amount of:</w:t>
      </w:r>
    </w:p>
    <w:p>
      <w:pPr>
        <w:ind w:left="480" w:hanging="463"/>
        <w:spacing w:after="0"/>
        <w:tabs>
          <w:tab w:leader="none" w:pos="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 and $100,000 property damage;</w:t>
      </w:r>
    </w:p>
    <w:p>
      <w:pPr>
        <w:sectPr>
          <w:pgSz w:w="11900" w:h="16838" w:orient="portrait"/>
          <w:cols w:equalWidth="0" w:num="1">
            <w:col w:w="10480"/>
          </w:cols>
          <w:pgMar w:left="820" w:top="1305" w:right="599" w:bottom="1440" w:gutter="0" w:footer="0" w:header="0"/>
        </w:sectPr>
      </w:pPr>
    </w:p>
    <w:bookmarkStart w:id="89" w:name="page90"/>
    <w:bookmarkEnd w:id="89"/>
    <w:p>
      <w:pPr>
        <w:ind w:left="480" w:hanging="463"/>
        <w:spacing w:after="0"/>
        <w:tabs>
          <w:tab w:leader="none" w:pos="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and $100,000 property damage; or</w:t>
      </w:r>
    </w:p>
    <w:p>
      <w:pPr>
        <w:spacing w:after="0" w:line="27"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Watercraft less than 26 feet and 50 engine rated horsepower or less for bodily injury and property damage in the minimum amount of $300,000 each occurrence.</w:t>
      </w:r>
    </w:p>
    <w:p>
      <w:pPr>
        <w:spacing w:after="0" w:line="40" w:lineRule="exact"/>
        <w:rPr>
          <w:sz w:val="20"/>
          <w:szCs w:val="20"/>
          <w:color w:val="auto"/>
        </w:rPr>
      </w:pPr>
    </w:p>
    <w:p>
      <w:pPr>
        <w:jc w:val="both"/>
        <w:ind w:right="700" w:hanging="3"/>
        <w:spacing w:after="0" w:line="266" w:lineRule="auto"/>
        <w:rPr>
          <w:sz w:val="20"/>
          <w:szCs w:val="20"/>
          <w:color w:val="auto"/>
        </w:rPr>
      </w:pPr>
      <w:r>
        <w:rPr>
          <w:rFonts w:ascii="Times New Roman" w:cs="Times New Roman" w:eastAsia="Times New Roman" w:hAnsi="Times New Roman"/>
          <w:sz w:val="18"/>
          <w:szCs w:val="18"/>
          <w:color w:val="auto"/>
        </w:rPr>
        <w:t>Watercraft 26 feet or longer up to 42 feet or watercraft more than 50 engine rated horsepower up to 300 engine rated horsepower for bodily injury and property damage in the minimum amount of $500,000 each occurrence (Coverage is excluded for watercraft longer than 42 feet or with more than 300 engine rated horsepower).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Uninsured motorists/underinsured motorists protection in the minimum amounts of:</w:t>
      </w:r>
    </w:p>
    <w:p>
      <w:pPr>
        <w:spacing w:after="0" w:line="36" w:lineRule="exact"/>
        <w:rPr>
          <w:sz w:val="20"/>
          <w:szCs w:val="20"/>
          <w:color w:val="auto"/>
        </w:rPr>
      </w:pPr>
    </w:p>
    <w:p>
      <w:pPr>
        <w:ind w:left="480" w:hanging="462"/>
        <w:spacing w:after="0"/>
        <w:tabs>
          <w:tab w:leader="none" w:pos="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$250,000/$500,000 bodily injury;</w:t>
      </w:r>
    </w:p>
    <w:p>
      <w:pPr>
        <w:spacing w:after="0" w:line="27"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$300,000/$300,000 bodily injury; or</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single limit each occurrence.</w:t>
      </w:r>
    </w:p>
    <w:p>
      <w:pPr>
        <w:spacing w:after="0" w:line="112" w:lineRule="exact"/>
        <w:rPr>
          <w:sz w:val="20"/>
          <w:szCs w:val="20"/>
          <w:color w:val="auto"/>
        </w:rPr>
      </w:pPr>
    </w:p>
    <w:p>
      <w:pPr>
        <w:jc w:val="both"/>
        <w:ind w:left="20" w:right="340" w:hanging="4"/>
        <w:spacing w:after="0" w:line="258" w:lineRule="auto"/>
        <w:rPr>
          <w:sz w:val="20"/>
          <w:szCs w:val="20"/>
          <w:color w:val="auto"/>
        </w:rPr>
      </w:pPr>
      <w:r>
        <w:rPr>
          <w:rFonts w:ascii="Times New Roman" w:cs="Times New Roman" w:eastAsia="Times New Roman" w:hAnsi="Times New Roman"/>
          <w:sz w:val="18"/>
          <w:szCs w:val="18"/>
          <w:color w:val="auto"/>
        </w:rPr>
        <w:t>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Certificate under Required Primary Underlying Insurance.</w:t>
      </w:r>
    </w:p>
    <w:p>
      <w:pPr>
        <w:spacing w:after="0" w:line="75" w:lineRule="exact"/>
        <w:rPr>
          <w:sz w:val="20"/>
          <w:szCs w:val="20"/>
          <w:color w:val="auto"/>
        </w:rPr>
      </w:pPr>
    </w:p>
    <w:p>
      <w:pPr>
        <w:jc w:val="both"/>
        <w:ind w:right="300" w:firstLine="4"/>
        <w:spacing w:after="0" w:line="266" w:lineRule="auto"/>
        <w:rPr>
          <w:sz w:val="20"/>
          <w:szCs w:val="20"/>
          <w:color w:val="auto"/>
        </w:rPr>
      </w:pPr>
      <w:r>
        <w:rPr>
          <w:rFonts w:ascii="Times New Roman" w:cs="Times New Roman" w:eastAsia="Times New Roman" w:hAnsi="Times New Roman"/>
          <w:sz w:val="18"/>
          <w:szCs w:val="18"/>
          <w:color w:val="auto"/>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You must also give notice of losses and otherwise cooperate and comply with the terms and conditions of such primary underlying insurance.</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Group Personal Excess Liability Coverage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cover damages a covered person is legally obligated to pay for personal injury or property damage, caused by an occurrence:</w:t>
      </w:r>
    </w:p>
    <w:p>
      <w:pPr>
        <w:spacing w:after="0" w:line="27" w:lineRule="exact"/>
        <w:rPr>
          <w:sz w:val="20"/>
          <w:szCs w:val="20"/>
          <w:color w:val="auto"/>
        </w:rPr>
      </w:pPr>
    </w:p>
    <w:p>
      <w:pPr>
        <w:ind w:left="480" w:hanging="462"/>
        <w:spacing w:after="0"/>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damages covered by the underlying insurance; or</w:t>
      </w:r>
    </w:p>
    <w:p>
      <w:pPr>
        <w:spacing w:after="0" w:line="9"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no underlying insurance is required under this policy and no underlying insurance exists; or</w:t>
      </w:r>
    </w:p>
    <w:p>
      <w:pPr>
        <w:spacing w:after="0" w:line="9" w:lineRule="exact"/>
        <w:rPr>
          <w:rFonts w:ascii="Times New Roman" w:cs="Times New Roman" w:eastAsia="Times New Roman" w:hAnsi="Times New Roman"/>
          <w:sz w:val="18"/>
          <w:szCs w:val="18"/>
          <w:color w:val="auto"/>
        </w:rPr>
      </w:pPr>
    </w:p>
    <w:p>
      <w:pPr>
        <w:ind w:left="480" w:right="1420" w:hanging="462"/>
        <w:spacing w:after="0" w:line="276" w:lineRule="auto"/>
        <w:tabs>
          <w:tab w:leader="none" w:pos="47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dollar of damage where underlying insurance is required under this policy but no coverage is provided by the underlying insurance for a particular occurrence;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unless stated otherwise or an exclusion applies. Exclusions to this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coverage are described in</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Exclusions.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Excess uninsured motorists/underinsured motorists protection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motorists/underinsured motorists protection is shown in the Coverage Summary Certificate.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it is in effect, this coverage will be on a follow form basis.</w:t>
      </w:r>
    </w:p>
    <w:p>
      <w:pPr>
        <w:spacing w:after="0" w:line="99" w:lineRule="exact"/>
        <w:rPr>
          <w:sz w:val="20"/>
          <w:szCs w:val="20"/>
          <w:color w:val="auto"/>
        </w:rPr>
      </w:pPr>
    </w:p>
    <w:p>
      <w:pPr>
        <w:ind w:left="20" w:right="500" w:hanging="14"/>
        <w:spacing w:after="0" w:line="261" w:lineRule="auto"/>
        <w:rPr>
          <w:sz w:val="20"/>
          <w:szCs w:val="20"/>
          <w:color w:val="auto"/>
        </w:rPr>
      </w:pPr>
      <w:r>
        <w:rPr>
          <w:rFonts w:ascii="Times New Roman" w:cs="Times New Roman" w:eastAsia="Times New Roman" w:hAnsi="Times New Roman"/>
          <w:sz w:val="18"/>
          <w:szCs w:val="18"/>
          <w:color w:val="auto"/>
        </w:rPr>
        <w:t>We cover damages for bodily injury a covered person is legally entitled to receive from the owner or operator of an uninsured or underinsured motorized land vehicle in excess of damages covered by:</w:t>
      </w:r>
    </w:p>
    <w:p>
      <w:pPr>
        <w:ind w:left="480" w:right="1100" w:hanging="462"/>
        <w:spacing w:after="0" w:line="250" w:lineRule="auto"/>
        <w:tabs>
          <w:tab w:leader="none" w:pos="4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uninsured motorists protection or the Required primary underlying insurance for uninsured motorists protection, whichever is greater; and</w:t>
      </w:r>
    </w:p>
    <w:p>
      <w:pPr>
        <w:ind w:left="480" w:right="640" w:hanging="462"/>
        <w:spacing w:after="0" w:line="276" w:lineRule="auto"/>
        <w:tabs>
          <w:tab w:leader="none" w:pos="4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underinsured motorists protection or the Required primary underlying insurance for underinsured motorists protection, whichever is greater.</w:t>
      </w:r>
    </w:p>
    <w:p>
      <w:pPr>
        <w:spacing w:after="0" w:line="42" w:lineRule="exact"/>
        <w:rPr>
          <w:sz w:val="20"/>
          <w:szCs w:val="20"/>
          <w:color w:val="auto"/>
        </w:rPr>
      </w:pPr>
    </w:p>
    <w:p>
      <w:pPr>
        <w:jc w:val="both"/>
        <w:ind w:left="20" w:right="3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Amount of coverage. </w:t>
      </w:r>
      <w:r>
        <w:rPr>
          <w:rFonts w:ascii="Times New Roman" w:cs="Times New Roman" w:eastAsia="Times New Roman" w:hAnsi="Times New Roman"/>
          <w:sz w:val="18"/>
          <w:szCs w:val="18"/>
          <w:color w:val="auto"/>
        </w:rPr>
        <w:t>The maximum amount of excess uninsured motorists/underinsured motorists protection available for any one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excess uninsured motorists/underinsured motorists protection amount shown in the Coverage Summary Certificate regardless of the number of vehicles covered by the Required Primary Underlying Insurance. We will not pay more than this amount in any one occurrence for covered damages regardless of how many claims, vehicles or people are involved in the occurrence.</w:t>
      </w:r>
    </w:p>
    <w:p>
      <w:pPr>
        <w:sectPr>
          <w:pgSz w:w="11900" w:h="16838" w:orient="portrait"/>
          <w:cols w:equalWidth="0" w:num="1">
            <w:col w:w="10740"/>
          </w:cols>
          <w:pgMar w:left="820" w:top="1215"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b w:val="1"/>
          <w:bCs w:val="1"/>
          <w:color w:val="auto"/>
        </w:rPr>
        <w:t>Uninsured motorists/underinsured motorists protection arbitration</w:t>
      </w:r>
    </w:p>
    <w:p>
      <w:pPr>
        <w:spacing w:after="0" w:line="31" w:lineRule="exact"/>
        <w:rPr>
          <w:sz w:val="20"/>
          <w:szCs w:val="20"/>
          <w:color w:val="auto"/>
        </w:rPr>
      </w:pPr>
    </w:p>
    <w:p>
      <w:pPr>
        <w:jc w:val="both"/>
        <w:ind w:left="20" w:right="360" w:hanging="6"/>
        <w:spacing w:after="0" w:line="255" w:lineRule="auto"/>
        <w:rPr>
          <w:sz w:val="20"/>
          <w:szCs w:val="20"/>
          <w:color w:val="auto"/>
        </w:rPr>
      </w:pPr>
      <w:r>
        <w:rPr>
          <w:rFonts w:ascii="Times New Roman" w:cs="Times New Roman" w:eastAsia="Times New Roman" w:hAnsi="Times New Roman"/>
          <w:sz w:val="18"/>
          <w:szCs w:val="18"/>
          <w:color w:val="auto"/>
        </w:rPr>
        <w:t>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93" w:lineRule="exact"/>
        <w:rPr>
          <w:sz w:val="20"/>
          <w:szCs w:val="20"/>
          <w:color w:val="auto"/>
        </w:rPr>
      </w:pPr>
    </w:p>
    <w:p>
      <w:pPr>
        <w:jc w:val="both"/>
        <w:ind w:left="20" w:right="280" w:hanging="1"/>
        <w:spacing w:after="0" w:line="258" w:lineRule="auto"/>
        <w:rPr>
          <w:sz w:val="20"/>
          <w:szCs w:val="20"/>
          <w:color w:val="auto"/>
        </w:rPr>
      </w:pPr>
      <w:r>
        <w:rPr>
          <w:rFonts w:ascii="Times New Roman" w:cs="Times New Roman" w:eastAsia="Times New Roman" w:hAnsi="Times New Roman"/>
          <w:sz w:val="18"/>
          <w:szCs w:val="18"/>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Uninsured/underinsured liability coverage</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is in effect only if excess uninsured motorists/underinsured motorists protection is shown in the Coverage Summary Certificate.</w:t>
      </w:r>
    </w:p>
    <w:p>
      <w:pPr>
        <w:spacing w:after="0" w:line="117" w:lineRule="exact"/>
        <w:rPr>
          <w:sz w:val="20"/>
          <w:szCs w:val="20"/>
          <w:color w:val="auto"/>
        </w:rPr>
      </w:pPr>
    </w:p>
    <w:p>
      <w:pPr>
        <w:jc w:val="both"/>
        <w:ind w:left="20" w:right="360" w:hanging="3"/>
        <w:spacing w:after="0" w:line="261" w:lineRule="auto"/>
        <w:rPr>
          <w:sz w:val="20"/>
          <w:szCs w:val="20"/>
          <w:color w:val="auto"/>
        </w:rPr>
      </w:pPr>
      <w:r>
        <w:rPr>
          <w:rFonts w:ascii="Times New Roman" w:cs="Times New Roman" w:eastAsia="Times New Roman" w:hAnsi="Times New Roman"/>
          <w:sz w:val="18"/>
          <w:szCs w:val="18"/>
          <w:color w:val="auto"/>
        </w:rPr>
        <w:t>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85" w:lineRule="exact"/>
        <w:rPr>
          <w:sz w:val="20"/>
          <w:szCs w:val="20"/>
          <w:color w:val="auto"/>
        </w:rPr>
      </w:pPr>
    </w:p>
    <w:p>
      <w:pPr>
        <w:jc w:val="both"/>
        <w:ind w:left="20" w:right="360" w:firstLine="6"/>
        <w:spacing w:after="0" w:line="256" w:lineRule="auto"/>
        <w:rPr>
          <w:sz w:val="20"/>
          <w:szCs w:val="20"/>
          <w:color w:val="auto"/>
        </w:rPr>
      </w:pPr>
      <w:r>
        <w:rPr>
          <w:rFonts w:ascii="Times New Roman" w:cs="Times New Roman" w:eastAsia="Times New Roman" w:hAnsi="Times New Roman"/>
          <w:sz w:val="18"/>
          <w:szCs w:val="18"/>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75"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also do not cover any fines, penalties, taxes, punitive, exemplary or multiplied damages, or any claim or suit seeking non-monetary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injunctive relief, declaratory relief or other equitable remedies.</w:t>
      </w:r>
    </w:p>
    <w:p>
      <w:pPr>
        <w:spacing w:after="0" w:line="51" w:lineRule="exact"/>
        <w:rPr>
          <w:sz w:val="20"/>
          <w:szCs w:val="20"/>
          <w:color w:val="auto"/>
        </w:rPr>
      </w:pPr>
    </w:p>
    <w:p>
      <w:pPr>
        <w:ind w:left="20" w:right="440" w:firstLine="3"/>
        <w:spacing w:after="0" w:line="282" w:lineRule="auto"/>
        <w:rPr>
          <w:sz w:val="20"/>
          <w:szCs w:val="20"/>
          <w:color w:val="auto"/>
        </w:rPr>
      </w:pPr>
      <w:r>
        <w:rPr>
          <w:rFonts w:ascii="Times New Roman" w:cs="Times New Roman" w:eastAsia="Times New Roman" w:hAnsi="Times New Roman"/>
          <w:sz w:val="18"/>
          <w:szCs w:val="18"/>
          <w:color w:val="auto"/>
        </w:rPr>
        <w:t>"Negligent person" means an identifiable natural person by legal name who is not a family member, and who is legally responsible for damages sustained by you or a family member caused by an occurrence.</w:t>
      </w:r>
    </w:p>
    <w:p>
      <w:pPr>
        <w:spacing w:after="0" w:line="36" w:lineRule="exact"/>
        <w:rPr>
          <w:sz w:val="20"/>
          <w:szCs w:val="20"/>
          <w:color w:val="auto"/>
        </w:rPr>
      </w:pPr>
    </w:p>
    <w:p>
      <w:pPr>
        <w:jc w:val="both"/>
        <w:ind w:left="20" w:right="380" w:firstLine="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Duplication of coverage. </w:t>
      </w:r>
      <w:r>
        <w:rPr>
          <w:rFonts w:ascii="Times New Roman" w:cs="Times New Roman" w:eastAsia="Times New Roman" w:hAnsi="Times New Roman"/>
          <w:sz w:val="18"/>
          <w:szCs w:val="18"/>
          <w:color w:val="auto"/>
        </w:rPr>
        <w:t>We will not make a duplicate payment for any portion of damages for which payment has been made by or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persons who may 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Defense coverages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have the right to defend a covered person against any suit seeking covered damages for personal injury or property damage that is either:</w:t>
      </w:r>
    </w:p>
    <w:p>
      <w:pPr>
        <w:spacing w:after="0" w:line="9" w:lineRule="exact"/>
        <w:rPr>
          <w:sz w:val="20"/>
          <w:szCs w:val="20"/>
          <w:color w:val="auto"/>
        </w:rPr>
      </w:pPr>
    </w:p>
    <w:p>
      <w:pPr>
        <w:ind w:left="480" w:hanging="463"/>
        <w:spacing w:after="0"/>
        <w:tabs>
          <w:tab w:leader="none" w:pos="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covered by any underlying insurance; or</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by an underlying policy as each Defense Coverage has been exhausted by payment of claims.</w:t>
      </w:r>
    </w:p>
    <w:p>
      <w:pPr>
        <w:spacing w:after="0" w:line="81" w:lineRule="exact"/>
        <w:rPr>
          <w:sz w:val="20"/>
          <w:szCs w:val="20"/>
          <w:color w:val="auto"/>
        </w:rPr>
      </w:pPr>
    </w:p>
    <w:p>
      <w:pPr>
        <w:ind w:left="20" w:hanging="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provide this defense at our expense, with counsel of our choice, even if the suit is groundless, false, or fraudulent. We may investigate,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settle any such claim or suit at our discretion.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part of our investigation, defense, negotiation, or settlement, we will pay:</w:t>
      </w:r>
    </w:p>
    <w:p>
      <w:pPr>
        <w:spacing w:after="0" w:line="27" w:lineRule="exact"/>
        <w:rPr>
          <w:sz w:val="20"/>
          <w:szCs w:val="20"/>
          <w:color w:val="auto"/>
        </w:rPr>
      </w:pPr>
    </w:p>
    <w:p>
      <w:pPr>
        <w:ind w:left="460" w:hanging="447"/>
        <w:spacing w:after="0"/>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appeal bonds required in any suit we defend;</w:t>
      </w:r>
    </w:p>
    <w:p>
      <w:pPr>
        <w:spacing w:after="0" w:line="9" w:lineRule="exact"/>
        <w:rPr>
          <w:rFonts w:ascii="Times New Roman" w:cs="Times New Roman" w:eastAsia="Times New Roman" w:hAnsi="Times New Roman"/>
          <w:sz w:val="18"/>
          <w:szCs w:val="18"/>
          <w:color w:val="auto"/>
        </w:rPr>
      </w:pPr>
    </w:p>
    <w:p>
      <w:pPr>
        <w:ind w:left="480" w:right="760" w:hanging="467"/>
        <w:spacing w:after="0" w:line="258" w:lineRule="auto"/>
        <w:tabs>
          <w:tab w:leader="none" w:pos="47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bonds to release attachments for any amount up to the amount of coverage (but we are not obligated to apply for or furnish any bond);</w:t>
      </w:r>
    </w:p>
    <w:p>
      <w:pPr>
        <w:ind w:left="460" w:hanging="447"/>
        <w:spacing w:after="0"/>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us;</w:t>
      </w:r>
    </w:p>
    <w:p>
      <w:pPr>
        <w:spacing w:after="0" w:line="9" w:lineRule="exact"/>
        <w:rPr>
          <w:rFonts w:ascii="Times New Roman" w:cs="Times New Roman" w:eastAsia="Times New Roman" w:hAnsi="Times New Roman"/>
          <w:sz w:val="18"/>
          <w:szCs w:val="18"/>
          <w:color w:val="auto"/>
        </w:rPr>
      </w:pPr>
    </w:p>
    <w:p>
      <w:pPr>
        <w:ind w:left="460" w:hanging="447"/>
        <w:spacing w:after="0"/>
        <w:tabs>
          <w:tab w:leader="none" w:pos="4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taxed against a covered person;</w:t>
      </w:r>
    </w:p>
    <w:p>
      <w:pPr>
        <w:sectPr>
          <w:pgSz w:w="11900" w:h="16838" w:orient="portrait"/>
          <w:cols w:equalWidth="0" w:num="1">
            <w:col w:w="10720"/>
          </w:cols>
          <w:pgMar w:left="820" w:top="1332" w:right="359" w:bottom="1440" w:gutter="0" w:footer="0" w:header="0"/>
        </w:sectPr>
      </w:pPr>
    </w:p>
    <w:bookmarkStart w:id="91" w:name="page92"/>
    <w:bookmarkEnd w:id="91"/>
    <w:p>
      <w:pPr>
        <w:ind w:left="480" w:right="480" w:hanging="466"/>
        <w:spacing w:after="0" w:line="261" w:lineRule="auto"/>
        <w:tabs>
          <w:tab w:leader="none" w:pos="4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accruing after a judgment is entered in a suit we defend on only that part of the judgment we are responsible for paying. </w:t>
      </w:r>
      <w:r>
        <w:rPr>
          <w:rFonts w:ascii="Times New Roman" w:cs="Times New Roman" w:eastAsia="Times New Roman" w:hAnsi="Times New Roman"/>
          <w:sz w:val="18"/>
          <w:szCs w:val="18"/>
          <w:b w:val="1"/>
          <w:bCs w:val="1"/>
          <w:color w:val="auto"/>
        </w:rPr>
        <w:t xml:space="preserve">We will </w:t>
      </w:r>
      <w:r>
        <w:rPr>
          <w:rFonts w:ascii="Times New Roman" w:cs="Times New Roman" w:eastAsia="Times New Roman" w:hAnsi="Times New Roman"/>
          <w:sz w:val="18"/>
          <w:szCs w:val="18"/>
          <w:color w:val="auto"/>
        </w:rPr>
        <w:t>not pay interest accruing after we have paid the judgment up to the amount of coverage;</w:t>
      </w:r>
    </w:p>
    <w:p>
      <w:pPr>
        <w:ind w:left="460" w:hanging="447"/>
        <w:spacing w:after="0"/>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prejudgment interest awarded against a covered person on that part of the judgment we pay or offer to pay.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 will </w:t>
      </w:r>
      <w:r>
        <w:rPr>
          <w:rFonts w:ascii="Times New Roman" w:cs="Times New Roman" w:eastAsia="Times New Roman" w:hAnsi="Times New Roman"/>
          <w:sz w:val="18"/>
          <w:szCs w:val="18"/>
          <w:color w:val="auto"/>
        </w:rPr>
        <w:t>not pay any prejudgment interest based on that period of time after we make an offer to pay the amount of coverage;</w:t>
      </w:r>
    </w:p>
    <w:p>
      <w:pPr>
        <w:spacing w:after="0" w:line="31" w:lineRule="exact"/>
        <w:rPr>
          <w:sz w:val="20"/>
          <w:szCs w:val="20"/>
          <w:color w:val="auto"/>
        </w:rPr>
      </w:pPr>
    </w:p>
    <w:p>
      <w:pPr>
        <w:ind w:left="480" w:hanging="463"/>
        <w:spacing w:after="0"/>
        <w:tabs>
          <w:tab w:leader="none" w:pos="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earnings lost by each covered person at our request, up to $25,000;</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reasonable expenses incurred by a covered person at our request; and</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bail bonds required of a covered person because of a covered loss.</w:t>
      </w:r>
    </w:p>
    <w:p>
      <w:pPr>
        <w:spacing w:after="0" w:line="99" w:lineRule="exact"/>
        <w:rPr>
          <w:sz w:val="20"/>
          <w:szCs w:val="20"/>
          <w:color w:val="auto"/>
        </w:rPr>
      </w:pPr>
    </w:p>
    <w:p>
      <w:pPr>
        <w:ind w:left="20" w:right="800" w:hanging="8"/>
        <w:spacing w:after="0" w:line="282" w:lineRule="auto"/>
        <w:rPr>
          <w:sz w:val="20"/>
          <w:szCs w:val="20"/>
          <w:color w:val="auto"/>
        </w:rPr>
      </w:pPr>
      <w:r>
        <w:rPr>
          <w:rFonts w:ascii="Times New Roman" w:cs="Times New Roman" w:eastAsia="Times New Roman" w:hAnsi="Times New Roman"/>
          <w:sz w:val="18"/>
          <w:szCs w:val="18"/>
          <w:color w:val="auto"/>
        </w:rPr>
        <w:t>In jurisdictions where we may be prevented by local law from carrying out these Defense Coverages, we will pay only those defense expenses that we agree in writing to pay and that are incurred by you.</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Extra Coverages</w:t>
      </w:r>
    </w:p>
    <w:p>
      <w:pPr>
        <w:spacing w:after="0" w:line="81" w:lineRule="exact"/>
        <w:rPr>
          <w:sz w:val="20"/>
          <w:szCs w:val="20"/>
          <w:color w:val="auto"/>
        </w:rPr>
      </w:pPr>
    </w:p>
    <w:p>
      <w:pPr>
        <w:ind w:left="20" w:right="120" w:hanging="1"/>
        <w:spacing w:after="0" w:line="282" w:lineRule="auto"/>
        <w:rPr>
          <w:sz w:val="20"/>
          <w:szCs w:val="20"/>
          <w:color w:val="auto"/>
        </w:rPr>
      </w:pPr>
      <w:r>
        <w:rPr>
          <w:rFonts w:ascii="Times New Roman" w:cs="Times New Roman" w:eastAsia="Times New Roman" w:hAnsi="Times New Roman"/>
          <w:sz w:val="18"/>
          <w:szCs w:val="18"/>
          <w:color w:val="auto"/>
        </w:rPr>
        <w:t xml:space="preserve">In addition to covering damages and defense costs, we also provide other related coverages. These coverages are in addition to the amount of coverage for damages and defense costs unless stated otherwise. Exclusions to this coverage are described in </w:t>
      </w:r>
      <w:r>
        <w:rPr>
          <w:rFonts w:ascii="Times New Roman" w:cs="Times New Roman" w:eastAsia="Times New Roman" w:hAnsi="Times New Roman"/>
          <w:sz w:val="18"/>
          <w:szCs w:val="18"/>
          <w:b w:val="1"/>
          <w:bCs w:val="1"/>
          <w:color w:val="auto"/>
        </w:rPr>
        <w:t>Exclusions.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Shadow defense coverage</w:t>
      </w:r>
    </w:p>
    <w:p>
      <w:pPr>
        <w:spacing w:after="0" w:line="54" w:lineRule="exact"/>
        <w:rPr>
          <w:sz w:val="20"/>
          <w:szCs w:val="20"/>
          <w:color w:val="auto"/>
        </w:rPr>
      </w:pPr>
    </w:p>
    <w:p>
      <w:pPr>
        <w:jc w:val="both"/>
        <w:ind w:left="20" w:hanging="1"/>
        <w:spacing w:after="0" w:line="261" w:lineRule="auto"/>
        <w:rPr>
          <w:sz w:val="20"/>
          <w:szCs w:val="20"/>
          <w:color w:val="auto"/>
        </w:rPr>
      </w:pPr>
      <w:r>
        <w:rPr>
          <w:rFonts w:ascii="Times New Roman" w:cs="Times New Roman" w:eastAsia="Times New Roman" w:hAnsi="Times New Roman"/>
          <w:sz w:val="18"/>
          <w:szCs w:val="18"/>
          <w:color w:val="auto"/>
        </w:rPr>
        <w:t>If we are defending you or a family member in a suit seeking covered damages, we will pay reasonable expenses you or a family member incur up to $10,000 or the amount shown in the Coverage Summary Certificate for a law firm of your choice to review and monitor the defense. However any recommendation by your personal attorney is not binding on us. We will pay these costs provided that you obtain prior approval from us before incurring any fees or expenses.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Identity fraud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 will </w:t>
      </w:r>
      <w:r>
        <w:rPr>
          <w:rFonts w:ascii="Times New Roman" w:cs="Times New Roman" w:eastAsia="Times New Roman" w:hAnsi="Times New Roman"/>
          <w:sz w:val="18"/>
          <w:szCs w:val="18"/>
          <w:color w:val="auto"/>
        </w:rPr>
        <w:t>pay for your or a family member's identity fraud expenses, up to a maximum of $25,000, for each identity fraud occurrence.</w:t>
      </w:r>
    </w:p>
    <w:p>
      <w:pPr>
        <w:spacing w:after="0" w:line="112" w:lineRule="exact"/>
        <w:rPr>
          <w:sz w:val="20"/>
          <w:szCs w:val="20"/>
          <w:color w:val="auto"/>
        </w:rPr>
      </w:pPr>
    </w:p>
    <w:p>
      <w:pPr>
        <w:ind w:left="20" w:right="560" w:hanging="5"/>
        <w:spacing w:after="0" w:line="281" w:lineRule="auto"/>
        <w:rPr>
          <w:sz w:val="20"/>
          <w:szCs w:val="20"/>
          <w:color w:val="auto"/>
        </w:rPr>
      </w:pPr>
      <w:r>
        <w:rPr>
          <w:rFonts w:ascii="Times New Roman" w:cs="Times New Roman" w:eastAsia="Times New Roman" w:hAnsi="Times New Roman"/>
          <w:sz w:val="18"/>
          <w:szCs w:val="18"/>
          <w:color w:val="auto"/>
        </w:rPr>
        <w:t>"Identity fraud" means the act of knowingly transferring or using, without lawful authority, your or a family member's means of identity which constitutes a violation of federal law or a crime under any applicable state or local law.</w:t>
      </w:r>
    </w:p>
    <w:p>
      <w:pPr>
        <w:spacing w:after="0" w:line="1"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color w:val="auto"/>
        </w:rPr>
        <w:t>"Identity fraud occurrence" means any act or series of acts of identity fraud by a person or group commencing in the policy period. "Identity fraud expenses" means:</w:t>
      </w:r>
    </w:p>
    <w:p>
      <w:pPr>
        <w:ind w:left="480" w:right="40" w:hanging="462"/>
        <w:spacing w:after="0" w:line="250" w:lineRule="auto"/>
        <w:tabs>
          <w:tab w:leader="none" w:pos="4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notarizing affidavits or similar documents for law enforcement agencies, financial institutions or similar credit grantors, and credit agencies;</w:t>
      </w:r>
    </w:p>
    <w:p>
      <w:pPr>
        <w:ind w:left="480" w:right="1100" w:hanging="462"/>
        <w:spacing w:after="0" w:line="250" w:lineRule="auto"/>
        <w:tabs>
          <w:tab w:leader="none" w:pos="47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sending certified mail to law enforcement agencies, financial institutions or similar credit grantors, and credit agencies;</w:t>
      </w:r>
    </w:p>
    <w:p>
      <w:pPr>
        <w:ind w:left="460" w:right="220" w:hanging="442"/>
        <w:spacing w:after="0" w:line="250" w:lineRule="auto"/>
        <w:tabs>
          <w:tab w:leader="none" w:pos="4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application fees for reapplying for loan(s) due to the rejection of the original application because the lender received incorrect credit information;</w:t>
      </w:r>
    </w:p>
    <w:p>
      <w:pPr>
        <w:ind w:left="480" w:right="460" w:hanging="462"/>
        <w:spacing w:after="0" w:line="250" w:lineRule="auto"/>
        <w:tabs>
          <w:tab w:leader="none" w:pos="4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expenses for calls to businesses, law enforcement agencies, financial institutions or similar credit grantors, and credit agencies;</w:t>
      </w:r>
    </w:p>
    <w:p>
      <w:pPr>
        <w:ind w:left="480" w:right="500" w:hanging="462"/>
        <w:spacing w:after="0" w:line="250" w:lineRule="auto"/>
        <w:tabs>
          <w:tab w:leader="none" w:pos="4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as a result of time off from work to complete fraud affidavits, meet with law enforcement agencies, credit agencies, merchants, or legal counsel;</w:t>
      </w: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attorney fees incurred with prior notice to us for:</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you or a family member against any suit(s) by businesses or their collection agencies;</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any criminal or civil judgements wrongly entered against you or a family member;</w:t>
      </w:r>
    </w:p>
    <w:p>
      <w:pPr>
        <w:spacing w:after="0" w:line="22"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challenge to the information in your or a family member's consumer credit report; and</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incurred with prior notice to us by an identity fraud mitigation entity to:</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for the activities described above;</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accounts or credit standing with financial institutions or similar credit grantors and credit agencies; and</w:t>
      </w:r>
    </w:p>
    <w:p>
      <w:pPr>
        <w:spacing w:after="0" w:line="9" w:lineRule="exact"/>
        <w:rPr>
          <w:rFonts w:ascii="Times New Roman" w:cs="Times New Roman" w:eastAsia="Times New Roman" w:hAnsi="Times New Roman"/>
          <w:sz w:val="18"/>
          <w:szCs w:val="18"/>
          <w:color w:val="auto"/>
        </w:rPr>
      </w:pPr>
    </w:p>
    <w:p>
      <w:pPr>
        <w:ind w:left="480" w:right="160" w:hanging="462"/>
        <w:spacing w:after="0" w:line="260" w:lineRule="auto"/>
        <w:tabs>
          <w:tab w:leader="none" w:pos="4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for up to one year the effectiveness of the fraud mitigation and to detect additional identity fraud activity after the first identify fraud occurrence.</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However, such monitoring must begin no later than one year after you or a family member first report an identity fraud occurrence to us.</w:t>
      </w:r>
    </w:p>
    <w:p>
      <w:pPr>
        <w:spacing w:after="0" w:line="90" w:lineRule="exact"/>
        <w:rPr>
          <w:sz w:val="20"/>
          <w:szCs w:val="20"/>
          <w:color w:val="auto"/>
        </w:rPr>
      </w:pPr>
    </w:p>
    <w:p>
      <w:pPr>
        <w:jc w:val="both"/>
        <w:ind w:left="20" w:firstLine="4"/>
        <w:spacing w:after="0" w:line="266" w:lineRule="auto"/>
        <w:rPr>
          <w:sz w:val="20"/>
          <w:szCs w:val="20"/>
          <w:color w:val="auto"/>
        </w:rPr>
      </w:pPr>
      <w:r>
        <w:rPr>
          <w:rFonts w:ascii="Times New Roman" w:cs="Times New Roman" w:eastAsia="Times New Roman" w:hAnsi="Times New Roman"/>
          <w:sz w:val="18"/>
          <w:szCs w:val="18"/>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68" w:lineRule="exact"/>
        <w:rPr>
          <w:sz w:val="20"/>
          <w:szCs w:val="20"/>
          <w:color w:val="auto"/>
        </w:rPr>
      </w:pPr>
    </w:p>
    <w:p>
      <w:pPr>
        <w:ind w:right="360" w:hanging="4"/>
        <w:spacing w:after="0" w:line="282" w:lineRule="auto"/>
        <w:rPr>
          <w:sz w:val="20"/>
          <w:szCs w:val="20"/>
          <w:color w:val="auto"/>
        </w:rPr>
      </w:pPr>
      <w:r>
        <w:rPr>
          <w:rFonts w:ascii="Times New Roman" w:cs="Times New Roman" w:eastAsia="Times New Roman" w:hAnsi="Times New Roman"/>
          <w:sz w:val="18"/>
          <w:szCs w:val="18"/>
          <w:color w:val="auto"/>
        </w:rPr>
        <w:t>"Identity fraud mitigation entity" means a company that principally provides professional, specialized services to counter identity fraud for individuals or groups of individuals, or a financial institution that provides similar services.</w:t>
      </w:r>
    </w:p>
    <w:p>
      <w:pPr>
        <w:sectPr>
          <w:pgSz w:w="11900" w:h="16838" w:orient="portrait"/>
          <w:cols w:equalWidth="0" w:num="1">
            <w:col w:w="10360"/>
          </w:cols>
          <w:pgMar w:left="820" w:top="1215" w:right="719" w:bottom="1440" w:gutter="0" w:footer="0" w:header="0"/>
        </w:sectPr>
      </w:pPr>
    </w:p>
    <w:bookmarkStart w:id="92" w:name="page93"/>
    <w:bookmarkEnd w:id="92"/>
    <w:p>
      <w:pPr>
        <w:ind w:firstLine="2"/>
        <w:spacing w:after="0" w:line="282" w:lineRule="auto"/>
        <w:rPr>
          <w:sz w:val="20"/>
          <w:szCs w:val="20"/>
          <w:color w:val="auto"/>
        </w:rPr>
      </w:pPr>
      <w:r>
        <w:rPr>
          <w:rFonts w:ascii="Times New Roman" w:cs="Times New Roman" w:eastAsia="Times New Roman" w:hAnsi="Times New Roman"/>
          <w:sz w:val="18"/>
          <w:szCs w:val="18"/>
          <w:color w:val="auto"/>
        </w:rPr>
        <w:t>In addition to the duties described in Policy Terms, Liability Conditions, Your duties after a loss, you shall notify an applicable law enforcement agency.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Kidnap expenses</w:t>
      </w:r>
    </w:p>
    <w:p>
      <w:pPr>
        <w:spacing w:after="0" w:line="3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will pay up to a maximum of $100,000 for kidnap expenses you or a family member incurs solely and directly as a result of a 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2" w:lineRule="exact"/>
        <w:rPr>
          <w:sz w:val="20"/>
          <w:szCs w:val="20"/>
          <w:color w:val="auto"/>
        </w:rPr>
      </w:pPr>
    </w:p>
    <w:p>
      <w:pPr>
        <w:ind w:left="480" w:hanging="475"/>
        <w:spacing w:after="0"/>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or</w:t>
      </w:r>
    </w:p>
    <w:p>
      <w:pPr>
        <w:spacing w:after="0" w:line="9" w:lineRule="exact"/>
        <w:rPr>
          <w:rFonts w:ascii="Times New Roman" w:cs="Times New Roman" w:eastAsia="Times New Roman" w:hAnsi="Times New Roman"/>
          <w:sz w:val="18"/>
          <w:szCs w:val="18"/>
          <w:color w:val="auto"/>
        </w:rPr>
      </w:pPr>
    </w:p>
    <w:p>
      <w:pPr>
        <w:ind w:left="480" w:hanging="475"/>
        <w:spacing w:after="0"/>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 who witnessed the occurence.</w:t>
      </w:r>
    </w:p>
    <w:p>
      <w:pPr>
        <w:spacing w:after="0" w:line="11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 and ransom occurrence" means the actual or alleged wrongful taking of:</w:t>
      </w:r>
    </w:p>
    <w:p>
      <w:pPr>
        <w:spacing w:after="0" w:line="27" w:lineRule="exact"/>
        <w:rPr>
          <w:rFonts w:ascii="Times New Roman" w:cs="Times New Roman" w:eastAsia="Times New Roman" w:hAnsi="Times New Roman"/>
          <w:sz w:val="18"/>
          <w:szCs w:val="18"/>
          <w:color w:val="auto"/>
        </w:rPr>
      </w:pPr>
    </w:p>
    <w:p>
      <w:pPr>
        <w:ind w:left="460" w:hanging="451"/>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w:t>
      </w:r>
    </w:p>
    <w:p>
      <w:pPr>
        <w:spacing w:after="0" w:line="22" w:lineRule="exact"/>
        <w:rPr>
          <w:rFonts w:ascii="Times New Roman" w:cs="Times New Roman" w:eastAsia="Times New Roman" w:hAnsi="Times New Roman"/>
          <w:sz w:val="18"/>
          <w:szCs w:val="18"/>
          <w:color w:val="auto"/>
        </w:rPr>
      </w:pPr>
    </w:p>
    <w:p>
      <w:pPr>
        <w:ind w:left="460" w:hanging="451"/>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family members; or</w:t>
      </w:r>
    </w:p>
    <w:p>
      <w:pPr>
        <w:spacing w:after="0" w:line="9" w:lineRule="exact"/>
        <w:rPr>
          <w:rFonts w:ascii="Times New Roman" w:cs="Times New Roman" w:eastAsia="Times New Roman" w:hAnsi="Times New Roman"/>
          <w:sz w:val="18"/>
          <w:szCs w:val="18"/>
          <w:color w:val="auto"/>
        </w:rPr>
      </w:pPr>
    </w:p>
    <w:p>
      <w:pPr>
        <w:ind w:left="460" w:hanging="451"/>
        <w:spacing w:after="0"/>
        <w:tabs>
          <w:tab w:leader="none" w:pos="4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covered relatives while visiting or legally traveling with you or a family member;</w:t>
      </w:r>
    </w:p>
    <w:p>
      <w:pPr>
        <w:spacing w:after="0" w:line="9" w:lineRule="exact"/>
        <w:rPr>
          <w:sz w:val="20"/>
          <w:szCs w:val="20"/>
          <w:color w:val="auto"/>
        </w:rPr>
      </w:pPr>
    </w:p>
    <w:p>
      <w:pPr>
        <w:jc w:val="both"/>
        <w:ind w:right="40" w:firstLine="4"/>
        <w:spacing w:after="0" w:line="255" w:lineRule="auto"/>
        <w:rPr>
          <w:sz w:val="20"/>
          <w:szCs w:val="20"/>
          <w:color w:val="auto"/>
        </w:rPr>
      </w:pPr>
      <w:r>
        <w:rPr>
          <w:rFonts w:ascii="Times New Roman" w:cs="Times New Roman" w:eastAsia="Times New Roman" w:hAnsi="Times New Roman"/>
          <w:sz w:val="18"/>
          <w:szCs w:val="18"/>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"Kidnap expenses" means the reasonable costs for:</w:t>
      </w:r>
    </w:p>
    <w:p>
      <w:pPr>
        <w:spacing w:after="0" w:line="27" w:lineRule="exact"/>
        <w:rPr>
          <w:sz w:val="20"/>
          <w:szCs w:val="20"/>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negotiator;</w:t>
      </w:r>
    </w:p>
    <w:p>
      <w:pPr>
        <w:spacing w:after="0" w:line="22"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security consultant;</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security guard services;</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public relations consultant;</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meals, lodging and phone expenses incurred by you or a family member;</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communications and recording equipment;</w:t>
      </w:r>
    </w:p>
    <w:p>
      <w:pPr>
        <w:spacing w:after="0" w:line="9" w:lineRule="exact"/>
        <w:rPr>
          <w:rFonts w:ascii="Times New Roman" w:cs="Times New Roman" w:eastAsia="Times New Roman" w:hAnsi="Times New Roman"/>
          <w:sz w:val="18"/>
          <w:szCs w:val="18"/>
          <w:color w:val="auto"/>
        </w:rPr>
      </w:pPr>
    </w:p>
    <w:p>
      <w:pPr>
        <w:ind w:left="460" w:hanging="441"/>
        <w:spacing w:after="0"/>
        <w:tabs>
          <w:tab w:leader="none" w:pos="4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medical, cosmetic, psychiatric and dental expenses incurred by a kidnapped person within 12 months from that person's release;</w:t>
      </w:r>
    </w:p>
    <w:p>
      <w:pPr>
        <w:spacing w:after="0" w:line="22"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forensic analyst;</w:t>
      </w:r>
    </w:p>
    <w:p>
      <w:pPr>
        <w:spacing w:after="0" w:line="9" w:lineRule="exact"/>
        <w:rPr>
          <w:rFonts w:ascii="Times New Roman" w:cs="Times New Roman" w:eastAsia="Times New Roman" w:hAnsi="Times New Roman"/>
          <w:sz w:val="18"/>
          <w:szCs w:val="18"/>
          <w:color w:val="auto"/>
        </w:rPr>
      </w:pPr>
    </w:p>
    <w:p>
      <w:pPr>
        <w:ind w:left="440" w:hanging="422"/>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lost by you or a family member, up to $25,000.</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However, "kidnap expenses" does not include expenses incurred due to any kidnap and ransom occurrence caused by:</w:t>
      </w:r>
    </w:p>
    <w:p>
      <w:pPr>
        <w:spacing w:after="0" w:line="27" w:lineRule="exact"/>
        <w:rPr>
          <w:sz w:val="20"/>
          <w:szCs w:val="20"/>
          <w:color w:val="auto"/>
        </w:rPr>
      </w:pPr>
    </w:p>
    <w:p>
      <w:pPr>
        <w:ind w:left="480" w:hanging="462"/>
        <w:spacing w:after="0"/>
        <w:tabs>
          <w:tab w:leader="none" w:pos="4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w:t>
      </w:r>
    </w:p>
    <w:p>
      <w:pPr>
        <w:spacing w:after="0" w:line="9"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relative;</w:t>
      </w:r>
    </w:p>
    <w:p>
      <w:pPr>
        <w:spacing w:after="0" w:line="9"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guardian, or former guardian of you, a family member or covered relative;</w:t>
      </w:r>
    </w:p>
    <w:p>
      <w:pPr>
        <w:spacing w:after="0" w:line="9"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estranged spouse or domestic partner, or former spouse or domestic partner of you or a family member;</w:t>
      </w:r>
    </w:p>
    <w:p>
      <w:pPr>
        <w:spacing w:after="0" w:line="9" w:lineRule="exact"/>
        <w:rPr>
          <w:rFonts w:ascii="Times New Roman" w:cs="Times New Roman" w:eastAsia="Times New Roman" w:hAnsi="Times New Roman"/>
          <w:sz w:val="18"/>
          <w:szCs w:val="18"/>
          <w:color w:val="auto"/>
        </w:rPr>
      </w:pPr>
    </w:p>
    <w:p>
      <w:pPr>
        <w:jc w:val="both"/>
        <w:ind w:left="460" w:right="20" w:hanging="442"/>
        <w:spacing w:after="0" w:line="255" w:lineRule="auto"/>
        <w:tabs>
          <w:tab w:leader="none" w:pos="45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spacing w:after="0" w:line="1" w:lineRule="exact"/>
        <w:rPr>
          <w:rFonts w:ascii="Times New Roman" w:cs="Times New Roman" w:eastAsia="Times New Roman" w:hAnsi="Times New Roman"/>
          <w:sz w:val="18"/>
          <w:szCs w:val="18"/>
          <w:color w:val="auto"/>
        </w:rPr>
      </w:pPr>
    </w:p>
    <w:p>
      <w:pPr>
        <w:ind w:left="460" w:hanging="442"/>
        <w:spacing w:after="0"/>
        <w:tabs>
          <w:tab w:leader="none" w:pos="4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authority,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or any person acting on behalf of any of the above, whether acting alone or in collusion with others.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"Covered relative" means the following relatives of you, or any family member:</w:t>
      </w:r>
    </w:p>
    <w:p>
      <w:pPr>
        <w:spacing w:after="0" w:line="27" w:lineRule="exact"/>
        <w:rPr>
          <w:sz w:val="20"/>
          <w:szCs w:val="20"/>
          <w:color w:val="auto"/>
        </w:rPr>
      </w:pPr>
    </w:p>
    <w:p>
      <w:pPr>
        <w:ind w:left="460" w:hanging="446"/>
        <w:spacing w:after="0"/>
        <w:tabs>
          <w:tab w:leader="none" w:pos="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their children or other descendants of theirs;</w:t>
      </w:r>
    </w:p>
    <w:p>
      <w:pPr>
        <w:spacing w:after="0" w:line="9" w:lineRule="exact"/>
        <w:rPr>
          <w:rFonts w:ascii="Times New Roman" w:cs="Times New Roman" w:eastAsia="Times New Roman" w:hAnsi="Times New Roman"/>
          <w:sz w:val="18"/>
          <w:szCs w:val="18"/>
          <w:color w:val="auto"/>
        </w:rPr>
      </w:pPr>
    </w:p>
    <w:p>
      <w:pPr>
        <w:ind w:left="460" w:hanging="446"/>
        <w:spacing w:after="0"/>
        <w:tabs>
          <w:tab w:leader="none" w:pos="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grandparents or other ancestors of theirs; or</w:t>
      </w:r>
    </w:p>
    <w:p>
      <w:pPr>
        <w:spacing w:after="0" w:line="9" w:lineRule="exact"/>
        <w:rPr>
          <w:rFonts w:ascii="Times New Roman" w:cs="Times New Roman" w:eastAsia="Times New Roman" w:hAnsi="Times New Roman"/>
          <w:sz w:val="18"/>
          <w:szCs w:val="18"/>
          <w:color w:val="auto"/>
        </w:rPr>
      </w:pPr>
    </w:p>
    <w:p>
      <w:pPr>
        <w:ind w:left="460" w:hanging="446"/>
        <w:spacing w:after="0"/>
        <w:tabs>
          <w:tab w:leader="none" w:pos="4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siblings, their children or other descendants of theirs;</w:t>
      </w:r>
    </w:p>
    <w:p>
      <w:pPr>
        <w:spacing w:after="0" w:line="9" w:lineRule="exact"/>
        <w:rPr>
          <w:sz w:val="20"/>
          <w:szCs w:val="20"/>
          <w:color w:val="auto"/>
        </w:rPr>
      </w:pPr>
    </w:p>
    <w:p>
      <w:pPr>
        <w:jc w:val="both"/>
        <w:ind w:left="20" w:right="340" w:firstLine="3"/>
        <w:spacing w:after="0" w:line="260" w:lineRule="auto"/>
        <w:rPr>
          <w:sz w:val="20"/>
          <w:szCs w:val="20"/>
          <w:color w:val="auto"/>
        </w:rPr>
      </w:pPr>
      <w:r>
        <w:rPr>
          <w:rFonts w:ascii="Times New Roman" w:cs="Times New Roman" w:eastAsia="Times New Roman" w:hAnsi="Times New Roman"/>
          <w:sz w:val="18"/>
          <w:szCs w:val="18"/>
          <w:color w:val="auto"/>
        </w:rPr>
        <w:t>who do not live with you, including spouses or domestic partners of all of the above. Parents, grandparents and other ancestors include adoptive parents, stepparents and step grandparents.</w:t>
      </w:r>
    </w:p>
    <w:p>
      <w:pPr>
        <w:spacing w:after="0" w:line="29" w:lineRule="exact"/>
        <w:rPr>
          <w:sz w:val="20"/>
          <w:szCs w:val="20"/>
          <w:color w:val="auto"/>
        </w:rPr>
      </w:pPr>
    </w:p>
    <w:p>
      <w:pPr>
        <w:jc w:val="both"/>
        <w:ind w:left="20" w:right="320" w:firstLine="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Reputational injury. </w:t>
      </w:r>
      <w:r>
        <w:rPr>
          <w:rFonts w:ascii="Times New Roman" w:cs="Times New Roman" w:eastAsia="Times New Roman" w:hAnsi="Times New Roman"/>
          <w:sz w:val="18"/>
          <w:szCs w:val="18"/>
          <w:color w:val="auto"/>
        </w:rPr>
        <w:t>If we are defending you or a family member in a suit seeking covered damages, we will pay reasonable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fees or expenses that you or a family member incur for services provided by a reputation management firm to minimize potential injury to the reputation of you or a family member solely as a result of personal injury or property damage, caused by an occurrence if:</w:t>
      </w:r>
    </w:p>
    <w:p>
      <w:pPr>
        <w:ind w:left="480" w:right="1040" w:hanging="466"/>
        <w:spacing w:after="0" w:line="250" w:lineRule="auto"/>
        <w:tabs>
          <w:tab w:leader="none" w:pos="4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reputational injury is reported to us as soon as reasonably possible but not later than 30 days after the personal injury or property damage occurrence; and</w:t>
      </w:r>
    </w:p>
    <w:p>
      <w:pPr>
        <w:ind w:left="480" w:right="840" w:hanging="466"/>
        <w:spacing w:after="0" w:line="260" w:lineRule="auto"/>
        <w:tabs>
          <w:tab w:leader="none" w:pos="4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obtain approval of the reputation management firm from us before incurring any fees or expenses, unless stated otherwise or an exclusion applies. There is no deductible for this coverage.</w:t>
      </w:r>
    </w:p>
    <w:p>
      <w:pPr>
        <w:sectPr>
          <w:pgSz w:w="11900" w:h="16838" w:orient="portrait"/>
          <w:cols w:equalWidth="0" w:num="1">
            <w:col w:w="10380"/>
          </w:cols>
          <w:pgMar w:left="820" w:top="1336" w:right="699" w:bottom="1440" w:gutter="0" w:footer="0" w:header="0"/>
        </w:sectPr>
      </w:pPr>
    </w:p>
    <w:bookmarkStart w:id="93" w:name="page94"/>
    <w:bookmarkEnd w:id="93"/>
    <w:p>
      <w:pPr>
        <w:jc w:val="both"/>
        <w:ind w:left="20" w:right="80" w:firstLine="1"/>
        <w:spacing w:after="0" w:line="266" w:lineRule="auto"/>
        <w:rPr>
          <w:sz w:val="20"/>
          <w:szCs w:val="20"/>
          <w:color w:val="auto"/>
        </w:rPr>
      </w:pPr>
      <w:r>
        <w:rPr>
          <w:rFonts w:ascii="Times New Roman" w:cs="Times New Roman" w:eastAsia="Times New Roman" w:hAnsi="Times New Roman"/>
          <w:sz w:val="18"/>
          <w:szCs w:val="18"/>
          <w:color w:val="auto"/>
        </w:rPr>
        <w:t xml:space="preserve">The maximum amount of coverage for Reputational injury available for any one occurrence is $25,000 or the amount shown in the Coverage Summary Certificate. </w:t>
      </w:r>
      <w:r>
        <w:rPr>
          <w:rFonts w:ascii="Times New Roman" w:cs="Times New Roman" w:eastAsia="Times New Roman" w:hAnsi="Times New Roman"/>
          <w:sz w:val="18"/>
          <w:szCs w:val="18"/>
          <w:b w:val="1"/>
          <w:bCs w:val="1"/>
          <w:color w:val="auto"/>
        </w:rPr>
        <w:t>We will</w:t>
      </w:r>
      <w:r>
        <w:rPr>
          <w:rFonts w:ascii="Times New Roman" w:cs="Times New Roman" w:eastAsia="Times New Roman" w:hAnsi="Times New Roman"/>
          <w:sz w:val="18"/>
          <w:szCs w:val="18"/>
          <w:color w:val="auto"/>
        </w:rPr>
        <w:t xml:space="preserve"> not pay more than this amount in any one occurrence for covered damages regardless of how many claims or people are involved in the occurrence.</w:t>
      </w:r>
    </w:p>
    <w:p>
      <w:pPr>
        <w:spacing w:after="0" w:line="81" w:lineRule="exact"/>
        <w:rPr>
          <w:sz w:val="20"/>
          <w:szCs w:val="20"/>
          <w:color w:val="auto"/>
        </w:rPr>
      </w:pPr>
    </w:p>
    <w:p>
      <w:pPr>
        <w:jc w:val="both"/>
        <w:ind w:left="20" w:right="80" w:firstLine="1"/>
        <w:spacing w:after="0" w:line="282" w:lineRule="auto"/>
        <w:rPr>
          <w:sz w:val="20"/>
          <w:szCs w:val="20"/>
          <w:color w:val="auto"/>
        </w:rPr>
      </w:pPr>
      <w:r>
        <w:rPr>
          <w:rFonts w:ascii="Times New Roman" w:cs="Times New Roman" w:eastAsia="Times New Roman" w:hAnsi="Times New Roman"/>
          <w:sz w:val="18"/>
          <w:szCs w:val="18"/>
          <w:color w:val="auto"/>
        </w:rPr>
        <w:t>The maximum annual amount of coverage for Reputational injury shown in the Coverage Summary Certificate is the most we will pay for the sum of all covered damages you or a family member incur during the policy period regardless of the number of claims, people, or occurrences.</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coverage does not apply to loss caused by a wrongful employment act covered by Employment Practices Liability Insurance.</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These exclusions apply to your Group Personal Excess Liability Coverage, unless stated otherwise.</w:t>
      </w:r>
    </w:p>
    <w:p>
      <w:pPr>
        <w:spacing w:after="0" w:line="113" w:lineRule="exact"/>
        <w:rPr>
          <w:sz w:val="20"/>
          <w:szCs w:val="20"/>
          <w:color w:val="auto"/>
        </w:rPr>
      </w:pPr>
    </w:p>
    <w:p>
      <w:pPr>
        <w:ind w:left="20" w:right="180" w:hanging="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Motor vehicles with less than four wheels and motor homes. </w:t>
      </w:r>
      <w:r>
        <w:rPr>
          <w:rFonts w:ascii="Times New Roman" w:cs="Times New Roman" w:eastAsia="Times New Roman" w:hAnsi="Times New Roman"/>
          <w:sz w:val="18"/>
          <w:szCs w:val="18"/>
          <w:color w:val="auto"/>
        </w:rPr>
        <w:t>We do not cover any damages arising out of the ownership, maintenance,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loading or unloading of any motor vehicle with less than four wheels or motor home:</w:t>
      </w:r>
    </w:p>
    <w:p>
      <w:pPr>
        <w:spacing w:after="0" w:line="1" w:lineRule="exact"/>
        <w:rPr>
          <w:sz w:val="20"/>
          <w:szCs w:val="20"/>
          <w:color w:val="auto"/>
        </w:rPr>
      </w:pPr>
    </w:p>
    <w:p>
      <w:pPr>
        <w:ind w:left="480" w:hanging="463"/>
        <w:spacing w:after="0"/>
        <w:tabs>
          <w:tab w:leader="none" w:pos="4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by you or a family member; or</w:t>
      </w:r>
    </w:p>
    <w:p>
      <w:pPr>
        <w:spacing w:after="0" w:line="9" w:lineRule="exact"/>
        <w:rPr>
          <w:rFonts w:ascii="Times New Roman" w:cs="Times New Roman" w:eastAsia="Times New Roman" w:hAnsi="Times New Roman"/>
          <w:sz w:val="18"/>
          <w:szCs w:val="18"/>
          <w:color w:val="auto"/>
        </w:rPr>
      </w:pPr>
    </w:p>
    <w:p>
      <w:pPr>
        <w:ind w:left="460" w:hanging="443"/>
        <w:spacing w:after="0"/>
        <w:tabs>
          <w:tab w:leader="none" w:pos="4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to, made available or rented to you or a family member for longer than 30 consecutive days</w:t>
      </w:r>
    </w:p>
    <w:p>
      <w:pPr>
        <w:spacing w:after="0" w:line="99" w:lineRule="exact"/>
        <w:rPr>
          <w:sz w:val="20"/>
          <w:szCs w:val="20"/>
          <w:color w:val="auto"/>
        </w:rPr>
      </w:pPr>
    </w:p>
    <w:p>
      <w:pPr>
        <w:ind w:left="20" w:right="560" w:firstLine="4"/>
        <w:spacing w:after="0" w:line="282" w:lineRule="auto"/>
        <w:rPr>
          <w:sz w:val="20"/>
          <w:szCs w:val="20"/>
          <w:color w:val="auto"/>
        </w:rPr>
      </w:pPr>
      <w:r>
        <w:rPr>
          <w:rFonts w:ascii="Times New Roman" w:cs="Times New Roman" w:eastAsia="Times New Roman" w:hAnsi="Times New Roman"/>
          <w:sz w:val="18"/>
          <w:szCs w:val="18"/>
          <w:color w:val="auto"/>
        </w:rPr>
        <w:t>unless the motor vehicle with less than four wheels or the motor home is covered under the Required Primary Underlying Insurance. The coverage for motor vehicles with less than four wheels and motor homes is on a follow form basis.</w:t>
      </w:r>
    </w:p>
    <w:p>
      <w:pPr>
        <w:spacing w:after="0" w:line="50" w:lineRule="exact"/>
        <w:rPr>
          <w:sz w:val="20"/>
          <w:szCs w:val="20"/>
          <w:color w:val="auto"/>
        </w:rPr>
      </w:pPr>
    </w:p>
    <w:p>
      <w:pPr>
        <w:jc w:val="both"/>
        <w:ind w:left="40" w:hanging="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Aircraft. </w:t>
      </w:r>
      <w:r>
        <w:rPr>
          <w:rFonts w:ascii="Times New Roman" w:cs="Times New Roman" w:eastAsia="Times New Roman" w:hAnsi="Times New Roman"/>
          <w:sz w:val="18"/>
          <w:szCs w:val="18"/>
          <w:color w:val="auto"/>
        </w:rPr>
        <w:t>We do not cover any damages arising out of the ownership, maintenance, use, loading, unloading, or towing of any aircraft, except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non-owned aircraft chartered with a professional crew by you or on your behalf. "Aircraft" means any device used or designed for flight, except drones or similar unmanned device not used or designed to carry people or cargo.</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However, with respect to the ownership, maintenance or use of any drones or similar unmanned device, we do not cover any damages:</w:t>
      </w:r>
    </w:p>
    <w:p>
      <w:pPr>
        <w:spacing w:after="0" w:line="77" w:lineRule="exact"/>
        <w:rPr>
          <w:sz w:val="20"/>
          <w:szCs w:val="20"/>
          <w:color w:val="auto"/>
        </w:rPr>
      </w:pPr>
    </w:p>
    <w:p>
      <w:pPr>
        <w:ind w:left="460" w:right="40" w:firstLine="8"/>
        <w:spacing w:after="0" w:line="266" w:lineRule="auto"/>
        <w:rPr>
          <w:sz w:val="20"/>
          <w:szCs w:val="20"/>
          <w:color w:val="auto"/>
        </w:rPr>
      </w:pPr>
      <w:r>
        <w:rPr>
          <w:rFonts w:ascii="Times New Roman" w:cs="Times New Roman" w:eastAsia="Times New Roman" w:hAnsi="Times New Roman"/>
          <w:sz w:val="18"/>
          <w:szCs w:val="18"/>
          <w:color w:val="auto"/>
        </w:rPr>
        <w:t>while such drone or similar unmanned device is being operated in a restricted airspace as determined by the Federal Aviation Administration or other governmental agency, whether on a local, state or federal level, including any temporary flight restrictions; or to any aircraft, including any resulting damages.</w:t>
      </w:r>
    </w:p>
    <w:p>
      <w:pPr>
        <w:ind w:left="20"/>
        <w:spacing w:after="0"/>
        <w:rPr>
          <w:sz w:val="20"/>
          <w:szCs w:val="20"/>
          <w:color w:val="auto"/>
        </w:rPr>
      </w:pPr>
      <w:r>
        <w:rPr>
          <w:rFonts w:ascii="Times New Roman" w:cs="Times New Roman" w:eastAsia="Times New Roman" w:hAnsi="Times New Roman"/>
          <w:sz w:val="18"/>
          <w:szCs w:val="18"/>
          <w:color w:val="auto"/>
        </w:rPr>
        <w:t>This exclusion applies whether such drone or similar unmanned device makes contact with the aircraft or not.</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Personal watercraft. </w:t>
      </w:r>
      <w:r>
        <w:rPr>
          <w:rFonts w:ascii="Times New Roman" w:cs="Times New Roman" w:eastAsia="Times New Roman" w:hAnsi="Times New Roman"/>
          <w:sz w:val="18"/>
          <w:szCs w:val="18"/>
          <w:color w:val="auto"/>
        </w:rPr>
        <w:t>We do not cover any damages arising out of the operation of any personal watercraft:</w:t>
      </w:r>
    </w:p>
    <w:p>
      <w:pPr>
        <w:spacing w:after="0" w:line="31" w:lineRule="exact"/>
        <w:rPr>
          <w:sz w:val="20"/>
          <w:szCs w:val="20"/>
          <w:color w:val="auto"/>
        </w:rPr>
      </w:pPr>
    </w:p>
    <w:p>
      <w:pPr>
        <w:ind w:left="460" w:hanging="443"/>
        <w:spacing w:after="0"/>
        <w:tabs>
          <w:tab w:leader="none" w:pos="4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sunset to sunrise;</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towing any person; or</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person who does not have a valid motor vehicle driver's license, other than you or a family member age 16 or older.</w:t>
      </w:r>
    </w:p>
    <w:p>
      <w:pPr>
        <w:spacing w:after="0" w:line="99" w:lineRule="exact"/>
        <w:rPr>
          <w:sz w:val="20"/>
          <w:szCs w:val="20"/>
          <w:color w:val="auto"/>
        </w:rPr>
      </w:pPr>
    </w:p>
    <w:p>
      <w:pPr>
        <w:ind w:left="20" w:right="60" w:hanging="1"/>
        <w:spacing w:after="0" w:line="282" w:lineRule="auto"/>
        <w:rPr>
          <w:sz w:val="20"/>
          <w:szCs w:val="20"/>
          <w:color w:val="auto"/>
        </w:rPr>
      </w:pPr>
      <w:r>
        <w:rPr>
          <w:rFonts w:ascii="Times New Roman" w:cs="Times New Roman" w:eastAsia="Times New Roman" w:hAnsi="Times New Roman"/>
          <w:sz w:val="18"/>
          <w:szCs w:val="18"/>
          <w:color w:val="auto"/>
        </w:rPr>
        <w:t>"Personal watercraft" means a vessel powered by internal water jet propulsion designed to be operated by a person sitting, standing, or kneeling on it rather than within the confines of a hull.</w:t>
      </w:r>
    </w:p>
    <w:p>
      <w:pPr>
        <w:spacing w:after="0" w:line="50" w:lineRule="exact"/>
        <w:rPr>
          <w:sz w:val="20"/>
          <w:szCs w:val="20"/>
          <w:color w:val="auto"/>
        </w:rPr>
      </w:pPr>
    </w:p>
    <w:p>
      <w:pPr>
        <w:ind w:left="20" w:right="780" w:firstLine="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Large watercraft. </w:t>
      </w:r>
      <w:r>
        <w:rPr>
          <w:rFonts w:ascii="Times New Roman" w:cs="Times New Roman" w:eastAsia="Times New Roman" w:hAnsi="Times New Roman"/>
          <w:sz w:val="18"/>
          <w:szCs w:val="18"/>
          <w:color w:val="auto"/>
        </w:rPr>
        <w:t>We do not cover any damages arising out of the ownership, maintenance, use, loading, unloading or towing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watercraft 26 feet or longer or with more than 50 engine rated horsepower which is:</w:t>
      </w:r>
    </w:p>
    <w:p>
      <w:pPr>
        <w:spacing w:after="0" w:line="1" w:lineRule="exact"/>
        <w:rPr>
          <w:sz w:val="20"/>
          <w:szCs w:val="20"/>
          <w:color w:val="auto"/>
        </w:rPr>
      </w:pPr>
    </w:p>
    <w:p>
      <w:pPr>
        <w:ind w:left="480" w:hanging="463"/>
        <w:spacing w:after="0"/>
        <w:tabs>
          <w:tab w:leader="none" w:pos="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directly or indirectly, by a covered person; or</w:t>
      </w:r>
    </w:p>
    <w:p>
      <w:pPr>
        <w:spacing w:after="0" w:line="9" w:lineRule="exact"/>
        <w:rPr>
          <w:rFonts w:ascii="Times New Roman" w:cs="Times New Roman" w:eastAsia="Times New Roman" w:hAnsi="Times New Roman"/>
          <w:sz w:val="18"/>
          <w:szCs w:val="18"/>
          <w:color w:val="auto"/>
        </w:rPr>
      </w:pPr>
    </w:p>
    <w:p>
      <w:pPr>
        <w:ind w:left="460" w:hanging="443"/>
        <w:spacing w:after="0"/>
        <w:tabs>
          <w:tab w:leader="none" w:pos="4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rented by, furnished to, or made available to a covered person for longer than 60 consecutive days.</w:t>
      </w:r>
    </w:p>
    <w:p>
      <w:pPr>
        <w:spacing w:after="0" w:line="99" w:lineRule="exact"/>
        <w:rPr>
          <w:sz w:val="20"/>
          <w:szCs w:val="20"/>
          <w:color w:val="auto"/>
        </w:rPr>
      </w:pPr>
    </w:p>
    <w:p>
      <w:pPr>
        <w:jc w:val="both"/>
        <w:ind w:left="20" w:right="80" w:hanging="1"/>
        <w:spacing w:after="0" w:line="266" w:lineRule="auto"/>
        <w:rPr>
          <w:sz w:val="20"/>
          <w:szCs w:val="20"/>
          <w:color w:val="auto"/>
        </w:rPr>
      </w:pPr>
      <w:r>
        <w:rPr>
          <w:rFonts w:ascii="Times New Roman" w:cs="Times New Roman" w:eastAsia="Times New Roman" w:hAnsi="Times New Roman"/>
          <w:sz w:val="18"/>
          <w:szCs w:val="18"/>
          <w:color w:val="auto"/>
        </w:rPr>
        <w:t>However, coverage is provided on a follow form basis for watercraft 26 feet or longer up to 42 feet or with more than 50 engine rated horsepower up to 300 engine rated horsepower if such watercraft is covered under the Required Primary Underlying Insurance, unless another exclusion applies.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cover watercraft being stored, even if not covered under the Required Primary Underlying Insurance, unless another exclusion applies.</w:t>
      </w:r>
    </w:p>
    <w:p>
      <w:pPr>
        <w:spacing w:after="0" w:line="86" w:lineRule="exact"/>
        <w:rPr>
          <w:sz w:val="20"/>
          <w:szCs w:val="20"/>
          <w:color w:val="auto"/>
        </w:rPr>
      </w:pPr>
    </w:p>
    <w:p>
      <w:pPr>
        <w:jc w:val="both"/>
        <w:ind w:left="20" w:right="100"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Hovercraft. </w:t>
      </w:r>
      <w:r>
        <w:rPr>
          <w:rFonts w:ascii="Times New Roman" w:cs="Times New Roman" w:eastAsia="Times New Roman" w:hAnsi="Times New Roman"/>
          <w:sz w:val="18"/>
          <w:szCs w:val="18"/>
          <w:color w:val="auto"/>
        </w:rPr>
        <w:t>We do not cover any damages arising out of the ownership, maintenance, use, loading, unloading or towing of any hovercraft.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not cover any property damages to hovercraft rented to, owned by, or in the care, custody or control of a covered person.</w:t>
      </w:r>
    </w:p>
    <w:p>
      <w:pPr>
        <w:spacing w:after="0" w:line="6" w:lineRule="exact"/>
        <w:rPr>
          <w:sz w:val="20"/>
          <w:szCs w:val="20"/>
          <w:color w:val="auto"/>
        </w:rPr>
      </w:pPr>
    </w:p>
    <w:p>
      <w:pPr>
        <w:jc w:val="both"/>
        <w:ind w:left="20" w:right="60" w:firstLine="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Owned, rented or furnished registered motorized land vehicle. </w:t>
      </w:r>
      <w:r>
        <w:rPr>
          <w:rFonts w:ascii="Times New Roman" w:cs="Times New Roman" w:eastAsia="Times New Roman" w:hAnsi="Times New Roman"/>
          <w:sz w:val="18"/>
          <w:szCs w:val="18"/>
          <w:color w:val="auto"/>
        </w:rPr>
        <w:t>We do not cover any damages arising out of the ownership, maintenance,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loading or unloading of any registered motorized land vehicle owned or controlled directly or indirectly by a covered person, or rented to, furnished to or made available to a covered person for longer than 60 consecutive days. But we do provide coverage if at least one registered motorized land vehicle is covered under the Required Primary Underlying Insurance.</w:t>
      </w:r>
    </w:p>
    <w:p>
      <w:pPr>
        <w:sectPr>
          <w:pgSz w:w="11900" w:h="16838" w:orient="portrait"/>
          <w:cols w:equalWidth="0" w:num="1">
            <w:col w:w="10440"/>
          </w:cols>
          <w:pgMar w:left="820" w:top="1309" w:right="639" w:bottom="1440" w:gutter="0" w:footer="0" w:header="0"/>
        </w:sectPr>
      </w:pPr>
    </w:p>
    <w:bookmarkStart w:id="94" w:name="page95"/>
    <w:bookmarkEnd w:id="94"/>
    <w:p>
      <w:pPr>
        <w:ind w:left="3" w:firstLine="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Vehicles used for a fee. </w:t>
      </w:r>
      <w:r>
        <w:rPr>
          <w:rFonts w:ascii="Times New Roman" w:cs="Times New Roman" w:eastAsia="Times New Roman" w:hAnsi="Times New Roman"/>
          <w:sz w:val="18"/>
          <w:szCs w:val="18"/>
          <w:color w:val="auto"/>
        </w:rPr>
        <w:t>We do not cover any person for damages arising out of the ownership, maintenance or use of a vehicle while it is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as a public or livery conveyance for a fee, including while the vehicle is being used for:</w:t>
      </w:r>
    </w:p>
    <w:p>
      <w:pPr>
        <w:spacing w:after="0" w:line="1" w:lineRule="exact"/>
        <w:rPr>
          <w:sz w:val="20"/>
          <w:szCs w:val="20"/>
          <w:color w:val="auto"/>
        </w:rPr>
      </w:pPr>
    </w:p>
    <w:p>
      <w:pPr>
        <w:ind w:left="443" w:hanging="443"/>
        <w:spacing w:after="0"/>
        <w:tabs>
          <w:tab w:leader="none" w:pos="44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ride sharing in connection with a ride sharing program; or</w:t>
      </w:r>
    </w:p>
    <w:p>
      <w:pPr>
        <w:spacing w:after="0" w:line="9" w:lineRule="exact"/>
        <w:rPr>
          <w:rFonts w:ascii="Times New Roman" w:cs="Times New Roman" w:eastAsia="Times New Roman" w:hAnsi="Times New Roman"/>
          <w:sz w:val="18"/>
          <w:szCs w:val="18"/>
          <w:color w:val="auto"/>
        </w:rPr>
      </w:pPr>
    </w:p>
    <w:p>
      <w:pPr>
        <w:ind w:left="463" w:right="460" w:hanging="462"/>
        <w:spacing w:after="0" w:line="260" w:lineRule="auto"/>
        <w:tabs>
          <w:tab w:leader="none" w:pos="45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services, including courier services, whether or not the food, goods, items or products to be delivered are in the vehicle, in connection with a delivery network program.</w:t>
      </w:r>
    </w:p>
    <w:p>
      <w:pPr>
        <w:spacing w:after="0" w:line="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This exclusion does not apply to a shared-expenses carpool, unless another exclusion applies.</w:t>
      </w:r>
    </w:p>
    <w:p>
      <w:pPr>
        <w:spacing w:after="0" w:line="117" w:lineRule="exact"/>
        <w:rPr>
          <w:sz w:val="20"/>
          <w:szCs w:val="20"/>
          <w:color w:val="auto"/>
        </w:rPr>
      </w:pPr>
    </w:p>
    <w:p>
      <w:pPr>
        <w:ind w:left="3" w:right="220" w:firstLine="8"/>
        <w:spacing w:after="0" w:line="266" w:lineRule="auto"/>
        <w:rPr>
          <w:sz w:val="20"/>
          <w:szCs w:val="20"/>
          <w:color w:val="auto"/>
        </w:rPr>
      </w:pPr>
      <w:r>
        <w:rPr>
          <w:rFonts w:ascii="Times New Roman" w:cs="Times New Roman" w:eastAsia="Times New Roman" w:hAnsi="Times New Roman"/>
          <w:sz w:val="18"/>
          <w:szCs w:val="18"/>
          <w:color w:val="auto"/>
        </w:rPr>
        <w:t>"Delivery network platform" means an online enabled application or digital network used to connect customers with drivers or local vendors using drivers for the purpose of providing prearranged delivery services, including courier services, for compensation. A "delivery network platform" does not include a "Ride sharing program".</w:t>
      </w:r>
    </w:p>
    <w:p>
      <w:pPr>
        <w:spacing w:after="0" w:line="68" w:lineRule="exact"/>
        <w:rPr>
          <w:sz w:val="20"/>
          <w:szCs w:val="20"/>
          <w:color w:val="auto"/>
        </w:rPr>
      </w:pPr>
    </w:p>
    <w:p>
      <w:pPr>
        <w:jc w:val="both"/>
        <w:ind w:left="3" w:right="240" w:hanging="1"/>
        <w:spacing w:after="0" w:line="266" w:lineRule="auto"/>
        <w:rPr>
          <w:sz w:val="20"/>
          <w:szCs w:val="20"/>
          <w:color w:val="auto"/>
        </w:rPr>
      </w:pPr>
      <w:r>
        <w:rPr>
          <w:rFonts w:ascii="Times New Roman" w:cs="Times New Roman" w:eastAsia="Times New Roman" w:hAnsi="Times New Roman"/>
          <w:sz w:val="18"/>
          <w:szCs w:val="18"/>
          <w:color w:val="auto"/>
        </w:rPr>
        <w:t>"Ride sharing" means the use of the any vehicle in connection with a ride sharing program during any time period when the driver is logged in to an online-enabled ride sharing application or digital network as a driver, when the driver accepts a requested ride, is en route to pick up a passenger, or is transporting a passenger until the passenger departs the vehicle.</w:t>
      </w:r>
    </w:p>
    <w:p>
      <w:pPr>
        <w:spacing w:after="0" w:line="81" w:lineRule="exact"/>
        <w:rPr>
          <w:sz w:val="20"/>
          <w:szCs w:val="20"/>
          <w:color w:val="auto"/>
        </w:rPr>
      </w:pPr>
    </w:p>
    <w:p>
      <w:pPr>
        <w:jc w:val="both"/>
        <w:ind w:left="3" w:right="260" w:hanging="9"/>
        <w:spacing w:after="0" w:line="282" w:lineRule="auto"/>
        <w:rPr>
          <w:sz w:val="20"/>
          <w:szCs w:val="20"/>
          <w:color w:val="auto"/>
        </w:rPr>
      </w:pPr>
      <w:r>
        <w:rPr>
          <w:rFonts w:ascii="Times New Roman" w:cs="Times New Roman" w:eastAsia="Times New Roman" w:hAnsi="Times New Roman"/>
          <w:sz w:val="18"/>
          <w:szCs w:val="18"/>
          <w:color w:val="auto"/>
        </w:rPr>
        <w:t>"Ride sharing program" means a transportation network, service, or any arrangement in which drivers and passengers arrange transportation services, including through an online-enabled ride sharing application or digital network.</w:t>
      </w:r>
    </w:p>
    <w:p>
      <w:pPr>
        <w:spacing w:after="0" w:line="36" w:lineRule="exact"/>
        <w:rPr>
          <w:sz w:val="20"/>
          <w:szCs w:val="20"/>
          <w:color w:val="auto"/>
        </w:rPr>
      </w:pPr>
    </w:p>
    <w:p>
      <w:pPr>
        <w:ind w:left="3" w:right="220" w:hanging="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Personal vehicle sharing. </w:t>
      </w:r>
      <w:r>
        <w:rPr>
          <w:rFonts w:ascii="Times New Roman" w:cs="Times New Roman" w:eastAsia="Times New Roman" w:hAnsi="Times New Roman"/>
          <w:sz w:val="18"/>
          <w:szCs w:val="18"/>
          <w:color w:val="auto"/>
        </w:rPr>
        <w:t>We do not cover any person for damages arising out of the ownership, maintenance, or use of any motorized 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w:t>
      </w:r>
    </w:p>
    <w:p>
      <w:pPr>
        <w:spacing w:after="0" w:line="24" w:lineRule="exact"/>
        <w:rPr>
          <w:sz w:val="20"/>
          <w:szCs w:val="20"/>
          <w:color w:val="auto"/>
        </w:rPr>
      </w:pPr>
    </w:p>
    <w:p>
      <w:pPr>
        <w:ind w:left="463" w:hanging="462"/>
        <w:spacing w:after="0"/>
        <w:tabs>
          <w:tab w:leader="none" w:pos="46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being used in connection with a personal vehicle sharing program for a fee; or</w:t>
      </w:r>
    </w:p>
    <w:p>
      <w:pPr>
        <w:spacing w:after="0" w:line="27" w:lineRule="exact"/>
        <w:rPr>
          <w:rFonts w:ascii="Times New Roman" w:cs="Times New Roman" w:eastAsia="Times New Roman" w:hAnsi="Times New Roman"/>
          <w:sz w:val="18"/>
          <w:szCs w:val="18"/>
          <w:color w:val="auto"/>
        </w:rPr>
      </w:pPr>
    </w:p>
    <w:p>
      <w:pPr>
        <w:ind w:left="463" w:right="900" w:hanging="462"/>
        <w:spacing w:after="0" w:line="255" w:lineRule="auto"/>
        <w:tabs>
          <w:tab w:leader="none" w:pos="4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 family member privately rents to another person, and the vehicle is being used by anyone other than you or a family member.</w:t>
      </w:r>
    </w:p>
    <w:p>
      <w:pPr>
        <w:spacing w:after="0" w:line="1" w:lineRule="exact"/>
        <w:rPr>
          <w:sz w:val="20"/>
          <w:szCs w:val="20"/>
          <w:color w:val="auto"/>
        </w:rPr>
      </w:pPr>
    </w:p>
    <w:p>
      <w:pPr>
        <w:ind w:left="3" w:right="700" w:hanging="9"/>
        <w:spacing w:after="0" w:line="282" w:lineRule="auto"/>
        <w:rPr>
          <w:sz w:val="20"/>
          <w:szCs w:val="20"/>
          <w:color w:val="auto"/>
        </w:rPr>
      </w:pPr>
      <w:r>
        <w:rPr>
          <w:rFonts w:ascii="Times New Roman" w:cs="Times New Roman" w:eastAsia="Times New Roman" w:hAnsi="Times New Roman"/>
          <w:sz w:val="18"/>
          <w:szCs w:val="18"/>
          <w:color w:val="auto"/>
        </w:rPr>
        <w:t>"Personal vehicles sharing program" means a network, service, or any arrangement to facilitate the sharing of private passenger motor vehicles for use by individuals other than the vehicle's registered owner.</w:t>
      </w:r>
    </w:p>
    <w:p>
      <w:pPr>
        <w:spacing w:after="0" w:line="36" w:lineRule="exact"/>
        <w:rPr>
          <w:sz w:val="20"/>
          <w:szCs w:val="20"/>
          <w:color w:val="auto"/>
        </w:rPr>
      </w:pPr>
    </w:p>
    <w:p>
      <w:pPr>
        <w:ind w:left="3" w:right="600" w:hanging="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motorized land vehicle:</w:t>
      </w:r>
    </w:p>
    <w:p>
      <w:pPr>
        <w:spacing w:after="0" w:line="1" w:lineRule="exact"/>
        <w:rPr>
          <w:sz w:val="20"/>
          <w:szCs w:val="20"/>
          <w:color w:val="auto"/>
        </w:rPr>
      </w:pPr>
    </w:p>
    <w:p>
      <w:pPr>
        <w:ind w:left="463" w:right="380" w:hanging="462"/>
        <w:spacing w:after="0" w:line="258" w:lineRule="auto"/>
        <w:tabs>
          <w:tab w:leader="none" w:pos="45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instruction, practice, preparation for, or participation in, any competitive, prearranged or organized racing, speed contest, rally, gymkhana, sports event, stunting activity, or timed event of any kind;</w:t>
      </w:r>
    </w:p>
    <w:p>
      <w:pPr>
        <w:ind w:left="463" w:hanging="462"/>
        <w:spacing w:after="0"/>
        <w:tabs>
          <w:tab w:leader="none" w:pos="4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race track, test track or other course of any kind; or</w:t>
      </w:r>
    </w:p>
    <w:p>
      <w:pPr>
        <w:spacing w:after="0" w:line="9" w:lineRule="exact"/>
        <w:rPr>
          <w:rFonts w:ascii="Times New Roman" w:cs="Times New Roman" w:eastAsia="Times New Roman" w:hAnsi="Times New Roman"/>
          <w:sz w:val="18"/>
          <w:szCs w:val="18"/>
          <w:color w:val="auto"/>
        </w:rPr>
      </w:pPr>
    </w:p>
    <w:p>
      <w:pPr>
        <w:ind w:left="463" w:hanging="462"/>
        <w:spacing w:after="0"/>
        <w:tabs>
          <w:tab w:leader="none" w:pos="46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street racing of any kind</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However, this exclusion does not apply to a rally on a public road where the legal speed limit remains in effect for the duration of the rally.</w:t>
      </w:r>
    </w:p>
    <w:p>
      <w:pPr>
        <w:spacing w:after="0" w:line="73" w:lineRule="exact"/>
        <w:rPr>
          <w:sz w:val="20"/>
          <w:szCs w:val="20"/>
          <w:color w:val="auto"/>
        </w:rPr>
      </w:pPr>
    </w:p>
    <w:p>
      <w:pPr>
        <w:jc w:val="both"/>
        <w:ind w:left="3" w:firstLine="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Watercraft and aircraft racing or track usage. </w:t>
      </w:r>
      <w:r>
        <w:rPr>
          <w:rFonts w:ascii="Times New Roman" w:cs="Times New Roman" w:eastAsia="Times New Roman" w:hAnsi="Times New Roman"/>
          <w:sz w:val="18"/>
          <w:szCs w:val="18"/>
          <w:color w:val="auto"/>
        </w:rPr>
        <w:t>We do not cover any damages arising out of the ownership, maintenance or use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watercraft or aircraft during any 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with an auxiliary motor.</w:t>
      </w:r>
    </w:p>
    <w:p>
      <w:pPr>
        <w:spacing w:after="0" w:line="1" w:lineRule="exact"/>
        <w:rPr>
          <w:sz w:val="20"/>
          <w:szCs w:val="20"/>
          <w:color w:val="auto"/>
        </w:rPr>
      </w:pPr>
    </w:p>
    <w:p>
      <w:pPr>
        <w:jc w:val="both"/>
        <w:ind w:left="3" w:firstLine="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vehicle-related jobs. </w:t>
      </w:r>
      <w:r>
        <w:rPr>
          <w:rFonts w:ascii="Times New Roman" w:cs="Times New Roman" w:eastAsia="Times New Roman" w:hAnsi="Times New Roman"/>
          <w:sz w:val="18"/>
          <w:szCs w:val="18"/>
          <w:color w:val="auto"/>
        </w:rPr>
        <w:t>We do not cover any damages arising out of the ownership, maintenance, or use of a motorized 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by 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85" w:lineRule="exact"/>
        <w:rPr>
          <w:sz w:val="20"/>
          <w:szCs w:val="20"/>
          <w:color w:val="auto"/>
        </w:rPr>
      </w:pPr>
    </w:p>
    <w:p>
      <w:pPr>
        <w:jc w:val="both"/>
        <w:ind w:left="3" w:right="20" w:firstLine="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Watercraft related jobs. </w:t>
      </w:r>
      <w:r>
        <w:rPr>
          <w:rFonts w:ascii="Times New Roman" w:cs="Times New Roman" w:eastAsia="Times New Roman" w:hAnsi="Times New Roman"/>
          <w:sz w:val="18"/>
          <w:szCs w:val="18"/>
          <w:color w:val="auto"/>
        </w:rPr>
        <w:t>We do not cover any damages arising out of the ownership, maintenance, or use of a watercraft by any person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by or 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58" w:lineRule="exact"/>
        <w:rPr>
          <w:sz w:val="20"/>
          <w:szCs w:val="20"/>
          <w:color w:val="auto"/>
        </w:rPr>
      </w:pPr>
    </w:p>
    <w:p>
      <w:pPr>
        <w:jc w:val="both"/>
        <w:ind w:left="3" w:right="2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Motorized land vehicle and watercraft loading. </w:t>
      </w:r>
      <w:r>
        <w:rPr>
          <w:rFonts w:ascii="Times New Roman" w:cs="Times New Roman" w:eastAsia="Times New Roman" w:hAnsi="Times New Roman"/>
          <w:sz w:val="18"/>
          <w:szCs w:val="18"/>
          <w:color w:val="auto"/>
        </w:rPr>
        <w:t>We do not cover any person or organization, other than you or a family member or your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family member's employees, with respect to the loading or unloading of motorized land vehicles or watercraft.</w:t>
      </w:r>
    </w:p>
    <w:p>
      <w:pPr>
        <w:spacing w:after="0" w:line="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Workers' compensation or disability. </w:t>
      </w:r>
      <w:r>
        <w:rPr>
          <w:rFonts w:ascii="Times New Roman" w:cs="Times New Roman" w:eastAsia="Times New Roman" w:hAnsi="Times New Roman"/>
          <w:sz w:val="18"/>
          <w:szCs w:val="18"/>
          <w:color w:val="auto"/>
        </w:rPr>
        <w:t>We do not cover any damages a covered person is legally:</w:t>
      </w:r>
    </w:p>
    <w:p>
      <w:pPr>
        <w:spacing w:after="0" w:line="54" w:lineRule="exact"/>
        <w:rPr>
          <w:sz w:val="20"/>
          <w:szCs w:val="20"/>
          <w:color w:val="auto"/>
        </w:rPr>
      </w:pPr>
    </w:p>
    <w:p>
      <w:pPr>
        <w:ind w:left="303" w:hanging="302"/>
        <w:spacing w:after="0"/>
        <w:tabs>
          <w:tab w:leader="none" w:pos="30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provide; or</w:t>
      </w:r>
    </w:p>
    <w:p>
      <w:pPr>
        <w:spacing w:after="0" w:line="27" w:lineRule="exact"/>
        <w:rPr>
          <w:rFonts w:ascii="Times New Roman" w:cs="Times New Roman" w:eastAsia="Times New Roman" w:hAnsi="Times New Roman"/>
          <w:sz w:val="18"/>
          <w:szCs w:val="18"/>
          <w:color w:val="auto"/>
        </w:rPr>
      </w:pPr>
    </w:p>
    <w:p>
      <w:pPr>
        <w:ind w:left="123" w:hanging="122"/>
        <w:spacing w:after="0"/>
        <w:tabs>
          <w:tab w:leader="none" w:pos="12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provides under any:</w:t>
      </w:r>
    </w:p>
    <w:p>
      <w:pPr>
        <w:sectPr>
          <w:pgSz w:w="11900" w:h="16838" w:orient="portrait"/>
          <w:cols w:equalWidth="0" w:num="1">
            <w:col w:w="10343"/>
          </w:cols>
          <w:pgMar w:left="837" w:top="1332" w:right="719" w:bottom="1440" w:gutter="0" w:footer="0" w:header="0"/>
        </w:sectPr>
      </w:pPr>
    </w:p>
    <w:bookmarkStart w:id="95" w:name="page96"/>
    <w:bookmarkEnd w:id="95"/>
    <w:p>
      <w:pPr>
        <w:ind w:left="302" w:hanging="302"/>
        <w:spacing w:after="0"/>
        <w:tabs>
          <w:tab w:leader="none" w:pos="3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w:t>
      </w:r>
    </w:p>
    <w:p>
      <w:pPr>
        <w:spacing w:after="0" w:line="27" w:lineRule="exact"/>
        <w:rPr>
          <w:rFonts w:ascii="Times New Roman" w:cs="Times New Roman" w:eastAsia="Times New Roman" w:hAnsi="Times New Roman"/>
          <w:sz w:val="18"/>
          <w:szCs w:val="18"/>
          <w:color w:val="auto"/>
        </w:rPr>
      </w:pPr>
    </w:p>
    <w:p>
      <w:pPr>
        <w:ind w:left="302" w:hanging="302"/>
        <w:spacing w:after="0"/>
        <w:tabs>
          <w:tab w:leader="none" w:pos="3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w:t>
      </w:r>
    </w:p>
    <w:p>
      <w:pPr>
        <w:spacing w:after="0" w:line="9" w:lineRule="exact"/>
        <w:rPr>
          <w:rFonts w:ascii="Times New Roman" w:cs="Times New Roman" w:eastAsia="Times New Roman" w:hAnsi="Times New Roman"/>
          <w:sz w:val="18"/>
          <w:szCs w:val="18"/>
          <w:color w:val="auto"/>
        </w:rPr>
      </w:pPr>
    </w:p>
    <w:p>
      <w:pPr>
        <w:ind w:left="302" w:hanging="302"/>
        <w:spacing w:after="0"/>
        <w:tabs>
          <w:tab w:leader="none" w:pos="3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compensation; or</w:t>
      </w:r>
    </w:p>
    <w:p>
      <w:pPr>
        <w:spacing w:after="0" w:line="9" w:lineRule="exact"/>
        <w:rPr>
          <w:rFonts w:ascii="Times New Roman" w:cs="Times New Roman" w:eastAsia="Times New Roman" w:hAnsi="Times New Roman"/>
          <w:sz w:val="18"/>
          <w:szCs w:val="18"/>
          <w:color w:val="auto"/>
        </w:rPr>
      </w:pPr>
    </w:p>
    <w:p>
      <w:pPr>
        <w:ind w:left="302" w:hanging="302"/>
        <w:spacing w:after="0"/>
        <w:tabs>
          <w:tab w:leader="none" w:pos="30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laws.</w:t>
      </w:r>
    </w:p>
    <w:p>
      <w:pPr>
        <w:spacing w:after="0" w:line="85" w:lineRule="exact"/>
        <w:rPr>
          <w:sz w:val="20"/>
          <w:szCs w:val="20"/>
          <w:color w:val="auto"/>
        </w:rPr>
      </w:pPr>
    </w:p>
    <w:p>
      <w:pPr>
        <w:jc w:val="both"/>
        <w:ind w:left="2" w:right="740" w:firstLine="4"/>
        <w:spacing w:after="0" w:line="266" w:lineRule="auto"/>
        <w:rPr>
          <w:sz w:val="20"/>
          <w:szCs w:val="20"/>
          <w:color w:val="auto"/>
        </w:rPr>
      </w:pPr>
      <w:r>
        <w:rPr>
          <w:rFonts w:ascii="Times New Roman" w:cs="Times New Roman" w:eastAsia="Times New Roman" w:hAnsi="Times New Roman"/>
          <w:sz w:val="18"/>
          <w:szCs w:val="18"/>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50" w:lineRule="exact"/>
        <w:rPr>
          <w:sz w:val="20"/>
          <w:szCs w:val="20"/>
          <w:color w:val="auto"/>
        </w:rPr>
      </w:pPr>
    </w:p>
    <w:p>
      <w:pPr>
        <w:jc w:val="both"/>
        <w:ind w:left="2" w:firstLine="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Director's liability. </w:t>
      </w:r>
      <w:r>
        <w:rPr>
          <w:rFonts w:ascii="Times New Roman" w:cs="Times New Roman" w:eastAsia="Times New Roman" w:hAnsi="Times New Roman"/>
          <w:sz w:val="18"/>
          <w:szCs w:val="18"/>
          <w:color w:val="auto"/>
        </w:rPr>
        <w:t>We do not cover any damages for any covered person's actions or failure to act as an officer or member of a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corporation or organization. However, we do cover such damages if you are or a family member is an officer or member of a board of directors of a:</w:t>
      </w:r>
    </w:p>
    <w:p>
      <w:pPr>
        <w:ind w:left="582" w:hanging="582"/>
        <w:spacing w:after="0"/>
        <w:tabs>
          <w:tab w:leader="none" w:pos="58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homeowner, condominium or cooperative association; or</w:t>
      </w:r>
    </w:p>
    <w:p>
      <w:pPr>
        <w:spacing w:after="0" w:line="9" w:lineRule="exact"/>
        <w:rPr>
          <w:rFonts w:ascii="Times New Roman" w:cs="Times New Roman" w:eastAsia="Times New Roman" w:hAnsi="Times New Roman"/>
          <w:sz w:val="18"/>
          <w:szCs w:val="18"/>
          <w:color w:val="auto"/>
        </w:rPr>
      </w:pPr>
    </w:p>
    <w:p>
      <w:pPr>
        <w:ind w:left="2" w:right="3660" w:hanging="2"/>
        <w:spacing w:after="0" w:line="260" w:lineRule="auto"/>
        <w:tabs>
          <w:tab w:leader="none" w:pos="12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profit corporation or organization for which he or she is not compensated; unless another exclusion applies.</w:t>
      </w:r>
    </w:p>
    <w:p>
      <w:pPr>
        <w:spacing w:after="0" w:line="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Damage to covered person's property. </w:t>
      </w:r>
      <w:r>
        <w:rPr>
          <w:rFonts w:ascii="Times New Roman" w:cs="Times New Roman" w:eastAsia="Times New Roman" w:hAnsi="Times New Roman"/>
          <w:sz w:val="18"/>
          <w:szCs w:val="18"/>
          <w:color w:val="auto"/>
        </w:rPr>
        <w:t>We do not cover any person for property damage to property owned by any covered person.</w:t>
      </w:r>
    </w:p>
    <w:p>
      <w:pPr>
        <w:spacing w:after="0" w:line="131" w:lineRule="exact"/>
        <w:rPr>
          <w:sz w:val="20"/>
          <w:szCs w:val="20"/>
          <w:color w:val="auto"/>
        </w:rPr>
      </w:pPr>
    </w:p>
    <w:p>
      <w:pPr>
        <w:jc w:val="both"/>
        <w:ind w:left="2" w:right="7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Damage to property in your care. </w:t>
      </w:r>
      <w:r>
        <w:rPr>
          <w:rFonts w:ascii="Times New Roman" w:cs="Times New Roman" w:eastAsia="Times New Roman" w:hAnsi="Times New Roman"/>
          <w:sz w:val="18"/>
          <w:szCs w:val="18"/>
          <w:color w:val="auto"/>
        </w:rPr>
        <w:t>We do not cover any person for property damage to property of others rented to, occupied by, 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care of any covered person, to the extent that the covered person is required by contract to provide insurance. But we do cover such damages for loss caused by fire, smoke, or explosion unless another exclusion applies. This exclusion does not apply to property damage to a motorized land vehicle rented to a covered person if no underlying insurance is required under this policy and no underlying insurance exists.</w:t>
      </w:r>
    </w:p>
    <w:p>
      <w:pPr>
        <w:spacing w:after="0" w:line="71" w:lineRule="exact"/>
        <w:rPr>
          <w:sz w:val="20"/>
          <w:szCs w:val="20"/>
          <w:color w:val="auto"/>
        </w:rPr>
      </w:pPr>
    </w:p>
    <w:p>
      <w:pPr>
        <w:jc w:val="both"/>
        <w:ind w:left="2" w:right="640"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software or data. </w:t>
      </w:r>
      <w:r>
        <w:rPr>
          <w:rFonts w:ascii="Times New Roman" w:cs="Times New Roman" w:eastAsia="Times New Roman" w:hAnsi="Times New Roman"/>
          <w:sz w:val="18"/>
          <w:szCs w:val="18"/>
          <w:color w:val="auto"/>
        </w:rPr>
        <w:t>We do not cover any damages for the cost of recreating or replacing any software, data or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in electronic form.</w:t>
      </w:r>
    </w:p>
    <w:p>
      <w:pPr>
        <w:spacing w:after="0" w:line="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Wrongful employment act. </w:t>
      </w:r>
      <w:r>
        <w:rPr>
          <w:rFonts w:ascii="Times New Roman" w:cs="Times New Roman" w:eastAsia="Times New Roman" w:hAnsi="Times New Roman"/>
          <w:sz w:val="18"/>
          <w:szCs w:val="18"/>
          <w:color w:val="auto"/>
        </w:rPr>
        <w:t>We do not cover any damages arising out of a wrongful employment act.</w:t>
      </w:r>
    </w:p>
    <w:p>
      <w:pPr>
        <w:spacing w:after="0" w:line="117" w:lineRule="exact"/>
        <w:rPr>
          <w:sz w:val="20"/>
          <w:szCs w:val="20"/>
          <w:color w:val="auto"/>
        </w:rPr>
      </w:pPr>
    </w:p>
    <w:p>
      <w:pPr>
        <w:ind w:left="2" w:right="840"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Discrimination. </w:t>
      </w:r>
      <w:r>
        <w:rPr>
          <w:rFonts w:ascii="Times New Roman" w:cs="Times New Roman" w:eastAsia="Times New Roman" w:hAnsi="Times New Roman"/>
          <w:sz w:val="18"/>
          <w:szCs w:val="18"/>
          <w:color w:val="auto"/>
        </w:rPr>
        <w:t>We do not cover any damages arising out of discrimination due to age, race, color, sex, creed, national origin,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discrimination.</w:t>
      </w:r>
    </w:p>
    <w:p>
      <w:pPr>
        <w:spacing w:after="0" w:line="33" w:lineRule="exact"/>
        <w:rPr>
          <w:sz w:val="20"/>
          <w:szCs w:val="20"/>
          <w:color w:val="auto"/>
        </w:rPr>
      </w:pPr>
    </w:p>
    <w:p>
      <w:pPr>
        <w:jc w:val="both"/>
        <w:ind w:left="2" w:right="640" w:firstLine="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Intentional acts. </w:t>
      </w:r>
      <w:r>
        <w:rPr>
          <w:rFonts w:ascii="Times New Roman" w:cs="Times New Roman" w:eastAsia="Times New Roman" w:hAnsi="Times New Roman"/>
          <w:sz w:val="18"/>
          <w:szCs w:val="18"/>
          <w:color w:val="auto"/>
        </w:rPr>
        <w:t>We do not cover any damages arising out of a willful, malicious, criminal, fraudulent or dishonest act or any act intended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covered person to cause 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82" w:lineRule="exact"/>
        <w:rPr>
          <w:sz w:val="20"/>
          <w:szCs w:val="20"/>
          <w:color w:val="auto"/>
        </w:rPr>
      </w:pPr>
    </w:p>
    <w:p>
      <w:pPr>
        <w:ind w:left="2" w:right="580"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Punitive damages. </w:t>
      </w:r>
      <w:r>
        <w:rPr>
          <w:rFonts w:ascii="Times New Roman" w:cs="Times New Roman" w:eastAsia="Times New Roman" w:hAnsi="Times New Roman"/>
          <w:sz w:val="18"/>
          <w:szCs w:val="18"/>
          <w:color w:val="auto"/>
        </w:rPr>
        <w:t>We do not cover any punitive damages, including but not limited to, fines, penalties, punitive damages, exemplary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or multiplied damages.</w:t>
      </w:r>
    </w:p>
    <w:p>
      <w:pPr>
        <w:spacing w:after="0" w:line="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Molestation, misconduct or abuse. </w:t>
      </w:r>
      <w:r>
        <w:rPr>
          <w:rFonts w:ascii="Times New Roman" w:cs="Times New Roman" w:eastAsia="Times New Roman" w:hAnsi="Times New Roman"/>
          <w:sz w:val="18"/>
          <w:szCs w:val="18"/>
          <w:color w:val="auto"/>
        </w:rPr>
        <w:t>We do not cover any damages arising out of any actual, alleged or threatened:</w:t>
      </w:r>
    </w:p>
    <w:p>
      <w:pPr>
        <w:spacing w:after="0" w:line="31" w:lineRule="exact"/>
        <w:rPr>
          <w:sz w:val="20"/>
          <w:szCs w:val="20"/>
          <w:color w:val="auto"/>
        </w:rPr>
      </w:pPr>
    </w:p>
    <w:p>
      <w:pPr>
        <w:ind w:left="422" w:hanging="422"/>
        <w:spacing w:after="0"/>
        <w:tabs>
          <w:tab w:leader="none" w:pos="42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molestation;</w:t>
      </w:r>
    </w:p>
    <w:p>
      <w:pPr>
        <w:spacing w:after="0" w:line="9"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misconduct or harassment; or</w:t>
      </w:r>
    </w:p>
    <w:p>
      <w:pPr>
        <w:spacing w:after="0" w:line="9"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w:t>
      </w:r>
    </w:p>
    <w:p>
      <w:pPr>
        <w:spacing w:after="0" w:line="99" w:lineRule="exact"/>
        <w:rPr>
          <w:sz w:val="20"/>
          <w:szCs w:val="20"/>
          <w:color w:val="auto"/>
        </w:rPr>
      </w:pPr>
    </w:p>
    <w:p>
      <w:pPr>
        <w:jc w:val="both"/>
        <w:ind w:left="2" w:right="380" w:firstLine="11"/>
        <w:spacing w:after="0" w:line="266" w:lineRule="auto"/>
        <w:rPr>
          <w:sz w:val="20"/>
          <w:szCs w:val="20"/>
          <w:color w:val="auto"/>
        </w:rPr>
      </w:pPr>
      <w:r>
        <w:rPr>
          <w:rFonts w:ascii="Times New Roman" w:cs="Times New Roman" w:eastAsia="Times New Roman" w:hAnsi="Times New Roman"/>
          <w:sz w:val="18"/>
          <w:szCs w:val="18"/>
          <w:color w:val="auto"/>
        </w:rPr>
        <w:t>Further, this exclusion applies to the entirety of all allegations in any claim or suit, if such claim or suit includes an allegation of or reference to any actual, alleged or threatened, sexual molestation, sexual misconduct or harassment, or abuse, even if this insurance would otherwise apply to any part of the allegations in the claim or suit.</w:t>
      </w:r>
    </w:p>
    <w:p>
      <w:pPr>
        <w:spacing w:after="0" w:line="64" w:lineRule="exact"/>
        <w:rPr>
          <w:sz w:val="20"/>
          <w:szCs w:val="20"/>
          <w:color w:val="auto"/>
        </w:rPr>
      </w:pPr>
    </w:p>
    <w:p>
      <w:pPr>
        <w:ind w:left="2" w:right="860" w:firstLine="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Nonpermissive use. </w:t>
      </w:r>
      <w:r>
        <w:rPr>
          <w:rFonts w:ascii="Times New Roman" w:cs="Times New Roman" w:eastAsia="Times New Roman" w:hAnsi="Times New Roman"/>
          <w:sz w:val="18"/>
          <w:szCs w:val="18"/>
          <w:color w:val="auto"/>
        </w:rPr>
        <w:t>We do not cover any person who uses a motorized land vehicle or watercraft without expressed permission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or a family member.</w:t>
      </w:r>
    </w:p>
    <w:p>
      <w:pPr>
        <w:spacing w:after="0" w:line="47" w:lineRule="exact"/>
        <w:rPr>
          <w:sz w:val="20"/>
          <w:szCs w:val="20"/>
          <w:color w:val="auto"/>
        </w:rPr>
      </w:pPr>
    </w:p>
    <w:p>
      <w:pPr>
        <w:ind w:left="2" w:right="1060" w:hanging="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pursuits. </w:t>
      </w:r>
      <w:r>
        <w:rPr>
          <w:rFonts w:ascii="Times New Roman" w:cs="Times New Roman" w:eastAsia="Times New Roman" w:hAnsi="Times New Roman"/>
          <w:sz w:val="18"/>
          <w:szCs w:val="18"/>
          <w:color w:val="auto"/>
        </w:rPr>
        <w:t>We do not cover any damages arising out of business activities or business property in which a covered person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or other interest or is conducted by or on behalf of a covered person or others, except on a follow form basis.</w:t>
      </w:r>
    </w:p>
    <w:p>
      <w:pPr>
        <w:spacing w:after="0" w:line="64" w:lineRule="exact"/>
        <w:rPr>
          <w:sz w:val="20"/>
          <w:szCs w:val="20"/>
          <w:color w:val="auto"/>
        </w:rPr>
      </w:pPr>
    </w:p>
    <w:p>
      <w:pPr>
        <w:ind w:left="2" w:right="540" w:firstLine="4"/>
        <w:spacing w:after="0" w:line="258" w:lineRule="auto"/>
        <w:rPr>
          <w:sz w:val="20"/>
          <w:szCs w:val="20"/>
          <w:color w:val="auto"/>
        </w:rPr>
      </w:pPr>
      <w:r>
        <w:rPr>
          <w:rFonts w:ascii="Times New Roman" w:cs="Times New Roman" w:eastAsia="Times New Roman" w:hAnsi="Times New Roman"/>
          <w:sz w:val="18"/>
          <w:szCs w:val="18"/>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sectPr>
          <w:pgSz w:w="11900" w:h="16838" w:orient="portrait"/>
          <w:cols w:equalWidth="0" w:num="1">
            <w:col w:w="10722"/>
          </w:cols>
          <w:pgMar w:left="838" w:top="1215" w:right="339" w:bottom="1440" w:gutter="0" w:footer="0" w:header="0"/>
        </w:sectPr>
      </w:pPr>
    </w:p>
    <w:bookmarkStart w:id="96" w:name="page97"/>
    <w:bookmarkEnd w:id="96"/>
    <w:p>
      <w:pPr>
        <w:jc w:val="both"/>
        <w:ind w:left="20" w:right="680" w:firstLine="4"/>
        <w:spacing w:after="0" w:line="257" w:lineRule="auto"/>
        <w:rPr>
          <w:sz w:val="20"/>
          <w:szCs w:val="20"/>
          <w:color w:val="auto"/>
        </w:rPr>
      </w:pPr>
      <w:r>
        <w:rPr>
          <w:rFonts w:ascii="Times New Roman" w:cs="Times New Roman" w:eastAsia="Times New Roman" w:hAnsi="Times New Roman"/>
          <w:sz w:val="18"/>
          <w:szCs w:val="18"/>
          <w:color w:val="auto"/>
        </w:rPr>
        <w:t>"Incidental business away from home" is a self-employed sales activity, or a self-employed business activity normally undertaken by persons under the age of 18 or if a full-time student, under the age of 21, such as newspaper delivery, babysitting, caddying, and lawn care. Either of these activities must:</w:t>
      </w:r>
    </w:p>
    <w:p>
      <w:pPr>
        <w:spacing w:after="0" w:line="1" w:lineRule="exact"/>
        <w:rPr>
          <w:sz w:val="20"/>
          <w:szCs w:val="20"/>
          <w:color w:val="auto"/>
        </w:rPr>
      </w:pPr>
    </w:p>
    <w:p>
      <w:pPr>
        <w:ind w:left="480" w:hanging="463"/>
        <w:spacing w:after="0"/>
        <w:tabs>
          <w:tab w:leader="none" w:pos="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w:t>
      </w:r>
    </w:p>
    <w:p>
      <w:pPr>
        <w:spacing w:after="0" w:line="9" w:lineRule="exact"/>
        <w:rPr>
          <w:rFonts w:ascii="Times New Roman" w:cs="Times New Roman" w:eastAsia="Times New Roman" w:hAnsi="Times New Roman"/>
          <w:sz w:val="18"/>
          <w:szCs w:val="18"/>
          <w:color w:val="auto"/>
        </w:rPr>
      </w:pPr>
    </w:p>
    <w:p>
      <w:pPr>
        <w:ind w:left="480" w:hanging="462"/>
        <w:spacing w:after="0"/>
        <w:tabs>
          <w:tab w:leader="none" w:pos="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any worker's compensation, disability benefits, unemployment compensation or other similar laws; and</w:t>
      </w:r>
    </w:p>
    <w:p>
      <w:pPr>
        <w:spacing w:after="0" w:line="22"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99" w:lineRule="exact"/>
        <w:rPr>
          <w:sz w:val="20"/>
          <w:szCs w:val="20"/>
          <w:color w:val="auto"/>
        </w:rPr>
      </w:pPr>
    </w:p>
    <w:p>
      <w:pPr>
        <w:ind w:left="20" w:right="440" w:firstLine="6"/>
        <w:spacing w:after="0" w:line="261" w:lineRule="auto"/>
        <w:rPr>
          <w:sz w:val="20"/>
          <w:szCs w:val="20"/>
          <w:color w:val="auto"/>
        </w:rPr>
      </w:pPr>
      <w:r>
        <w:rPr>
          <w:rFonts w:ascii="Times New Roman" w:cs="Times New Roman" w:eastAsia="Times New Roman" w:hAnsi="Times New Roman"/>
          <w:sz w:val="18"/>
          <w:szCs w:val="18"/>
          <w:color w:val="auto"/>
        </w:rPr>
        <w:t>"Incidental business at home" is a business activity, other than farming, conducted by you in whole or in part on your residence premises which must:</w:t>
      </w:r>
    </w:p>
    <w:p>
      <w:pPr>
        <w:ind w:left="480" w:right="1000" w:hanging="462"/>
        <w:spacing w:after="0" w:line="250" w:lineRule="auto"/>
        <w:tabs>
          <w:tab w:leader="none" w:pos="47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yield gross revenues in excess of $15,000, in any year, except for the business activity of managing one's own personal investments;</w:t>
      </w:r>
    </w:p>
    <w:p>
      <w:pPr>
        <w:ind w:left="460" w:hanging="443"/>
        <w:spacing w:after="0"/>
        <w:tabs>
          <w:tab w:leader="none" w:pos="4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employees subject to worker's compensation, disability benefits, unemployment compensation or other similar laws;</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to local, state, and federal laws.</w:t>
      </w:r>
    </w:p>
    <w:p>
      <w:pPr>
        <w:spacing w:after="0" w:line="112" w:lineRule="exact"/>
        <w:rPr>
          <w:sz w:val="20"/>
          <w:szCs w:val="20"/>
          <w:color w:val="auto"/>
        </w:rPr>
      </w:pPr>
    </w:p>
    <w:p>
      <w:pPr>
        <w:jc w:val="both"/>
        <w:ind w:left="20" w:right="240" w:hanging="3"/>
        <w:spacing w:after="0" w:line="266" w:lineRule="auto"/>
        <w:rPr>
          <w:sz w:val="20"/>
          <w:szCs w:val="20"/>
          <w:color w:val="auto"/>
        </w:rPr>
      </w:pPr>
      <w:r>
        <w:rPr>
          <w:rFonts w:ascii="Times New Roman" w:cs="Times New Roman" w:eastAsia="Times New Roman" w:hAnsi="Times New Roman"/>
          <w:sz w:val="18"/>
          <w:szCs w:val="18"/>
          <w:color w:val="auto"/>
        </w:rPr>
        <w:t>"Incidental business at home" does not include business related to the use, sale, manufacturing, growing, delivering, transferring or processing of cannabis or any good or product that consists of or contains any amount of Tetrahydrocannabinol (THC) or any other cannabinoid, whether natural or synthetic.</w:t>
      </w:r>
    </w:p>
    <w:p>
      <w:pPr>
        <w:spacing w:after="0" w:line="27" w:lineRule="exact"/>
        <w:rPr>
          <w:sz w:val="20"/>
          <w:szCs w:val="20"/>
          <w:color w:val="auto"/>
        </w:rPr>
      </w:pPr>
    </w:p>
    <w:p>
      <w:pPr>
        <w:jc w:val="both"/>
        <w:ind w:right="140" w:firstLine="3"/>
        <w:spacing w:after="0" w:line="261" w:lineRule="auto"/>
        <w:rPr>
          <w:sz w:val="20"/>
          <w:szCs w:val="20"/>
          <w:color w:val="auto"/>
        </w:rPr>
      </w:pPr>
      <w:r>
        <w:rPr>
          <w:rFonts w:ascii="Times New Roman" w:cs="Times New Roman" w:eastAsia="Times New Roman" w:hAnsi="Times New Roman"/>
          <w:sz w:val="18"/>
          <w:szCs w:val="18"/>
          <w:color w:val="auto"/>
        </w:rPr>
        <w:t xml:space="preserve">"Incidental business property" is limited to the rental or holding for rental, to be used as a residence, of a condominium or cooperative unit owned by a covered person, an apartment unit rented by a covered person, a one or two family dwelling owned by a covered person, or a three or four family dwelling owned by a covered person and occupied by you.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provide this coverage only for premises covered under the Required Primary Underlying Insurance or if the rental or holding for rental is for:</w:t>
      </w:r>
    </w:p>
    <w:p>
      <w:pPr>
        <w:spacing w:after="0" w:line="4" w:lineRule="exact"/>
        <w:rPr>
          <w:sz w:val="20"/>
          <w:szCs w:val="20"/>
          <w:color w:val="auto"/>
        </w:rPr>
      </w:pPr>
    </w:p>
    <w:p>
      <w:pPr>
        <w:ind w:left="460" w:hanging="443"/>
        <w:spacing w:after="0"/>
        <w:tabs>
          <w:tab w:leader="none" w:pos="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residence of yours that is occasionally rented and that is used exclusively as a residence; or</w:t>
      </w:r>
    </w:p>
    <w:p>
      <w:pPr>
        <w:spacing w:after="0" w:line="27"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by one or two roomers or boarders; or</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a residence of yours as an office, school, studio, or private garage.</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"Incidental farming" is a farming activity which meets all of the following requirements:</w:t>
      </w:r>
    </w:p>
    <w:p>
      <w:pPr>
        <w:spacing w:after="0" w:line="27" w:lineRule="exact"/>
        <w:rPr>
          <w:sz w:val="20"/>
          <w:szCs w:val="20"/>
          <w:color w:val="auto"/>
        </w:rPr>
      </w:pPr>
    </w:p>
    <w:p>
      <w:pPr>
        <w:ind w:left="440" w:hanging="423"/>
        <w:spacing w:after="0"/>
        <w:tabs>
          <w:tab w:leader="none" w:pos="4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incidental to your use of the premises as your residence;</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employment of others for more than 1,500 hours of farm work during the policy period;</w:t>
      </w:r>
    </w:p>
    <w:p>
      <w:pPr>
        <w:spacing w:after="0" w:line="9" w:lineRule="exact"/>
        <w:rPr>
          <w:rFonts w:ascii="Times New Roman" w:cs="Times New Roman" w:eastAsia="Times New Roman" w:hAnsi="Times New Roman"/>
          <w:sz w:val="18"/>
          <w:szCs w:val="18"/>
          <w:color w:val="auto"/>
        </w:rPr>
      </w:pPr>
    </w:p>
    <w:p>
      <w:pPr>
        <w:ind w:left="140" w:hanging="122"/>
        <w:spacing w:after="0"/>
        <w:tabs>
          <w:tab w:leader="none" w:pos="1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$25,000 in gross annual revenue from agricultural operations; and with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respect to the raising or care of animals:</w:t>
      </w:r>
    </w:p>
    <w:p>
      <w:pPr>
        <w:spacing w:after="0" w:line="9" w:lineRule="exact"/>
        <w:rPr>
          <w:sz w:val="20"/>
          <w:szCs w:val="20"/>
          <w:color w:val="auto"/>
        </w:rPr>
      </w:pPr>
    </w:p>
    <w:p>
      <w:pPr>
        <w:ind w:left="440" w:hanging="423"/>
        <w:spacing w:after="0"/>
        <w:tabs>
          <w:tab w:leader="none" w:pos="4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produce more than $50,000 in gross annual revenues;</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more than 25 sales transactions during the policy period;</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the sale of more than 50 animals during the policy period.</w:t>
      </w:r>
    </w:p>
    <w:p>
      <w:pPr>
        <w:spacing w:after="0" w:line="85" w:lineRule="exact"/>
        <w:rPr>
          <w:sz w:val="20"/>
          <w:szCs w:val="20"/>
          <w:color w:val="auto"/>
        </w:rPr>
      </w:pPr>
    </w:p>
    <w:p>
      <w:pPr>
        <w:ind w:left="20" w:right="260" w:firstLine="3"/>
        <w:spacing w:after="0" w:line="266" w:lineRule="auto"/>
        <w:rPr>
          <w:sz w:val="20"/>
          <w:szCs w:val="20"/>
          <w:color w:val="auto"/>
        </w:rPr>
      </w:pPr>
      <w:r>
        <w:rPr>
          <w:rFonts w:ascii="Times New Roman" w:cs="Times New Roman" w:eastAsia="Times New Roman" w:hAnsi="Times New Roman"/>
          <w:sz w:val="18"/>
          <w:szCs w:val="18"/>
          <w:color w:val="auto"/>
        </w:rPr>
        <w:t>"Incidental farming" does not include farming related to the use, sale, manufacturing, growing, delivering, transferring or processing of cannabis or any good or product that consists of or contains any amount of Tetrahydrocannabinol (THC) or any other cannabinoid, whether natural or synthetic.</w:t>
      </w:r>
    </w:p>
    <w:p>
      <w:pPr>
        <w:spacing w:after="0" w:line="68" w:lineRule="exact"/>
        <w:rPr>
          <w:sz w:val="20"/>
          <w:szCs w:val="20"/>
          <w:color w:val="auto"/>
        </w:rPr>
      </w:pPr>
    </w:p>
    <w:p>
      <w:pPr>
        <w:jc w:val="both"/>
        <w:ind w:left="20" w:right="140" w:firstLine="12"/>
        <w:spacing w:after="0" w:line="257" w:lineRule="auto"/>
        <w:rPr>
          <w:sz w:val="20"/>
          <w:szCs w:val="20"/>
          <w:color w:val="auto"/>
        </w:rPr>
      </w:pPr>
      <w:r>
        <w:rPr>
          <w:rFonts w:ascii="Times New Roman" w:cs="Times New Roman" w:eastAsia="Times New Roman" w:hAnsi="Times New Roman"/>
          <w:sz w:val="18"/>
          <w:szCs w:val="18"/>
          <w:color w:val="auto"/>
        </w:rPr>
        <w:t>"Residence premises conditional business liability" is limited to business or professional activities when legally conducted by you or a family member at your residence. If there is no other valid and collectible insurance, we provide coverage only for personal injury or property damage arising out of the physical condition of that residence if:</w:t>
      </w:r>
    </w:p>
    <w:p>
      <w:pPr>
        <w:spacing w:after="0" w:line="1" w:lineRule="exact"/>
        <w:rPr>
          <w:sz w:val="20"/>
          <w:szCs w:val="20"/>
          <w:color w:val="auto"/>
        </w:rPr>
      </w:pPr>
    </w:p>
    <w:p>
      <w:pPr>
        <w:jc w:val="both"/>
        <w:ind w:left="480" w:right="180" w:hanging="462"/>
        <w:spacing w:after="0" w:line="250" w:lineRule="auto"/>
        <w:tabs>
          <w:tab w:leader="none" w:pos="47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any employees involved in your business or professional activities who are subject to any workers' compensation, disability benefits, unemployment compensation, or other similar laws; or, if you are a doctor or dentist, you do not have more than two employees subject to such laws; or</w:t>
      </w:r>
    </w:p>
    <w:p>
      <w:pPr>
        <w:spacing w:after="0" w:line="1" w:lineRule="exact"/>
        <w:rPr>
          <w:rFonts w:ascii="Times New Roman" w:cs="Times New Roman" w:eastAsia="Times New Roman" w:hAnsi="Times New Roman"/>
          <w:sz w:val="18"/>
          <w:szCs w:val="18"/>
          <w:color w:val="auto"/>
        </w:rPr>
      </w:pPr>
    </w:p>
    <w:p>
      <w:pPr>
        <w:ind w:left="460" w:hanging="443"/>
        <w:spacing w:after="0"/>
        <w:tabs>
          <w:tab w:leader="none" w:pos="4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home day care provider whose annual gross revenues from this activity do not exceed $5,000.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cover damages or consequences resulting from business or professional care or services performed or not performed.</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following additional exclusion applies only to "incidental farming" as described under the exclusion, Business pursuits.</w:t>
      </w:r>
    </w:p>
    <w:p>
      <w:pPr>
        <w:spacing w:after="0" w:line="117" w:lineRule="exact"/>
        <w:rPr>
          <w:sz w:val="20"/>
          <w:szCs w:val="20"/>
          <w:color w:val="auto"/>
        </w:rPr>
      </w:pPr>
    </w:p>
    <w:p>
      <w:pPr>
        <w:ind w:left="20" w:firstLine="3"/>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Contamination. </w:t>
      </w:r>
      <w:r>
        <w:rPr>
          <w:rFonts w:ascii="Times New Roman" w:cs="Times New Roman" w:eastAsia="Times New Roman" w:hAnsi="Times New Roman"/>
          <w:sz w:val="18"/>
          <w:szCs w:val="18"/>
          <w:color w:val="auto"/>
        </w:rPr>
        <w:t>We do not cover any actual or alleged damages arising out of the discharge, dispersal, seepage, migration or release or escape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pollutants. Nor do we cover any cost or expense arising out of any request, demand or order to:</w:t>
      </w:r>
    </w:p>
    <w:p>
      <w:pPr>
        <w:spacing w:after="0" w:line="1" w:lineRule="exact"/>
        <w:rPr>
          <w:sz w:val="20"/>
          <w:szCs w:val="20"/>
          <w:color w:val="auto"/>
        </w:rPr>
      </w:pPr>
    </w:p>
    <w:p>
      <w:pPr>
        <w:ind w:left="440" w:hanging="423"/>
        <w:spacing w:after="0"/>
        <w:tabs>
          <w:tab w:leader="none" w:pos="4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 pollutants from land or water;</w:t>
      </w:r>
    </w:p>
    <w:p>
      <w:pPr>
        <w:spacing w:after="0" w:line="9" w:lineRule="exact"/>
        <w:rPr>
          <w:rFonts w:ascii="Times New Roman" w:cs="Times New Roman" w:eastAsia="Times New Roman" w:hAnsi="Times New Roman"/>
          <w:sz w:val="18"/>
          <w:szCs w:val="18"/>
          <w:color w:val="auto"/>
        </w:rPr>
      </w:pPr>
    </w:p>
    <w:p>
      <w:pPr>
        <w:ind w:left="440" w:hanging="423"/>
        <w:spacing w:after="0"/>
        <w:tabs>
          <w:tab w:leader="none" w:pos="4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restore or replace polluted or contaminated land or water; or</w:t>
      </w:r>
    </w:p>
    <w:p>
      <w:pPr>
        <w:spacing w:after="0" w:line="9" w:lineRule="exact"/>
        <w:rPr>
          <w:rFonts w:ascii="Times New Roman" w:cs="Times New Roman" w:eastAsia="Times New Roman" w:hAnsi="Times New Roman"/>
          <w:sz w:val="18"/>
          <w:szCs w:val="18"/>
          <w:color w:val="auto"/>
        </w:rPr>
      </w:pPr>
    </w:p>
    <w:p>
      <w:pPr>
        <w:ind w:left="480" w:right="1120" w:hanging="463"/>
        <w:spacing w:after="0" w:line="260" w:lineRule="auto"/>
        <w:tabs>
          <w:tab w:leader="none" w:pos="4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for, monitor, clean up, remove, contain, treat, detoxify or neutralize pollutants, or in any way respond to or assess the effects of pollutants.</w:t>
      </w:r>
    </w:p>
    <w:p>
      <w:pPr>
        <w:sectPr>
          <w:pgSz w:w="11900" w:h="16838" w:orient="portrait"/>
          <w:cols w:equalWidth="0" w:num="1">
            <w:col w:w="10300"/>
          </w:cols>
          <w:pgMar w:left="820" w:top="1323" w:right="779" w:bottom="1440" w:gutter="0" w:footer="0" w:header="0"/>
        </w:sectPr>
      </w:pPr>
    </w:p>
    <w:bookmarkStart w:id="97" w:name="page98"/>
    <w:bookmarkEnd w:id="97"/>
    <w:p>
      <w:pPr>
        <w:jc w:val="both"/>
        <w:ind w:left="3" w:right="40" w:firstLine="2"/>
        <w:spacing w:after="0" w:line="261" w:lineRule="auto"/>
        <w:rPr>
          <w:sz w:val="20"/>
          <w:szCs w:val="20"/>
          <w:color w:val="auto"/>
        </w:rPr>
      </w:pPr>
      <w:r>
        <w:rPr>
          <w:rFonts w:ascii="Times New Roman" w:cs="Times New Roman" w:eastAsia="Times New Roman" w:hAnsi="Times New Roman"/>
          <w:sz w:val="18"/>
          <w:szCs w:val="18"/>
          <w:color w:val="auto"/>
        </w:rPr>
        <w:t>However, this exclusion does not apply if the discharge, dispersal, seepage, migration, relea5e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68" w:lineRule="exact"/>
        <w:rPr>
          <w:sz w:val="20"/>
          <w:szCs w:val="20"/>
          <w:color w:val="auto"/>
        </w:rPr>
      </w:pPr>
    </w:p>
    <w:p>
      <w:pPr>
        <w:ind w:left="3" w:firstLine="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Communicable disease. </w:t>
      </w:r>
      <w:r>
        <w:rPr>
          <w:rFonts w:ascii="Times New Roman" w:cs="Times New Roman" w:eastAsia="Times New Roman" w:hAnsi="Times New Roman"/>
          <w:sz w:val="18"/>
          <w:szCs w:val="18"/>
          <w:color w:val="auto"/>
        </w:rPr>
        <w:t>We do not cover any actual or alleged damages arising out of any virus, bacteria, or other microorganism(s)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induce(s) or is capable of inducing physical distress, illness, or disease, or the fear or threat (whether actual or perceived) of any such virus, bacteria, or microorganism, including any and all damage, liability, or expenses directly or indirectly caused by any action or inaction of a covered person or any action or order of a government undertaken in response to, or intended to detect, control, prevent, suppress, mitigate or remediate, the actual, suspected, or anticipated presence of any virus, bacteria or other microorganism that induces, or is capable of inducing physical distress, illness, or disease.</w:t>
      </w:r>
    </w:p>
    <w:p>
      <w:pPr>
        <w:spacing w:after="0" w:line="78" w:lineRule="exact"/>
        <w:rPr>
          <w:sz w:val="20"/>
          <w:szCs w:val="20"/>
          <w:color w:val="auto"/>
        </w:rPr>
      </w:pPr>
    </w:p>
    <w:p>
      <w:pPr>
        <w:ind w:left="3" w:firstLine="2"/>
        <w:spacing w:after="0" w:line="282" w:lineRule="auto"/>
        <w:rPr>
          <w:sz w:val="20"/>
          <w:szCs w:val="20"/>
          <w:color w:val="auto"/>
        </w:rPr>
      </w:pPr>
      <w:r>
        <w:rPr>
          <w:rFonts w:ascii="Times New Roman" w:cs="Times New Roman" w:eastAsia="Times New Roman" w:hAnsi="Times New Roman"/>
          <w:sz w:val="18"/>
          <w:szCs w:val="18"/>
          <w:color w:val="auto"/>
        </w:rPr>
        <w:t>This exclusion does not apply to damage arising out of or caused by fungi or mold, or any mycotoxins, spores, scents, or other by­products of fungi or mold.</w:t>
      </w:r>
    </w:p>
    <w:p>
      <w:pPr>
        <w:spacing w:after="0" w:line="50" w:lineRule="exact"/>
        <w:rPr>
          <w:sz w:val="20"/>
          <w:szCs w:val="20"/>
          <w:color w:val="auto"/>
        </w:rPr>
      </w:pPr>
    </w:p>
    <w:p>
      <w:pPr>
        <w:ind w:left="3" w:right="5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Controlled Substance. </w:t>
      </w:r>
      <w:r>
        <w:rPr>
          <w:rFonts w:ascii="Times New Roman" w:cs="Times New Roman" w:eastAsia="Times New Roman" w:hAnsi="Times New Roman"/>
          <w:sz w:val="18"/>
          <w:szCs w:val="18"/>
          <w:color w:val="auto"/>
        </w:rPr>
        <w:t>We do not cover any damages arising out of the use, sale, manufacture, delivery, transfer or possession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of a Controlled Substance as defined by the Federal Food and Drug Law at 21 U.S.C.A. Sections 811 and 812.</w:t>
      </w:r>
    </w:p>
    <w:p>
      <w:pPr>
        <w:spacing w:after="0" w:line="1" w:lineRule="exact"/>
        <w:rPr>
          <w:sz w:val="20"/>
          <w:szCs w:val="20"/>
          <w:color w:val="auto"/>
        </w:rPr>
      </w:pPr>
    </w:p>
    <w:p>
      <w:pPr>
        <w:ind w:left="3" w:right="520" w:hanging="5"/>
        <w:spacing w:after="0" w:line="260" w:lineRule="auto"/>
        <w:rPr>
          <w:sz w:val="20"/>
          <w:szCs w:val="20"/>
          <w:color w:val="auto"/>
        </w:rPr>
      </w:pPr>
      <w:r>
        <w:rPr>
          <w:rFonts w:ascii="Times New Roman" w:cs="Times New Roman" w:eastAsia="Times New Roman" w:hAnsi="Times New Roman"/>
          <w:sz w:val="18"/>
          <w:szCs w:val="18"/>
          <w:color w:val="auto"/>
        </w:rPr>
        <w:t>Controlled Substances include but are not limited to cocaine, LSD, marijuana and all narcotic drugs. However, this exclusion does not apply to the legitimate use of prescription drugs by a person following the lawful orders of a licensed healthcare professional.</w:t>
      </w:r>
    </w:p>
    <w:p>
      <w:pPr>
        <w:spacing w:after="0" w:line="69" w:lineRule="exact"/>
        <w:rPr>
          <w:sz w:val="20"/>
          <w:szCs w:val="20"/>
          <w:color w:val="auto"/>
        </w:rPr>
      </w:pPr>
    </w:p>
    <w:p>
      <w:pPr>
        <w:ind w:left="3" w:right="160" w:firstLine="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Pursuit or holding of public office. </w:t>
      </w:r>
      <w:r>
        <w:rPr>
          <w:rFonts w:ascii="Times New Roman" w:cs="Times New Roman" w:eastAsia="Times New Roman" w:hAnsi="Times New Roman"/>
          <w:sz w:val="18"/>
          <w:szCs w:val="18"/>
          <w:color w:val="auto"/>
        </w:rPr>
        <w:t>We do not cover any damages arising out of a covered person's pursuit or holding of an elected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But we do cover such damages for you or a family member if:</w:t>
      </w:r>
    </w:p>
    <w:p>
      <w:pPr>
        <w:spacing w:after="0" w:line="1" w:lineRule="exact"/>
        <w:rPr>
          <w:sz w:val="20"/>
          <w:szCs w:val="20"/>
          <w:color w:val="auto"/>
        </w:rPr>
      </w:pPr>
    </w:p>
    <w:p>
      <w:pPr>
        <w:ind w:left="463" w:hanging="463"/>
        <w:spacing w:after="0"/>
        <w:tabs>
          <w:tab w:leader="none" w:pos="46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compensation of the office, whether accepted or not, does not exceed $20,000; and</w:t>
      </w:r>
    </w:p>
    <w:p>
      <w:pPr>
        <w:spacing w:after="0" w:line="9" w:lineRule="exact"/>
        <w:rPr>
          <w:rFonts w:ascii="Times New Roman" w:cs="Times New Roman" w:eastAsia="Times New Roman" w:hAnsi="Times New Roman"/>
          <w:sz w:val="18"/>
          <w:szCs w:val="18"/>
          <w:color w:val="auto"/>
        </w:rPr>
      </w:pPr>
    </w:p>
    <w:p>
      <w:pPr>
        <w:ind w:left="463" w:right="600" w:hanging="462"/>
        <w:spacing w:after="0" w:line="260" w:lineRule="auto"/>
        <w:tabs>
          <w:tab w:leader="none" w:pos="4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hours required to perform the duties of the office do not exceed an annual average of 20 hours of work per week during the policy period.</w:t>
      </w:r>
    </w:p>
    <w:p>
      <w:pPr>
        <w:spacing w:after="0" w:line="69" w:lineRule="exact"/>
        <w:rPr>
          <w:sz w:val="20"/>
          <w:szCs w:val="20"/>
          <w:color w:val="auto"/>
        </w:rPr>
      </w:pPr>
    </w:p>
    <w:p>
      <w:pPr>
        <w:ind w:left="3" w:right="520"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guarantees. </w:t>
      </w:r>
      <w:r>
        <w:rPr>
          <w:rFonts w:ascii="Times New Roman" w:cs="Times New Roman" w:eastAsia="Times New Roman" w:hAnsi="Times New Roman"/>
          <w:sz w:val="18"/>
          <w:szCs w:val="18"/>
          <w:color w:val="auto"/>
        </w:rPr>
        <w:t>We do not cover any damages for any covered person's financial guarantee of the financial performance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other individual or organization.</w:t>
      </w:r>
    </w:p>
    <w:p>
      <w:pPr>
        <w:spacing w:after="0" w:line="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Cyber disruption. </w:t>
      </w:r>
      <w:r>
        <w:rPr>
          <w:rFonts w:ascii="Times New Roman" w:cs="Times New Roman" w:eastAsia="Times New Roman" w:hAnsi="Times New Roman"/>
          <w:sz w:val="18"/>
          <w:szCs w:val="18"/>
          <w:color w:val="auto"/>
        </w:rPr>
        <w:t>We do not cover any damages arising out of a cyber attack.</w:t>
      </w:r>
    </w:p>
    <w:p>
      <w:pPr>
        <w:spacing w:after="0" w:line="121" w:lineRule="exact"/>
        <w:rPr>
          <w:sz w:val="20"/>
          <w:szCs w:val="20"/>
          <w:color w:val="auto"/>
        </w:rPr>
      </w:pPr>
    </w:p>
    <w:p>
      <w:pPr>
        <w:ind w:left="3" w:right="20" w:hanging="3"/>
        <w:spacing w:after="0" w:line="261" w:lineRule="auto"/>
        <w:rPr>
          <w:sz w:val="20"/>
          <w:szCs w:val="20"/>
          <w:color w:val="auto"/>
        </w:rPr>
      </w:pPr>
      <w:r>
        <w:rPr>
          <w:rFonts w:ascii="Times New Roman" w:cs="Times New Roman" w:eastAsia="Times New Roman" w:hAnsi="Times New Roman"/>
          <w:sz w:val="18"/>
          <w:szCs w:val="18"/>
          <w:color w:val="auto"/>
        </w:rPr>
        <w:t>"Cyber attack" means the following malicious or fraudulent acts: unauthorized access to or use of electronic data processing property; alteration, corruption, damage, reduction in functionality, manipulation, misappropriation, theft, deletion, or destruction of electronic data processing property; transmission or introduction of a computer virus or harmful code, including ransomware, into electronic data processing property; or restriction or inhibition of access targeted at or directed against electronic data processing property.</w:t>
      </w:r>
    </w:p>
    <w:p>
      <w:pPr>
        <w:spacing w:after="0" w:line="72" w:lineRule="exact"/>
        <w:rPr>
          <w:sz w:val="20"/>
          <w:szCs w:val="20"/>
          <w:color w:val="auto"/>
        </w:rPr>
      </w:pPr>
    </w:p>
    <w:p>
      <w:pPr>
        <w:ind w:left="3" w:right="180" w:hanging="3"/>
        <w:spacing w:after="0" w:line="261" w:lineRule="auto"/>
        <w:rPr>
          <w:sz w:val="20"/>
          <w:szCs w:val="20"/>
          <w:color w:val="auto"/>
        </w:rPr>
      </w:pPr>
      <w:r>
        <w:rPr>
          <w:rFonts w:ascii="Times New Roman" w:cs="Times New Roman" w:eastAsia="Times New Roman" w:hAnsi="Times New Roman"/>
          <w:sz w:val="18"/>
          <w:szCs w:val="18"/>
          <w:color w:val="auto"/>
        </w:rPr>
        <w:t>"Cyber attack" does not mean the following non-malicious acts: human operating error or omission, including the choice of the program used, an error in setting parameters or any inappropriate single intervention by you, a family member, or a third party providing services to you; mistakes in legitimate electronic code or damage from code installed on your electronic data processing property during the manufacturing process, upgrade process, or normal maintenance; or power failure, surge or diminution of electronic systems.</w:t>
      </w:r>
    </w:p>
    <w:p>
      <w:pPr>
        <w:spacing w:after="0" w:line="72" w:lineRule="exact"/>
        <w:rPr>
          <w:sz w:val="20"/>
          <w:szCs w:val="20"/>
          <w:color w:val="auto"/>
        </w:rPr>
      </w:pPr>
    </w:p>
    <w:p>
      <w:pPr>
        <w:ind w:left="3" w:right="120" w:hanging="10"/>
        <w:spacing w:after="0" w:line="282" w:lineRule="auto"/>
        <w:rPr>
          <w:sz w:val="20"/>
          <w:szCs w:val="20"/>
          <w:color w:val="auto"/>
        </w:rPr>
      </w:pPr>
      <w:r>
        <w:rPr>
          <w:rFonts w:ascii="Times New Roman" w:cs="Times New Roman" w:eastAsia="Times New Roman" w:hAnsi="Times New Roman"/>
          <w:sz w:val="18"/>
          <w:szCs w:val="18"/>
          <w:color w:val="auto"/>
        </w:rPr>
        <w:t>"Electronic data" means information, concepts, knowledge, facts, or instructions which are stored digitally. "Electronic data" does not mean tangible property, nor is tangible property electronic data.</w:t>
      </w:r>
    </w:p>
    <w:p>
      <w:pPr>
        <w:spacing w:after="0" w:line="40" w:lineRule="exact"/>
        <w:rPr>
          <w:sz w:val="20"/>
          <w:szCs w:val="20"/>
          <w:color w:val="auto"/>
        </w:rPr>
      </w:pPr>
    </w:p>
    <w:p>
      <w:pPr>
        <w:ind w:left="3" w:right="160" w:hanging="10"/>
        <w:spacing w:after="0" w:line="281" w:lineRule="auto"/>
        <w:rPr>
          <w:sz w:val="20"/>
          <w:szCs w:val="20"/>
          <w:color w:val="auto"/>
        </w:rPr>
      </w:pPr>
      <w:r>
        <w:rPr>
          <w:rFonts w:ascii="Times New Roman" w:cs="Times New Roman" w:eastAsia="Times New Roman" w:hAnsi="Times New Roman"/>
          <w:sz w:val="18"/>
          <w:szCs w:val="18"/>
          <w:color w:val="auto"/>
        </w:rPr>
        <w:t>"Electronic contents" means non-recoverable purchased eBooks, software, application software (apps), and photo, video, music, and movie files.</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"Electronic data processing property" means:</w:t>
      </w:r>
    </w:p>
    <w:p>
      <w:pPr>
        <w:spacing w:after="0" w:line="27" w:lineRule="exact"/>
        <w:rPr>
          <w:sz w:val="20"/>
          <w:szCs w:val="20"/>
          <w:color w:val="auto"/>
        </w:rPr>
      </w:pPr>
    </w:p>
    <w:p>
      <w:pPr>
        <w:ind w:left="463" w:hanging="462"/>
        <w:spacing w:after="0"/>
        <w:tabs>
          <w:tab w:leader="none" w:pos="46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data processing equipment, and their accessories;</w:t>
      </w:r>
    </w:p>
    <w:p>
      <w:pPr>
        <w:spacing w:after="0" w:line="9" w:lineRule="exact"/>
        <w:rPr>
          <w:rFonts w:ascii="Times New Roman" w:cs="Times New Roman" w:eastAsia="Times New Roman" w:hAnsi="Times New Roman"/>
          <w:sz w:val="18"/>
          <w:szCs w:val="18"/>
          <w:color w:val="auto"/>
        </w:rPr>
      </w:pPr>
    </w:p>
    <w:p>
      <w:pPr>
        <w:ind w:left="463" w:right="520" w:hanging="462"/>
        <w:spacing w:after="0" w:line="258" w:lineRule="auto"/>
        <w:tabs>
          <w:tab w:leader="none" w:pos="45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portable electronic devices such as smartphones, electronic reading devices, tablets, handheld or wearable computers, or similar devices;</w:t>
      </w:r>
    </w:p>
    <w:p>
      <w:pPr>
        <w:ind w:left="463" w:hanging="463"/>
        <w:spacing w:after="0"/>
        <w:tabs>
          <w:tab w:leader="none" w:pos="46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w:t>
      </w:r>
    </w:p>
    <w:p>
      <w:pPr>
        <w:spacing w:after="0" w:line="9" w:lineRule="exact"/>
        <w:rPr>
          <w:rFonts w:ascii="Times New Roman" w:cs="Times New Roman" w:eastAsia="Times New Roman" w:hAnsi="Times New Roman"/>
          <w:sz w:val="18"/>
          <w:szCs w:val="18"/>
          <w:color w:val="auto"/>
        </w:rPr>
      </w:pPr>
    </w:p>
    <w:p>
      <w:pPr>
        <w:ind w:left="463" w:hanging="462"/>
        <w:spacing w:after="0"/>
        <w:tabs>
          <w:tab w:leader="none" w:pos="46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contents; or</w:t>
      </w:r>
    </w:p>
    <w:p>
      <w:pPr>
        <w:spacing w:after="0" w:line="9" w:lineRule="exact"/>
        <w:rPr>
          <w:rFonts w:ascii="Times New Roman" w:cs="Times New Roman" w:eastAsia="Times New Roman" w:hAnsi="Times New Roman"/>
          <w:sz w:val="18"/>
          <w:szCs w:val="18"/>
          <w:color w:val="auto"/>
        </w:rPr>
      </w:pPr>
    </w:p>
    <w:p>
      <w:pPr>
        <w:ind w:left="463" w:hanging="462"/>
        <w:spacing w:after="0"/>
        <w:tabs>
          <w:tab w:leader="none" w:pos="46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data, including the capacity of electronic data to be stored, processed, or transmitted over the Internet.</w:t>
      </w:r>
    </w:p>
    <w:p>
      <w:pPr>
        <w:spacing w:after="0" w:line="54" w:lineRule="exact"/>
        <w:rPr>
          <w:sz w:val="20"/>
          <w:szCs w:val="20"/>
          <w:color w:val="auto"/>
        </w:rPr>
      </w:pPr>
    </w:p>
    <w:p>
      <w:pPr>
        <w:ind w:left="3"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We do not cover any damages for any covered person's performing or failure to perform professional services, 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for which any covered person is legally responsible or licensed.</w:t>
      </w:r>
    </w:p>
    <w:p>
      <w:pPr>
        <w:sectPr>
          <w:pgSz w:w="11900" w:h="16838" w:orient="portrait"/>
          <w:cols w:equalWidth="0" w:num="1">
            <w:col w:w="10183"/>
          </w:cols>
          <w:pgMar w:left="837" w:top="1323" w:right="879" w:bottom="1440" w:gutter="0" w:footer="0" w:header="0"/>
        </w:sectPr>
      </w:pPr>
    </w:p>
    <w:bookmarkStart w:id="98" w:name="page99"/>
    <w:bookmarkEnd w:id="98"/>
    <w:p>
      <w:pPr>
        <w:jc w:val="both"/>
        <w:ind w:left="2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Acts of war. </w:t>
      </w:r>
      <w:r>
        <w:rPr>
          <w:rFonts w:ascii="Times New Roman" w:cs="Times New Roman" w:eastAsia="Times New Roman" w:hAnsi="Times New Roman"/>
          <w:sz w:val="18"/>
          <w:szCs w:val="18"/>
          <w:color w:val="auto"/>
        </w:rPr>
        <w:t>We do not cover any damages caused directly or indirectly by war, undeclared war, civil war, insurrection, rebellion,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revolution, warlike acts by military forces or personnel, the destruction or seizure of property for a military purpose, or the consequences of any of these actions.</w:t>
      </w:r>
    </w:p>
    <w:p>
      <w:pPr>
        <w:spacing w:after="0" w:line="63" w:lineRule="exact"/>
        <w:rPr>
          <w:sz w:val="20"/>
          <w:szCs w:val="20"/>
          <w:color w:val="auto"/>
        </w:rPr>
      </w:pPr>
    </w:p>
    <w:p>
      <w:pPr>
        <w:ind w:left="20" w:right="220" w:firstLine="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Contractual liability. </w:t>
      </w:r>
      <w:r>
        <w:rPr>
          <w:rFonts w:ascii="Times New Roman" w:cs="Times New Roman" w:eastAsia="Times New Roman" w:hAnsi="Times New Roman"/>
          <w:sz w:val="18"/>
          <w:szCs w:val="18"/>
          <w:color w:val="auto"/>
        </w:rPr>
        <w:t>We do not cover any damages arising from contracts or agreements made in connection with any 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Nor do we cover any liability for unwritten contracts, or contracts in which the liability of others is assumed after a covered loss.</w:t>
      </w:r>
    </w:p>
    <w:p>
      <w:pPr>
        <w:spacing w:after="0" w:line="47" w:lineRule="exact"/>
        <w:rPr>
          <w:sz w:val="20"/>
          <w:szCs w:val="20"/>
          <w:color w:val="auto"/>
        </w:rPr>
      </w:pPr>
    </w:p>
    <w:p>
      <w:pPr>
        <w:ind w:left="20" w:right="220" w:hanging="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Assessments. </w:t>
      </w:r>
      <w:r>
        <w:rPr>
          <w:rFonts w:ascii="Times New Roman" w:cs="Times New Roman" w:eastAsia="Times New Roman" w:hAnsi="Times New Roman"/>
          <w:sz w:val="18"/>
          <w:szCs w:val="18"/>
          <w:color w:val="auto"/>
        </w:rPr>
        <w:t>We do not cover any assessments charged against a covered person as a member of a homeowners, condominium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cooperative association.</w:t>
      </w:r>
    </w:p>
    <w:p>
      <w:pPr>
        <w:spacing w:after="0" w:line="47" w:lineRule="exact"/>
        <w:rPr>
          <w:sz w:val="20"/>
          <w:szCs w:val="20"/>
          <w:color w:val="auto"/>
        </w:rPr>
      </w:pPr>
    </w:p>
    <w:p>
      <w:pPr>
        <w:jc w:val="both"/>
        <w:ind w:left="20" w:right="200" w:firstLine="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Covered person's or dependent's personal injury. </w:t>
      </w:r>
      <w:r>
        <w:rPr>
          <w:rFonts w:ascii="Times New Roman" w:cs="Times New Roman" w:eastAsia="Times New Roman" w:hAnsi="Times New Roman"/>
          <w:sz w:val="18"/>
          <w:szCs w:val="18"/>
          <w:color w:val="auto"/>
        </w:rPr>
        <w:t>We do not cover any damages for personal injury for any covered person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dependents where the ultimate beneficiary is you, the offending party or defendant.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also do not cover any damages for personal injury for which you or a family member can be held legally liable, in any way, to a family member a person who lives with you, or a person named in the Coverage Summary Certificate.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also do not cover any damages for personal injury for which a family member a person who lives with you, or a person named in the Coverage Summary Certificate can be held legally liable, in any way, to you or a family member.</w:t>
      </w:r>
    </w:p>
    <w:p>
      <w:pPr>
        <w:spacing w:after="0" w:line="78" w:lineRule="exact"/>
        <w:rPr>
          <w:sz w:val="20"/>
          <w:szCs w:val="20"/>
          <w:color w:val="auto"/>
        </w:rPr>
      </w:pPr>
    </w:p>
    <w:p>
      <w:pPr>
        <w:jc w:val="both"/>
        <w:ind w:left="20" w:right="200" w:firstLine="4"/>
        <w:spacing w:after="0" w:line="258" w:lineRule="auto"/>
        <w:rPr>
          <w:sz w:val="20"/>
          <w:szCs w:val="20"/>
          <w:color w:val="auto"/>
        </w:rPr>
      </w:pPr>
      <w:r>
        <w:rPr>
          <w:rFonts w:ascii="Times New Roman" w:cs="Times New Roman" w:eastAsia="Times New Roman" w:hAnsi="Times New Roman"/>
          <w:sz w:val="18"/>
          <w:szCs w:val="18"/>
          <w:color w:val="auto"/>
        </w:rPr>
        <w:t>However, we do cover damages for bodily injury arising out of the use of a motorized land vehicle for which you or a family member can be held legally liable to a family member or a person named in the Coverage Summary Certificate, or for which a family member or a person named in the Coverage Summary Certificate can be held legally liable to you or a family member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71" w:lineRule="exact"/>
        <w:rPr>
          <w:sz w:val="20"/>
          <w:szCs w:val="20"/>
          <w:color w:val="auto"/>
        </w:rPr>
      </w:pPr>
    </w:p>
    <w:p>
      <w:pPr>
        <w:ind w:left="20" w:right="240" w:hanging="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Liability for dependent care. We </w:t>
      </w:r>
      <w:r>
        <w:rPr>
          <w:rFonts w:ascii="Times New Roman" w:cs="Times New Roman" w:eastAsia="Times New Roman" w:hAnsi="Times New Roman"/>
          <w:sz w:val="18"/>
          <w:szCs w:val="18"/>
          <w:color w:val="auto"/>
        </w:rPr>
        <w:t>do not cover any damages for personal injury for which a covered person's only legal liability is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virtue of a contract or other responsibility for a dependent's care.</w:t>
      </w:r>
    </w:p>
    <w:p>
      <w:pPr>
        <w:spacing w:after="0" w:line="33" w:lineRule="exact"/>
        <w:rPr>
          <w:sz w:val="20"/>
          <w:szCs w:val="20"/>
          <w:color w:val="auto"/>
        </w:rPr>
      </w:pPr>
    </w:p>
    <w:p>
      <w:pPr>
        <w:jc w:val="both"/>
        <w:ind w:right="220" w:firstLine="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illness. </w:t>
      </w:r>
      <w:r>
        <w:rPr>
          <w:rFonts w:ascii="Times New Roman" w:cs="Times New Roman" w:eastAsia="Times New Roman" w:hAnsi="Times New Roman"/>
          <w:sz w:val="18"/>
          <w:szCs w:val="18"/>
          <w:color w:val="auto"/>
        </w:rPr>
        <w:t>We do not cover personal injury or property damage resulting from any illness, sickness or disease transmitted intentionally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unintentionally by a covered 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55" w:lineRule="exact"/>
        <w:rPr>
          <w:sz w:val="20"/>
          <w:szCs w:val="20"/>
          <w:color w:val="auto"/>
        </w:rPr>
      </w:pPr>
    </w:p>
    <w:p>
      <w:pPr>
        <w:ind w:firstLine="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Fungi and mold. </w:t>
      </w:r>
      <w:r>
        <w:rPr>
          <w:rFonts w:ascii="Times New Roman" w:cs="Times New Roman" w:eastAsia="Times New Roman" w:hAnsi="Times New Roman"/>
          <w:sz w:val="18"/>
          <w:szCs w:val="18"/>
          <w:color w:val="auto"/>
        </w:rPr>
        <w:t>We do not cover any actual or alleged damages arising out of mold, the fear of mold, or any consequences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mold or the fear of mold. "Mold" means fungi, mold, mold spores, mycotoxins, and the scents and other byproducts of any of these.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Liability for the acts of others. </w:t>
      </w:r>
      <w:r>
        <w:rPr>
          <w:rFonts w:ascii="Times New Roman" w:cs="Times New Roman" w:eastAsia="Times New Roman" w:hAnsi="Times New Roman"/>
          <w:sz w:val="18"/>
          <w:szCs w:val="18"/>
          <w:color w:val="auto"/>
        </w:rPr>
        <w:t>We do not cover any person for damages arising from:</w:t>
      </w:r>
    </w:p>
    <w:p>
      <w:pPr>
        <w:spacing w:after="0" w:line="31" w:lineRule="exact"/>
        <w:rPr>
          <w:sz w:val="20"/>
          <w:szCs w:val="20"/>
          <w:color w:val="auto"/>
        </w:rPr>
      </w:pPr>
    </w:p>
    <w:p>
      <w:pPr>
        <w:ind w:left="480" w:hanging="463"/>
        <w:spacing w:after="0"/>
        <w:tabs>
          <w:tab w:leader="none" w:pos="4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entrustment of property;</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supervise or the negligent supervision of any person; or</w:t>
      </w:r>
    </w:p>
    <w:p>
      <w:pPr>
        <w:spacing w:after="0" w:line="9" w:lineRule="exact"/>
        <w:rPr>
          <w:rFonts w:ascii="Times New Roman" w:cs="Times New Roman" w:eastAsia="Times New Roman" w:hAnsi="Times New Roman"/>
          <w:sz w:val="18"/>
          <w:szCs w:val="18"/>
          <w:color w:val="auto"/>
        </w:rPr>
      </w:pPr>
    </w:p>
    <w:p>
      <w:pPr>
        <w:ind w:left="480" w:hanging="463"/>
        <w:spacing w:after="0"/>
        <w:tabs>
          <w:tab w:leader="none" w:pos="4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parental or ownership liability.</w:t>
      </w:r>
    </w:p>
    <w:p>
      <w:pPr>
        <w:spacing w:after="0" w:line="99" w:lineRule="exact"/>
        <w:rPr>
          <w:sz w:val="20"/>
          <w:szCs w:val="20"/>
          <w:color w:val="auto"/>
        </w:rPr>
      </w:pPr>
    </w:p>
    <w:p>
      <w:pPr>
        <w:jc w:val="both"/>
        <w:ind w:left="20" w:right="220" w:firstLine="10"/>
        <w:spacing w:after="0" w:line="261" w:lineRule="auto"/>
        <w:rPr>
          <w:sz w:val="20"/>
          <w:szCs w:val="20"/>
          <w:color w:val="auto"/>
        </w:rPr>
      </w:pPr>
      <w:r>
        <w:rPr>
          <w:rFonts w:ascii="Times New Roman" w:cs="Times New Roman" w:eastAsia="Times New Roman" w:hAnsi="Times New Roman"/>
          <w:sz w:val="18"/>
          <w:szCs w:val="18"/>
          <w:color w:val="auto"/>
        </w:rPr>
        <w:t>This exclusion applies only to damages arising out of the ownership, maintenance or use of any motorized land vehicle, watercraft 26 feet or longer or with more than 50 engine rated horsepower, aircraft or hovercraft. But we do cover these damages on a follow form basis for the type of motorized land vehicle involved, unless another exclusion applies. This exclusion does not apply to any other coverage provided under an exclusion in this policy.</w:t>
      </w:r>
    </w:p>
    <w:p>
      <w:pPr>
        <w:spacing w:after="0" w:line="54" w:lineRule="exact"/>
        <w:rPr>
          <w:sz w:val="20"/>
          <w:szCs w:val="20"/>
          <w:color w:val="auto"/>
        </w:rPr>
      </w:pPr>
    </w:p>
    <w:p>
      <w:pPr>
        <w:ind w:left="20" w:right="240" w:firstLine="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Nuclear or radiation hazard. </w:t>
      </w:r>
      <w:r>
        <w:rPr>
          <w:rFonts w:ascii="Times New Roman" w:cs="Times New Roman" w:eastAsia="Times New Roman" w:hAnsi="Times New Roman"/>
          <w:sz w:val="18"/>
          <w:szCs w:val="18"/>
          <w:color w:val="auto"/>
        </w:rPr>
        <w:t>We do not cover any damages caused directly or indirectly by nuclear reaction, radiation, or radioactive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contamination, regardless of how it was caused.</w:t>
      </w:r>
    </w:p>
    <w:p>
      <w:pPr>
        <w:spacing w:after="0" w:line="200" w:lineRule="exact"/>
        <w:rPr>
          <w:sz w:val="20"/>
          <w:szCs w:val="20"/>
          <w:color w:val="auto"/>
        </w:rPr>
      </w:pPr>
    </w:p>
    <w:p>
      <w:pPr>
        <w:spacing w:after="0" w:line="3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POLICY TERMS</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part of your Group Personal Excess Liability Policy explains the conditions that apply to your policy.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Conditions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These conditions apply to your policy in general, and to each coverage provided in the policy.</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Policy period</w:t>
      </w:r>
    </w:p>
    <w:p>
      <w:pPr>
        <w:spacing w:after="0" w:line="121" w:lineRule="exact"/>
        <w:rPr>
          <w:sz w:val="20"/>
          <w:szCs w:val="20"/>
          <w:color w:val="auto"/>
        </w:rPr>
      </w:pPr>
    </w:p>
    <w:p>
      <w:pPr>
        <w:ind w:left="20" w:right="120" w:firstLine="5"/>
        <w:spacing w:after="0" w:line="282" w:lineRule="auto"/>
        <w:rPr>
          <w:sz w:val="20"/>
          <w:szCs w:val="20"/>
          <w:color w:val="auto"/>
        </w:rPr>
      </w:pPr>
      <w:r>
        <w:rPr>
          <w:rFonts w:ascii="Times New Roman" w:cs="Times New Roman" w:eastAsia="Times New Roman" w:hAnsi="Times New Roman"/>
          <w:sz w:val="18"/>
          <w:szCs w:val="18"/>
          <w:color w:val="auto"/>
        </w:rPr>
        <w:t>The effective dates of your policy are shown in the Coverage Summary Certificate. Those dates begin at 12:01 a.m. standard time at the mailing address shown.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coverages on this policy apply only to occurrences that take place while this policy is in effect</w:t>
      </w:r>
    </w:p>
    <w:p>
      <w:pPr>
        <w:sectPr>
          <w:pgSz w:w="11900" w:h="16838" w:orient="portrait"/>
          <w:cols w:equalWidth="0" w:num="1">
            <w:col w:w="10340"/>
          </w:cols>
          <w:pgMar w:left="820" w:top="1319" w:right="739" w:bottom="1440" w:gutter="0" w:footer="0" w:header="0"/>
        </w:sectPr>
      </w:pPr>
    </w:p>
    <w:bookmarkStart w:id="99" w:name="page100"/>
    <w:bookmarkEnd w:id="99"/>
    <w:p>
      <w:pPr>
        <w:ind w:left="3"/>
        <w:spacing w:after="0"/>
        <w:rPr>
          <w:sz w:val="20"/>
          <w:szCs w:val="20"/>
          <w:color w:val="auto"/>
        </w:rPr>
      </w:pPr>
      <w:r>
        <w:rPr>
          <w:rFonts w:ascii="Times New Roman" w:cs="Times New Roman" w:eastAsia="Times New Roman" w:hAnsi="Times New Roman"/>
          <w:sz w:val="18"/>
          <w:szCs w:val="18"/>
          <w:b w:val="1"/>
          <w:bCs w:val="1"/>
          <w:color w:val="auto"/>
        </w:rPr>
        <w:t>Transfer of rights</w:t>
      </w:r>
    </w:p>
    <w:p>
      <w:pPr>
        <w:spacing w:after="0" w:line="94" w:lineRule="exact"/>
        <w:rPr>
          <w:sz w:val="20"/>
          <w:szCs w:val="20"/>
          <w:color w:val="auto"/>
        </w:rPr>
      </w:pPr>
    </w:p>
    <w:p>
      <w:pPr>
        <w:ind w:left="3" w:right="240" w:hanging="1"/>
        <w:spacing w:after="0" w:line="281" w:lineRule="auto"/>
        <w:rPr>
          <w:sz w:val="20"/>
          <w:szCs w:val="20"/>
          <w:color w:val="auto"/>
        </w:rPr>
      </w:pPr>
      <w:r>
        <w:rPr>
          <w:rFonts w:ascii="Times New Roman" w:cs="Times New Roman" w:eastAsia="Times New Roman" w:hAnsi="Times New Roman"/>
          <w:sz w:val="18"/>
          <w:szCs w:val="18"/>
          <w:color w:val="auto"/>
        </w:rPr>
        <w:t>If we make a payment under this policy, we will assume any recovery rights a covered person has in connection with that loss, to the extent we have paid for the loss.</w:t>
      </w:r>
    </w:p>
    <w:p>
      <w:pPr>
        <w:spacing w:after="0" w:line="1" w:lineRule="exact"/>
        <w:rPr>
          <w:sz w:val="20"/>
          <w:szCs w:val="20"/>
          <w:color w:val="auto"/>
        </w:rPr>
      </w:pPr>
    </w:p>
    <w:p>
      <w:pPr>
        <w:jc w:val="both"/>
        <w:ind w:left="3" w:right="80"/>
        <w:spacing w:after="0" w:line="266" w:lineRule="auto"/>
        <w:rPr>
          <w:sz w:val="20"/>
          <w:szCs w:val="20"/>
          <w:color w:val="auto"/>
        </w:rPr>
      </w:pPr>
      <w:r>
        <w:rPr>
          <w:rFonts w:ascii="Times New Roman" w:cs="Times New Roman" w:eastAsia="Times New Roman" w:hAnsi="Times New Roman"/>
          <w:sz w:val="18"/>
          <w:szCs w:val="18"/>
          <w:color w:val="auto"/>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Concealment or fraud</w:t>
      </w:r>
    </w:p>
    <w:p>
      <w:pPr>
        <w:spacing w:after="0" w:line="108" w:lineRule="exact"/>
        <w:rPr>
          <w:sz w:val="20"/>
          <w:szCs w:val="20"/>
          <w:color w:val="auto"/>
        </w:rPr>
      </w:pPr>
    </w:p>
    <w:p>
      <w:pPr>
        <w:ind w:left="3" w:hanging="26"/>
        <w:spacing w:after="0" w:line="282" w:lineRule="auto"/>
        <w:rPr>
          <w:sz w:val="20"/>
          <w:szCs w:val="20"/>
          <w:color w:val="auto"/>
        </w:rPr>
      </w:pPr>
      <w:r>
        <w:rPr>
          <w:rFonts w:ascii="Times New Roman" w:cs="Times New Roman" w:eastAsia="Times New Roman" w:hAnsi="Times New Roman"/>
          <w:sz w:val="18"/>
          <w:szCs w:val="18"/>
          <w:color w:val="auto"/>
        </w:rPr>
        <w:t>We do not provide coverage if you or any covered person has intentionally concealed or misrepresented any material fact relating to this policy before or after a loss.</w:t>
      </w:r>
    </w:p>
    <w:p>
      <w:pPr>
        <w:spacing w:after="0" w:line="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Application of coverage</w:t>
      </w:r>
    </w:p>
    <w:p>
      <w:pPr>
        <w:spacing w:after="0" w:line="135" w:lineRule="exact"/>
        <w:rPr>
          <w:sz w:val="20"/>
          <w:szCs w:val="20"/>
          <w:color w:val="auto"/>
        </w:rPr>
      </w:pPr>
    </w:p>
    <w:p>
      <w:pPr>
        <w:ind w:left="3" w:right="100"/>
        <w:spacing w:after="0" w:line="282" w:lineRule="auto"/>
        <w:rPr>
          <w:sz w:val="20"/>
          <w:szCs w:val="20"/>
          <w:color w:val="auto"/>
        </w:rPr>
      </w:pPr>
      <w:r>
        <w:rPr>
          <w:rFonts w:ascii="Times New Roman" w:cs="Times New Roman" w:eastAsia="Times New Roman" w:hAnsi="Times New Roman"/>
          <w:sz w:val="18"/>
          <w:szCs w:val="18"/>
          <w:color w:val="auto"/>
        </w:rPr>
        <w:t>Coverage applies separately to each covered person. However, this provision does not increase the amount of coverage for any one occurrence.</w:t>
      </w:r>
    </w:p>
    <w:p>
      <w:pPr>
        <w:spacing w:after="0" w:line="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You cannot transfer your interest in this policy to anyone else unless we agree in writing to the transfer.</w:t>
      </w:r>
    </w:p>
    <w:p>
      <w:pPr>
        <w:spacing w:after="0" w:line="1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Policy changes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This policy can be changed only by a written amendment we issue.</w:t>
      </w:r>
    </w:p>
    <w:p>
      <w:pPr>
        <w:spacing w:after="0" w:line="1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Bankruptcy or insolvency</w:t>
      </w:r>
    </w:p>
    <w:p>
      <w:pPr>
        <w:spacing w:after="0" w:line="135" w:lineRule="exact"/>
        <w:rPr>
          <w:sz w:val="20"/>
          <w:szCs w:val="20"/>
          <w:color w:val="auto"/>
        </w:rPr>
      </w:pPr>
    </w:p>
    <w:p>
      <w:pPr>
        <w:ind w:left="3" w:right="60" w:hanging="3"/>
        <w:spacing w:after="0" w:line="282" w:lineRule="auto"/>
        <w:rPr>
          <w:sz w:val="20"/>
          <w:szCs w:val="20"/>
          <w:color w:val="auto"/>
        </w:rPr>
      </w:pPr>
      <w:r>
        <w:rPr>
          <w:rFonts w:ascii="Times New Roman" w:cs="Times New Roman" w:eastAsia="Times New Roman" w:hAnsi="Times New Roman"/>
          <w:sz w:val="18"/>
          <w:szCs w:val="18"/>
          <w:color w:val="auto"/>
        </w:rPr>
        <w:t>We will meet all our obligations under this policy regardless of whether you, your estate, or anyone else or their estate becomes bankrupt or insolvent.</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In case of death</w:t>
      </w:r>
    </w:p>
    <w:p>
      <w:pPr>
        <w:spacing w:after="0" w:line="135" w:lineRule="exact"/>
        <w:rPr>
          <w:sz w:val="20"/>
          <w:szCs w:val="20"/>
          <w:color w:val="auto"/>
        </w:rPr>
      </w:pPr>
    </w:p>
    <w:p>
      <w:pPr>
        <w:ind w:left="3" w:right="220" w:firstLine="2"/>
        <w:spacing w:after="0" w:line="266" w:lineRule="auto"/>
        <w:rPr>
          <w:sz w:val="20"/>
          <w:szCs w:val="20"/>
          <w:color w:val="auto"/>
        </w:rPr>
      </w:pPr>
      <w:r>
        <w:rPr>
          <w:rFonts w:ascii="Times New Roman" w:cs="Times New Roman" w:eastAsia="Times New Roman" w:hAnsi="Times New Roman"/>
          <w:sz w:val="18"/>
          <w:szCs w:val="18"/>
          <w:color w:val="auto"/>
        </w:rPr>
        <w:t>In the event of your death, we cover your legal representative or any person having proper temporary custody of your property until a legal representative is appointed and qualified, but only with respect to your premises and other property covered under the policy at the time of death. We will also cover any member of your household who is a covered person at the time of death.</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Liberalization</w:t>
      </w:r>
    </w:p>
    <w:p>
      <w:pPr>
        <w:spacing w:after="0" w:line="135" w:lineRule="exact"/>
        <w:rPr>
          <w:sz w:val="20"/>
          <w:szCs w:val="20"/>
          <w:color w:val="auto"/>
        </w:rPr>
      </w:pPr>
    </w:p>
    <w:p>
      <w:pPr>
        <w:jc w:val="both"/>
        <w:ind w:left="3" w:hanging="11"/>
        <w:spacing w:after="0" w:line="266" w:lineRule="auto"/>
        <w:rPr>
          <w:sz w:val="20"/>
          <w:szCs w:val="20"/>
          <w:color w:val="auto"/>
        </w:rPr>
      </w:pPr>
      <w:r>
        <w:rPr>
          <w:rFonts w:ascii="Times New Roman" w:cs="Times New Roman" w:eastAsia="Times New Roman" w:hAnsi="Times New Roman"/>
          <w:sz w:val="18"/>
          <w:szCs w:val="18"/>
          <w:color w:val="auto"/>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Conforming to state law</w:t>
      </w:r>
    </w:p>
    <w:p>
      <w:pPr>
        <w:spacing w:after="0" w:line="135" w:lineRule="exact"/>
        <w:rPr>
          <w:sz w:val="20"/>
          <w:szCs w:val="20"/>
          <w:color w:val="auto"/>
        </w:rPr>
      </w:pPr>
    </w:p>
    <w:p>
      <w:pPr>
        <w:ind w:left="3" w:right="580" w:hanging="9"/>
        <w:spacing w:after="0" w:line="282" w:lineRule="auto"/>
        <w:rPr>
          <w:sz w:val="20"/>
          <w:szCs w:val="20"/>
          <w:color w:val="auto"/>
        </w:rPr>
      </w:pPr>
      <w:r>
        <w:rPr>
          <w:rFonts w:ascii="Times New Roman" w:cs="Times New Roman" w:eastAsia="Times New Roman" w:hAnsi="Times New Roman"/>
          <w:sz w:val="18"/>
          <w:szCs w:val="18"/>
          <w:color w:val="auto"/>
        </w:rPr>
        <w:t>If any provision of this policy conflicts with any applicable laws of the state you live in, this policy is amended to conform to those laws.</w:t>
      </w:r>
    </w:p>
    <w:p>
      <w:pPr>
        <w:spacing w:after="0" w:line="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Conforming to trade sanction laws</w:t>
      </w:r>
    </w:p>
    <w:p>
      <w:pPr>
        <w:spacing w:after="0" w:line="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This policy does not apply to the extent that trade or economic sanctions or other laws or regulations prohibit us from providing insurance.</w:t>
      </w:r>
    </w:p>
    <w:p>
      <w:pPr>
        <w:spacing w:after="0" w:line="200" w:lineRule="exact"/>
        <w:rPr>
          <w:sz w:val="20"/>
          <w:szCs w:val="20"/>
          <w:color w:val="auto"/>
        </w:rPr>
      </w:pPr>
    </w:p>
    <w:p>
      <w:pPr>
        <w:spacing w:after="0" w:line="205"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8"/>
          <w:szCs w:val="18"/>
          <w:b w:val="1"/>
          <w:bCs w:val="1"/>
          <w:i w:val="1"/>
          <w:iCs w:val="1"/>
          <w:color w:val="auto"/>
        </w:rPr>
        <w:t>Liability Conditions</w:t>
      </w:r>
    </w:p>
    <w:p>
      <w:pPr>
        <w:spacing w:after="0" w:line="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These conditions apply to all liability coverages in this policy.</w:t>
      </w:r>
    </w:p>
    <w:p>
      <w:pPr>
        <w:spacing w:after="0" w:line="1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Other Insurance</w:t>
      </w:r>
    </w:p>
    <w:p>
      <w:pPr>
        <w:spacing w:after="0" w:line="135" w:lineRule="exact"/>
        <w:rPr>
          <w:sz w:val="20"/>
          <w:szCs w:val="20"/>
          <w:color w:val="auto"/>
        </w:rPr>
      </w:pPr>
    </w:p>
    <w:p>
      <w:pPr>
        <w:ind w:left="3" w:right="60"/>
        <w:spacing w:after="0" w:line="261" w:lineRule="auto"/>
        <w:rPr>
          <w:sz w:val="20"/>
          <w:szCs w:val="20"/>
          <w:color w:val="auto"/>
        </w:rPr>
      </w:pPr>
      <w:r>
        <w:rPr>
          <w:rFonts w:ascii="Times New Roman" w:cs="Times New Roman" w:eastAsia="Times New Roman" w:hAnsi="Times New Roman"/>
          <w:sz w:val="18"/>
          <w:szCs w:val="18"/>
          <w:color w:val="auto"/>
        </w:rPr>
        <w:t>This insurance is excess over any other insurance, and we shall not have any obligation to defend or indemnify if other insurance, whether primary, excess, umbrella, contingent, or on any other policy, covers the loss except for those policies that</w:t>
      </w:r>
    </w:p>
    <w:p>
      <w:pPr>
        <w:ind w:left="463" w:hanging="463"/>
        <w:spacing w:after="0"/>
        <w:tabs>
          <w:tab w:leader="none" w:pos="46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written specifically to cover excess over the amount of coverage that applies in this policy; and</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this policy as underlying insurance.</w:t>
      </w:r>
    </w:p>
    <w:p>
      <w:pPr>
        <w:spacing w:after="0" w:line="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Your duties after a loss</w:t>
      </w:r>
    </w:p>
    <w:p>
      <w:pPr>
        <w:sectPr>
          <w:pgSz w:w="11900" w:h="16838" w:orient="portrait"/>
          <w:cols w:equalWidth="0" w:num="1">
            <w:col w:w="10023"/>
          </w:cols>
          <w:pgMar w:left="837" w:top="1332" w:right="1039" w:bottom="1440" w:gutter="0" w:footer="0" w:header="0"/>
        </w:sectPr>
      </w:pPr>
    </w:p>
    <w:bookmarkStart w:id="100" w:name="page101"/>
    <w:bookmarkEnd w:id="100"/>
    <w:p>
      <w:pPr>
        <w:ind w:left="3"/>
        <w:spacing w:after="0"/>
        <w:rPr>
          <w:sz w:val="20"/>
          <w:szCs w:val="20"/>
          <w:color w:val="auto"/>
        </w:rPr>
      </w:pPr>
      <w:r>
        <w:rPr>
          <w:rFonts w:ascii="Times New Roman" w:cs="Times New Roman" w:eastAsia="Times New Roman" w:hAnsi="Times New Roman"/>
          <w:sz w:val="18"/>
          <w:szCs w:val="18"/>
          <w:color w:val="auto"/>
        </w:rPr>
        <w:t>In case of an accident or occurrence, you must perform these duties:</w:t>
      </w:r>
    </w:p>
    <w:p>
      <w:pPr>
        <w:spacing w:after="0" w:line="1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Notification. </w:t>
      </w:r>
      <w:r>
        <w:rPr>
          <w:rFonts w:ascii="Times New Roman" w:cs="Times New Roman" w:eastAsia="Times New Roman" w:hAnsi="Times New Roman"/>
          <w:sz w:val="18"/>
          <w:szCs w:val="18"/>
          <w:color w:val="auto"/>
        </w:rPr>
        <w:t>You must notify us or your agent or broker as soon as possible.</w:t>
      </w:r>
    </w:p>
    <w:p>
      <w:pPr>
        <w:spacing w:after="0" w:line="131" w:lineRule="exact"/>
        <w:rPr>
          <w:sz w:val="20"/>
          <w:szCs w:val="20"/>
          <w:color w:val="auto"/>
        </w:rPr>
      </w:pPr>
    </w:p>
    <w:p>
      <w:pPr>
        <w:ind w:left="3" w:right="360" w:hanging="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Assistance. </w:t>
      </w:r>
      <w:r>
        <w:rPr>
          <w:rFonts w:ascii="Times New Roman" w:cs="Times New Roman" w:eastAsia="Times New Roman" w:hAnsi="Times New Roman"/>
          <w:sz w:val="18"/>
          <w:szCs w:val="18"/>
          <w:color w:val="auto"/>
        </w:rPr>
        <w:t>You must provide us with all available information. This includes any suit papers or other documents which help us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that we defend you.</w:t>
      </w:r>
    </w:p>
    <w:p>
      <w:pPr>
        <w:spacing w:after="0" w:line="47" w:lineRule="exact"/>
        <w:rPr>
          <w:sz w:val="20"/>
          <w:szCs w:val="20"/>
          <w:color w:val="auto"/>
        </w:rPr>
      </w:pPr>
    </w:p>
    <w:p>
      <w:pPr>
        <w:ind w:left="3" w:right="300" w:firstLine="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You must cooperate with us fully in any legal defense. This may include any association by us with the covered person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of a claim reasonably likely to involve us.</w:t>
      </w:r>
    </w:p>
    <w:p>
      <w:pPr>
        <w:spacing w:after="0" w:line="4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 xml:space="preserve">Examination. </w:t>
      </w:r>
      <w:r>
        <w:rPr>
          <w:rFonts w:ascii="Times New Roman" w:cs="Times New Roman" w:eastAsia="Times New Roman" w:hAnsi="Times New Roman"/>
          <w:sz w:val="18"/>
          <w:szCs w:val="18"/>
          <w:color w:val="auto"/>
        </w:rPr>
        <w:t>A person making a claim under this policy must submit as often as we reasonably require:</w:t>
      </w:r>
    </w:p>
    <w:p>
      <w:pPr>
        <w:spacing w:after="0" w:line="31" w:lineRule="exact"/>
        <w:rPr>
          <w:sz w:val="20"/>
          <w:szCs w:val="20"/>
          <w:color w:val="auto"/>
        </w:rPr>
      </w:pPr>
    </w:p>
    <w:p>
      <w:pPr>
        <w:ind w:left="463" w:hanging="463"/>
        <w:spacing w:after="0"/>
        <w:tabs>
          <w:tab w:leader="none" w:pos="46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physical exams by physicians we select which we will pay for; and</w:t>
      </w:r>
    </w:p>
    <w:p>
      <w:pPr>
        <w:spacing w:after="0" w:line="9" w:lineRule="exact"/>
        <w:rPr>
          <w:rFonts w:ascii="Times New Roman" w:cs="Times New Roman" w:eastAsia="Times New Roman" w:hAnsi="Times New Roman"/>
          <w:sz w:val="18"/>
          <w:szCs w:val="18"/>
          <w:color w:val="auto"/>
        </w:rPr>
      </w:pPr>
    </w:p>
    <w:p>
      <w:pPr>
        <w:ind w:left="463" w:right="5120" w:hanging="462"/>
        <w:spacing w:after="0" w:line="250" w:lineRule="auto"/>
        <w:tabs>
          <w:tab w:leader="none" w:pos="4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examination under oath and subscribe the same; and authorize us to obtain:</w:t>
      </w:r>
    </w:p>
    <w:p>
      <w:pPr>
        <w:ind w:left="463" w:hanging="463"/>
        <w:spacing w:after="0"/>
        <w:tabs>
          <w:tab w:leader="none" w:pos="46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reports; and</w:t>
      </w:r>
    </w:p>
    <w:p>
      <w:pPr>
        <w:spacing w:after="0" w:line="9" w:lineRule="exact"/>
        <w:rPr>
          <w:rFonts w:ascii="Times New Roman" w:cs="Times New Roman" w:eastAsia="Times New Roman" w:hAnsi="Times New Roman"/>
          <w:sz w:val="18"/>
          <w:szCs w:val="18"/>
          <w:color w:val="auto"/>
        </w:rPr>
      </w:pPr>
    </w:p>
    <w:p>
      <w:pPr>
        <w:ind w:left="463" w:hanging="463"/>
        <w:spacing w:after="0"/>
        <w:tabs>
          <w:tab w:leader="none" w:pos="46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pertinent records.</w:t>
      </w:r>
    </w:p>
    <w:p>
      <w:pPr>
        <w:spacing w:after="0" w:line="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Appeals</w:t>
      </w:r>
    </w:p>
    <w:p>
      <w:pPr>
        <w:spacing w:after="0" w:line="31" w:lineRule="exact"/>
        <w:rPr>
          <w:sz w:val="20"/>
          <w:szCs w:val="20"/>
          <w:color w:val="auto"/>
        </w:rPr>
      </w:pPr>
    </w:p>
    <w:p>
      <w:pPr>
        <w:jc w:val="both"/>
        <w:ind w:left="3" w:right="280" w:firstLine="2"/>
        <w:spacing w:after="0" w:line="263" w:lineRule="auto"/>
        <w:rPr>
          <w:sz w:val="20"/>
          <w:szCs w:val="20"/>
          <w:color w:val="auto"/>
        </w:rPr>
      </w:pPr>
      <w:r>
        <w:rPr>
          <w:rFonts w:ascii="Times New Roman" w:cs="Times New Roman" w:eastAsia="Times New Roman" w:hAnsi="Times New Roman"/>
          <w:sz w:val="18"/>
          <w:szCs w:val="18"/>
          <w:color w:val="auto"/>
        </w:rPr>
        <w:t>If a covered person, or any primary insurer, does not appeal a judgment for covered damages, we may choose to do so. We will then become responsible for all expenses, taxable costs, and interest arising out of the appeal. However, the amount of coverage for damages will not be increased.</w:t>
      </w:r>
    </w:p>
    <w:p>
      <w:pPr>
        <w:spacing w:after="0" w:line="3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Special Conditions</w:t>
      </w:r>
    </w:p>
    <w:p>
      <w:pPr>
        <w:spacing w:after="0" w:line="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In the event of conflict with any other conditions of your policy, these conditions supersede.</w:t>
      </w:r>
    </w:p>
    <w:p>
      <w:pPr>
        <w:spacing w:after="0" w:line="1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Legal action against us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You agree not to bring action against us unless you have first complied with all conditions of this policy.</w:t>
      </w:r>
    </w:p>
    <w:p>
      <w:pPr>
        <w:spacing w:after="0" w:line="117" w:lineRule="exact"/>
        <w:rPr>
          <w:sz w:val="20"/>
          <w:szCs w:val="20"/>
          <w:color w:val="auto"/>
        </w:rPr>
      </w:pPr>
    </w:p>
    <w:p>
      <w:pPr>
        <w:jc w:val="both"/>
        <w:ind w:left="3" w:right="220" w:firstLine="4"/>
        <w:spacing w:after="0" w:line="266" w:lineRule="auto"/>
        <w:rPr>
          <w:sz w:val="20"/>
          <w:szCs w:val="20"/>
          <w:color w:val="auto"/>
        </w:rPr>
      </w:pPr>
      <w:r>
        <w:rPr>
          <w:rFonts w:ascii="Times New Roman" w:cs="Times New Roman" w:eastAsia="Times New Roman" w:hAnsi="Times New Roman"/>
          <w:sz w:val="18"/>
          <w:szCs w:val="18"/>
          <w:color w:val="auto"/>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Notice of cancellation and coverage termination conditions</w:t>
      </w:r>
    </w:p>
    <w:p>
      <w:pPr>
        <w:spacing w:after="0" w:line="31"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8"/>
          <w:szCs w:val="18"/>
          <w:color w:val="auto"/>
        </w:rPr>
        <w:t>The Sponsoring Organization may cancel this policy by returning it to us or notifying us in writing at any time subject to the following:</w:t>
      </w:r>
    </w:p>
    <w:p>
      <w:pPr>
        <w:spacing w:after="0" w:line="9" w:lineRule="exact"/>
        <w:rPr>
          <w:sz w:val="20"/>
          <w:szCs w:val="20"/>
          <w:color w:val="auto"/>
        </w:rPr>
      </w:pPr>
    </w:p>
    <w:p>
      <w:pPr>
        <w:ind w:left="463" w:hanging="463"/>
        <w:spacing w:after="0"/>
        <w:tabs>
          <w:tab w:leader="none" w:pos="46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Sponsoring Organization must notify us in advance of the requested cancellation date; and</w:t>
      </w:r>
    </w:p>
    <w:p>
      <w:pPr>
        <w:spacing w:after="0" w:line="9" w:lineRule="exact"/>
        <w:rPr>
          <w:rFonts w:ascii="Times New Roman" w:cs="Times New Roman" w:eastAsia="Times New Roman" w:hAnsi="Times New Roman"/>
          <w:sz w:val="18"/>
          <w:szCs w:val="18"/>
          <w:color w:val="auto"/>
        </w:rPr>
      </w:pPr>
    </w:p>
    <w:p>
      <w:pPr>
        <w:ind w:left="463" w:right="1080" w:hanging="462"/>
        <w:spacing w:after="0" w:line="276" w:lineRule="auto"/>
        <w:tabs>
          <w:tab w:leader="none" w:pos="46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Sponsoring Organization must provide proof of notification to each member of the Defined Group covered under this policy.</w:t>
      </w:r>
    </w:p>
    <w:p>
      <w:pPr>
        <w:spacing w:after="0" w:line="42" w:lineRule="exact"/>
        <w:rPr>
          <w:sz w:val="20"/>
          <w:szCs w:val="20"/>
          <w:color w:val="auto"/>
        </w:rPr>
      </w:pPr>
    </w:p>
    <w:p>
      <w:pPr>
        <w:ind w:left="3" w:right="160" w:hanging="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w:t>
      </w:r>
      <w:r>
        <w:rPr>
          <w:rFonts w:ascii="Times New Roman" w:cs="Times New Roman" w:eastAsia="Times New Roman" w:hAnsi="Times New Roman"/>
          <w:sz w:val="18"/>
          <w:szCs w:val="18"/>
          <w:color w:val="auto"/>
        </w:rPr>
        <w:t>may cancel this policy or any part of it subject to the following conditions. Our right to cancel applies to each coverage or limit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In the event we cancel this policy, we are under no obligation to provide you with an opportunity to purchase equivalent coverage.</w:t>
      </w:r>
    </w:p>
    <w:p>
      <w:pPr>
        <w:spacing w:after="0" w:line="33" w:lineRule="exact"/>
        <w:rPr>
          <w:sz w:val="20"/>
          <w:szCs w:val="20"/>
          <w:color w:val="auto"/>
        </w:rPr>
      </w:pPr>
    </w:p>
    <w:p>
      <w:pPr>
        <w:ind w:left="3" w:right="160" w:firstLine="1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Within 60 days. </w:t>
      </w:r>
      <w:r>
        <w:rPr>
          <w:rFonts w:ascii="Times New Roman" w:cs="Times New Roman" w:eastAsia="Times New Roman" w:hAnsi="Times New Roman"/>
          <w:sz w:val="18"/>
          <w:szCs w:val="18"/>
          <w:color w:val="auto"/>
        </w:rPr>
        <w:t>When this policy or any part of it has been in effect for less than 60 days, we may cancel with 30 days notice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w:t>
      </w:r>
    </w:p>
    <w:p>
      <w:pPr>
        <w:spacing w:after="0" w:line="47" w:lineRule="exact"/>
        <w:rPr>
          <w:sz w:val="20"/>
          <w:szCs w:val="20"/>
          <w:color w:val="auto"/>
        </w:rPr>
      </w:pPr>
    </w:p>
    <w:p>
      <w:pPr>
        <w:jc w:val="both"/>
        <w:ind w:left="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 payment of premium. </w:t>
      </w:r>
      <w:r>
        <w:rPr>
          <w:rFonts w:ascii="Times New Roman" w:cs="Times New Roman" w:eastAsia="Times New Roman" w:hAnsi="Times New Roman"/>
          <w:sz w:val="18"/>
          <w:szCs w:val="18"/>
          <w:color w:val="auto"/>
        </w:rPr>
        <w:t>We may cancel this policy or any part of it with 10 days notice if the Sponsoring Organization or you fail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premium by the due date, regardless of whether the premium is payable to us, to our agent, or under any financial credit.</w:t>
      </w:r>
    </w:p>
    <w:p>
      <w:pPr>
        <w:spacing w:after="0" w:line="47" w:lineRule="exact"/>
        <w:rPr>
          <w:sz w:val="20"/>
          <w:szCs w:val="20"/>
          <w:color w:val="auto"/>
        </w:rPr>
      </w:pPr>
    </w:p>
    <w:p>
      <w:pPr>
        <w:ind w:left="3" w:right="160" w:hanging="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Misrepresentation. </w:t>
      </w:r>
      <w:r>
        <w:rPr>
          <w:rFonts w:ascii="Times New Roman" w:cs="Times New Roman" w:eastAsia="Times New Roman" w:hAnsi="Times New Roman"/>
          <w:sz w:val="17"/>
          <w:szCs w:val="17"/>
          <w:color w:val="auto"/>
        </w:rPr>
        <w:t>We may cancel this policy or any part of it with 30 days notice if the coverage was obtained through misrepresentation,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fraudulent statements, or omissions or concealment of a fact that is relevant to the acceptance of the risk or to the hazard we assumed.</w:t>
      </w:r>
    </w:p>
    <w:p>
      <w:pPr>
        <w:spacing w:after="0" w:line="24" w:lineRule="exact"/>
        <w:rPr>
          <w:sz w:val="20"/>
          <w:szCs w:val="20"/>
          <w:color w:val="auto"/>
        </w:rPr>
      </w:pPr>
    </w:p>
    <w:p>
      <w:pPr>
        <w:jc w:val="both"/>
        <w:ind w:left="3" w:firstLine="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Increase in hazard. </w:t>
      </w:r>
      <w:r>
        <w:rPr>
          <w:rFonts w:ascii="Times New Roman" w:cs="Times New Roman" w:eastAsia="Times New Roman" w:hAnsi="Times New Roman"/>
          <w:sz w:val="18"/>
          <w:szCs w:val="18"/>
          <w:color w:val="auto"/>
        </w:rPr>
        <w:t>We may cancel this policy or any part of it with 30 days notice if there has been a substantial change in the risk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the chance of loss after insurance coverage has been issued or renewed, including but not limited to an increase in exposure due to rules, legislation, or court decision.</w:t>
      </w:r>
    </w:p>
    <w:p>
      <w:pPr>
        <w:spacing w:after="0" w:line="90" w:lineRule="exact"/>
        <w:rPr>
          <w:sz w:val="20"/>
          <w:szCs w:val="20"/>
          <w:color w:val="auto"/>
        </w:rPr>
      </w:pPr>
    </w:p>
    <w:p>
      <w:pPr>
        <w:ind w:left="3"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Ineligible for coverage. </w:t>
      </w:r>
      <w:r>
        <w:rPr>
          <w:rFonts w:ascii="Times New Roman" w:cs="Times New Roman" w:eastAsia="Times New Roman" w:hAnsi="Times New Roman"/>
          <w:sz w:val="18"/>
          <w:szCs w:val="18"/>
          <w:color w:val="auto"/>
        </w:rPr>
        <w:t>We may cancel this policy or any part of it with 30 days notice if you no longer qualify as a member of the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w:t>
      </w:r>
    </w:p>
    <w:p>
      <w:pPr>
        <w:sectPr>
          <w:pgSz w:w="11900" w:h="16838" w:orient="portrait"/>
          <w:cols w:equalWidth="0" w:num="1">
            <w:col w:w="10243"/>
          </w:cols>
          <w:pgMar w:left="837" w:top="1323" w:right="819" w:bottom="1440" w:gutter="0" w:footer="0" w:header="0"/>
        </w:sectPr>
      </w:pPr>
    </w:p>
    <w:bookmarkStart w:id="101" w:name="page102"/>
    <w:bookmarkEnd w:id="101"/>
    <w:p>
      <w:pPr>
        <w:jc w:val="both"/>
        <w:ind w:left="20" w:firstLine="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Procedure. </w:t>
      </w:r>
      <w:r>
        <w:rPr>
          <w:rFonts w:ascii="Times New Roman" w:cs="Times New Roman" w:eastAsia="Times New Roman" w:hAnsi="Times New Roman"/>
          <w:sz w:val="18"/>
          <w:szCs w:val="18"/>
          <w:color w:val="auto"/>
        </w:rPr>
        <w:t>To cancel this policy or any part of it, we must notify you in writing. This notice will be mailed to the Sponsoring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at the mailing address shown in the Coverage Summary Certificate and we will obtain a certificate of mailing. This notice will include the date the cancellation is to take effect.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Should an individual for any reason no longer qualify as a member of the Defined Group, coverage will cease sixty</w:t>
      </w:r>
    </w:p>
    <w:p>
      <w:pPr>
        <w:spacing w:after="0" w:line="31" w:lineRule="exact"/>
        <w:rPr>
          <w:sz w:val="20"/>
          <w:szCs w:val="20"/>
          <w:color w:val="auto"/>
        </w:rPr>
      </w:pPr>
    </w:p>
    <w:p>
      <w:pPr>
        <w:jc w:val="both"/>
        <w:spacing w:after="0" w:line="263" w:lineRule="auto"/>
        <w:tabs>
          <w:tab w:leader="none" w:pos="35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that individual no longer qualifies as a member of the Defined Group, the policy expiration or cancellation date, or the effective date of termination shown for the individual on the Sponsoring Organization's Defined Group Member Participant Change Endorsement, whichever comes first.</w:t>
      </w:r>
    </w:p>
    <w:p>
      <w:pPr>
        <w:spacing w:after="0" w:line="40" w:lineRule="exact"/>
        <w:rPr>
          <w:sz w:val="20"/>
          <w:szCs w:val="20"/>
          <w:color w:val="auto"/>
        </w:rPr>
      </w:pPr>
    </w:p>
    <w:p>
      <w:pPr>
        <w:jc w:val="both"/>
        <w:ind w:firstLine="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Refund. </w:t>
      </w:r>
      <w:r>
        <w:rPr>
          <w:rFonts w:ascii="Times New Roman" w:cs="Times New Roman" w:eastAsia="Times New Roman" w:hAnsi="Times New Roman"/>
          <w:sz w:val="18"/>
          <w:szCs w:val="18"/>
          <w:color w:val="auto"/>
        </w:rPr>
        <w:t>In the event of cancellation by the Sponsoring Organization or us, we will refund any unearned premium on the effective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cancellation, or as soon as possible afterwards to the Sponsoring Organization. The unearned premium will be computed pro rata for the unexpired term of the policy.</w:t>
      </w:r>
    </w:p>
    <w:p>
      <w:pPr>
        <w:sectPr>
          <w:pgSz w:w="11900" w:h="16838" w:orient="portrait"/>
          <w:cols w:equalWidth="0" w:num="1">
            <w:col w:w="10000"/>
          </w:cols>
          <w:pgMar w:left="940" w:top="1332" w:right="9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INDEMNIFICATION 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dated as of the ____ day of _________, 20___ between Northrop Grumman Corporation, a Delaware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and ______________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WHEREAS, it has come to the attention of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that in certain circumstances highly competent persons have become more reluctant to serve publicly-held corporations as directors, officers or in other capacities unless they are provided with adequate protection from the risk of liability due to claims and actions against them arising out of their service to and activities on behalf of such corporations; and</w:t>
      </w:r>
    </w:p>
    <w:p>
      <w:pPr>
        <w:spacing w:after="0" w:line="193" w:lineRule="exact"/>
        <w:rPr>
          <w:sz w:val="20"/>
          <w:szCs w:val="20"/>
          <w:color w:val="auto"/>
        </w:rPr>
      </w:pPr>
    </w:p>
    <w:p>
      <w:pPr>
        <w:jc w:val="both"/>
        <w:ind w:right="560" w:firstLine="648"/>
        <w:spacing w:after="0" w:line="257" w:lineRule="auto"/>
        <w:rPr>
          <w:sz w:val="20"/>
          <w:szCs w:val="20"/>
          <w:color w:val="auto"/>
        </w:rPr>
      </w:pPr>
      <w:r>
        <w:rPr>
          <w:rFonts w:ascii="Times New Roman" w:cs="Times New Roman" w:eastAsia="Times New Roman" w:hAnsi="Times New Roman"/>
          <w:sz w:val="22"/>
          <w:szCs w:val="22"/>
          <w:color w:val="auto"/>
        </w:rPr>
        <w:t>WHEREAS, it has also come to the attention of the Board that, in this regard, the difficulty of maintaining adequate liability insurance and the uncertainties related to indemnification for directors and officers have increased the difficulty of attracting and retaining such highly competent persons; and</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WHEREAS, the Board has determined that an increased difficulty in attracting and retaining such highly competent persons is detrimental to the best interests of the Corporation and its stockholders and that persons serving the Corporation should be assured they will have adequate protection from certain liabilities; and</w:t>
      </w:r>
    </w:p>
    <w:p>
      <w:pPr>
        <w:spacing w:after="0" w:line="186"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WHEREAS, it is reasonable, prudent and necessary for the Corporation to obligate itself contractually to indemnify such persons to the fullest extent permitted by applicable law (but subject to the express limitations in this Agreement), so that such persons will serve or continue to serve the Corporation, free from undue concern that they will not be adequately indemnified; and</w:t>
      </w:r>
    </w:p>
    <w:p>
      <w:pPr>
        <w:spacing w:after="0" w:line="179" w:lineRule="exact"/>
        <w:rPr>
          <w:sz w:val="20"/>
          <w:szCs w:val="20"/>
          <w:color w:val="auto"/>
        </w:rPr>
      </w:pPr>
    </w:p>
    <w:p>
      <w:pPr>
        <w:jc w:val="both"/>
        <w:ind w:right="160" w:firstLine="648"/>
        <w:spacing w:after="0" w:line="281" w:lineRule="auto"/>
        <w:rPr>
          <w:sz w:val="20"/>
          <w:szCs w:val="20"/>
          <w:color w:val="auto"/>
        </w:rPr>
      </w:pPr>
      <w:r>
        <w:rPr>
          <w:rFonts w:ascii="Times New Roman" w:cs="Times New Roman" w:eastAsia="Times New Roman" w:hAnsi="Times New Roman"/>
          <w:sz w:val="21"/>
          <w:szCs w:val="21"/>
          <w:color w:val="auto"/>
        </w:rPr>
        <w:t>WHEREAS, this Agreement is a supplement to and in furtherance of any rights granted under the Restated Certificate of Incorporation of the Corporation, or Article V of the Restated Bylaws of the Corporation, and any resolutions adopted pursuant thereto, and shall not be deemed to be a substitute therefor nor to diminish or abrogate any rights of Indemnitee thereunder; and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Indemnitee and the Corporation are parties to that certain Indemnification Agreement dated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(the “Existing Indemnification Agreement”) and Indemnitee and the Corporation wish to amend and restate the</w:t>
      </w:r>
    </w:p>
    <w:p>
      <w:pPr>
        <w:spacing w:after="0" w:line="1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2"/>
          <w:szCs w:val="22"/>
          <w:color w:val="auto"/>
        </w:rPr>
        <w:t>Existing Indemnification Agreement to clarify the Corporation’s obligations under the Existing Indemnification Agreement and to provide for certain additional rights granted or to be granted to new directors and officers of the Corporation]; and</w:t>
      </w:r>
    </w:p>
    <w:p>
      <w:pPr>
        <w:spacing w:after="0" w:line="168"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WHEREAS, Indemnitee is willing to serve the Corporation in the capacity or capacities in which he or she serves, continue so to serve and, if appropriate, to take on additional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for or on behalf of the Corporation on the condition that Indemnitee be indemnified according to the terms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premises and the covenants contained herein, the Corporation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Indemnitee do hereby covenant and agree as follows: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Agreement:</w:t>
      </w:r>
    </w:p>
    <w:p>
      <w:pPr>
        <w:spacing w:after="0" w:line="179" w:lineRule="exact"/>
        <w:rPr>
          <w:sz w:val="20"/>
          <w:szCs w:val="20"/>
          <w:color w:val="auto"/>
        </w:rPr>
      </w:pPr>
    </w:p>
    <w:p>
      <w:pPr>
        <w:ind w:firstLine="656"/>
        <w:spacing w:after="0" w:line="217" w:lineRule="auto"/>
        <w:tabs>
          <w:tab w:leader="none" w:pos="129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a change in control of the Corporation, occurring after the Effective Date, which would be required to be reported in response to Item 6(e) of Schedule 14A under Regulation 14A (or in response to any similar item on any similar schedule or form) promulgated under the Securities Exchange Act of 1934, as amended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whether or not the Corporation is then subject to such reporting requirement. Without limiting the generality of the foregoing, a Change in Control shall be deemed to have occurred if, after the Effective Date: (i) any “person” (as such term is used in Sections 13(d) and 14(d) of the Act) is or becomes the “beneficial owner” (as defined in Rule 13d-3 under the Act), directly or indirectly, of securities of the Corporation representing 20% or more of the combined voting power of the Corporation’s then outstanding securities without the prior approval of at least two-thirds of the members of the Board in office immediately prior to such person attaining such percentage interest; (ii) the Corporation is a party to a merger, consolidation, sale of assets or other reorganization, or a proxy contest, as a consequence of which (A) members of the Board in office immediately prior to such transaction or event constitute less than a majority of the Board thereafter or (B) the voting securities of the Corporation outstanding immediately prior to such transaction do not continue to represent (either by remaining outstanding or by being converted into voting securities of the surviving entity, or any direct or indirect parent entity thereof) more than 51% of the combined voting power of the voting securities of the surviving entity, or any direct or indirect parent entity thereof, outstanding immediately after such transaction with the power to elect at least a majority of the board of directors or other governing body of such entity; (iii) an involuntary case or other proceeding shall be commenced against the Corporation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Corporation under any such bankruptcy laws as now or hereafter in effect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or (iv) during any period of two consecutive years, individuals who at the beginning of such period constituted the Board (including for this purpose any new director whose election or nomination for election by the Corporation’s stockholders was approved by a vote of at least two-thirds of the directors then still office who were directors at the beginning of such period or whose election or nomination for election was previously so approved) cease for any reason to constitute at least a majority of the Board.</w:t>
      </w:r>
    </w:p>
    <w:p>
      <w:pPr>
        <w:spacing w:after="0" w:line="159" w:lineRule="exact"/>
        <w:rPr>
          <w:rFonts w:ascii="Times New Roman" w:cs="Times New Roman" w:eastAsia="Times New Roman" w:hAnsi="Times New Roman"/>
          <w:sz w:val="21"/>
          <w:szCs w:val="21"/>
          <w:color w:val="auto"/>
        </w:rPr>
      </w:pPr>
    </w:p>
    <w:p>
      <w:pPr>
        <w:ind w:right="100" w:firstLine="656"/>
        <w:spacing w:after="0" w:line="217" w:lineRule="auto"/>
        <w:tabs>
          <w:tab w:leader="none" w:pos="12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Corporate Status</w:t>
      </w:r>
      <w:r>
        <w:rPr>
          <w:rFonts w:ascii="Times New Roman" w:cs="Times New Roman" w:eastAsia="Times New Roman" w:hAnsi="Times New Roman"/>
          <w:sz w:val="22"/>
          <w:szCs w:val="22"/>
          <w:color w:val="auto"/>
        </w:rPr>
        <w:t>” means the status of Indemnitee as a current or former director, officer, employee, agent or fiduciary of the Corporation or of any other corporation, partnership, joint venture, trust, employee benefit plan or other enterprise which such person is or was serving at the request of the Corporation, including as a deemed fiduciary. For the avoidance of doubt, an Indemnitee’s Corporate Status shall not provide him or her any rights under this Agreement with respect to the acts or omissions addressed by the first sentence of Section 17(c) of this Agreement.</w:t>
      </w:r>
    </w:p>
    <w:p>
      <w:pPr>
        <w:spacing w:after="0" w:line="152" w:lineRule="exact"/>
        <w:rPr>
          <w:rFonts w:ascii="Times New Roman" w:cs="Times New Roman" w:eastAsia="Times New Roman" w:hAnsi="Times New Roman"/>
          <w:sz w:val="22"/>
          <w:szCs w:val="22"/>
          <w:color w:val="auto"/>
        </w:rPr>
      </w:pPr>
    </w:p>
    <w:p>
      <w:pPr>
        <w:ind w:right="620" w:firstLine="656"/>
        <w:spacing w:after="0" w:line="236" w:lineRule="auto"/>
        <w:tabs>
          <w:tab w:leader="none" w:pos="129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Disinterested Director</w:t>
      </w:r>
      <w:r>
        <w:rPr>
          <w:rFonts w:ascii="Times New Roman" w:cs="Times New Roman" w:eastAsia="Times New Roman" w:hAnsi="Times New Roman"/>
          <w:sz w:val="22"/>
          <w:szCs w:val="22"/>
          <w:color w:val="auto"/>
        </w:rPr>
        <w:t>” means a director of the Corporation who is not and was not a party to the Proceeding in respect of which indemnification is sought by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-718185</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22" w:right="359" w:bottom="1440" w:gutter="0" w:footer="0" w:header="0"/>
        </w:sectPr>
      </w:pPr>
    </w:p>
    <w:bookmarkStart w:id="104" w:name="page105"/>
    <w:bookmarkEnd w:id="104"/>
    <w:p>
      <w:pPr>
        <w:ind w:left="1280" w:hanging="644"/>
        <w:spacing w:after="0"/>
        <w:tabs>
          <w:tab w:leader="none" w:pos="12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as of _________, 20___.</w:t>
      </w:r>
    </w:p>
    <w:p>
      <w:pPr>
        <w:spacing w:after="0" w:line="179" w:lineRule="exact"/>
        <w:rPr>
          <w:rFonts w:ascii="Times New Roman" w:cs="Times New Roman" w:eastAsia="Times New Roman" w:hAnsi="Times New Roman"/>
          <w:sz w:val="22"/>
          <w:szCs w:val="22"/>
          <w:color w:val="auto"/>
        </w:rPr>
      </w:pPr>
    </w:p>
    <w:p>
      <w:pPr>
        <w:ind w:left="-20" w:right="20" w:firstLine="656"/>
        <w:spacing w:after="0" w:line="208" w:lineRule="auto"/>
        <w:tabs>
          <w:tab w:leader="none" w:pos="127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shall be broadly construed and shall include all reasonable attorneys’ fees, retainers, court costs, transcript costs, fees of experts, witness fees, travel expenses, duplicating costs, printing and binding costs, communication charges, postage, delivery service fees, and all other customary direct or indirect disbursements or expenses in connection with prosecuting, defending, preparing to prosecute or defend, investigating, or being or preparing to be a witness in a Proceeding or a proceeding to enforce Indemnitee’s rights under this Agreement. The term “Expenses” shall also include Expenses incurred in connection with any appeal resulting from any Proceeding, including without limitation, the premium, security for, and other costs relating to any cost bond, supersedeas bond or other appeal bond or its equivalent and any federal, state, local or foreign taxes imposed on Indemnitee as a result of the actual or deemed receipt of payments under this Agreement. The parties agree that, to the fullest extent permitted by law, for the purposes of any advancement of Expenses for which Indemnitee has made written demand to the Corporation in accordance with this Agreement, all Expenses included in such demand that are certified by affidavit of Indemnitee’s counsel as being prudent and appropriate in the good faith judgment of such counsel shall be presumed conclusively to be reasonable Expenses. To the fullest extent permitted by law, the Corporation agrees that, in any proceeding for an advancement of Expenses, it will not assert or make any claim that any Expenses (including without limitation attorneys’ fees and expert witness or consultant fees) incurred by or on behalf of Indemnitee are not reasonable if counsel for Indemnitee certifies by affidavit his or her belief that such Expenses were prudent and appropriate in the good faith judgment of such counsel; provided that, following the final disposition of the Proceeding for which Expenses are advanced, the Corporation may seek to recover any Expenses that it establishes are not reasonable in an action brought to enforce the undertaking granted by Indemnitee pursuant to Section 9. The term “Expenses” shall not include the amount of judgments, fines or penalties against Indemnitee or amounts paid in settlement in connection with such matters.</w:t>
      </w:r>
    </w:p>
    <w:p>
      <w:pPr>
        <w:spacing w:after="0" w:line="154" w:lineRule="exact"/>
        <w:rPr>
          <w:rFonts w:ascii="Times New Roman" w:cs="Times New Roman" w:eastAsia="Times New Roman" w:hAnsi="Times New Roman"/>
          <w:sz w:val="22"/>
          <w:szCs w:val="22"/>
          <w:color w:val="auto"/>
        </w:rPr>
      </w:pPr>
    </w:p>
    <w:p>
      <w:pPr>
        <w:ind w:left="-20" w:firstLine="656"/>
        <w:spacing w:after="0" w:line="213" w:lineRule="auto"/>
        <w:tabs>
          <w:tab w:leader="none" w:pos="127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Independent Counsel</w:t>
      </w:r>
      <w:r>
        <w:rPr>
          <w:rFonts w:ascii="Times New Roman" w:cs="Times New Roman" w:eastAsia="Times New Roman" w:hAnsi="Times New Roman"/>
          <w:sz w:val="22"/>
          <w:szCs w:val="22"/>
          <w:color w:val="auto"/>
        </w:rPr>
        <w:t>” means an attorney, a law firm, or a member of a law firm, who (or which) is experienced in matters of corporation law and neither presently is, nor in the past five years has been, retained to represent: (i) the Corporation, any entity or enterprise controlled by the Corporation, or Indemnitee or any entity controlled by Indemnitee, in any other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Corporation or Indemnitee in an action to determine Indemnitee’s rights under this Agreement.</w:t>
      </w:r>
    </w:p>
    <w:p>
      <w:pPr>
        <w:spacing w:after="0" w:line="156" w:lineRule="exact"/>
        <w:rPr>
          <w:rFonts w:ascii="Times New Roman" w:cs="Times New Roman" w:eastAsia="Times New Roman" w:hAnsi="Times New Roman"/>
          <w:sz w:val="22"/>
          <w:szCs w:val="22"/>
          <w:color w:val="auto"/>
        </w:rPr>
      </w:pPr>
    </w:p>
    <w:p>
      <w:pPr>
        <w:ind w:left="-20" w:right="260" w:firstLine="656"/>
        <w:spacing w:after="0" w:line="213" w:lineRule="auto"/>
        <w:tabs>
          <w:tab w:leader="none" w:pos="127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any threatened, pending or completed action, suit, or proceeding, whether civil, criminal, administrative or investigative, and whether formal or informal, except one initiated by an Indemnitee pursuant to Section 12 of this Agreement to enforce Indemnitee’s rights under this Agreement. Without limiting the foregoing, the term “Proceeding” shall include any arbitration, alternate dispute resolution mechanism, investigation, administrative hearing, subpoena or other response to process served, request for information from government agencies or other third parties, internal investigation, any other proceeding or other process that Indemnitee in good faith believes might lead to the institution of a Proceeding.</w:t>
      </w:r>
    </w:p>
    <w:p>
      <w:pPr>
        <w:spacing w:after="0" w:line="156" w:lineRule="exact"/>
        <w:rPr>
          <w:rFonts w:ascii="Times New Roman" w:cs="Times New Roman" w:eastAsia="Times New Roman" w:hAnsi="Times New Roman"/>
          <w:sz w:val="22"/>
          <w:szCs w:val="22"/>
          <w:color w:val="auto"/>
        </w:rPr>
      </w:pPr>
    </w:p>
    <w:p>
      <w:pPr>
        <w:ind w:left="-20" w:right="60" w:firstLine="656"/>
        <w:spacing w:after="0" w:line="217" w:lineRule="auto"/>
        <w:tabs>
          <w:tab w:leader="none" w:pos="127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Rating Event</w:t>
      </w:r>
      <w:r>
        <w:rPr>
          <w:rFonts w:ascii="Times New Roman" w:cs="Times New Roman" w:eastAsia="Times New Roman" w:hAnsi="Times New Roman"/>
          <w:sz w:val="22"/>
          <w:szCs w:val="22"/>
          <w:color w:val="auto"/>
        </w:rPr>
        <w:t>” means the Corporation’s “issuer credit rating” from Standard &amp; Poor’s Financial Services LLC is or is lowered to BBB or lower on any day within the five-year period after the occurrence of a Change in Control; provided, that if Standard &amp; Poor’s Financial Services LLC ceases to provide an issuer credit rating for the Corporation, the Corporation shall select a comparable statistical rating organization and rating level as a replacement for purposes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1395" w:right="359" w:bottom="1440" w:gutter="0" w:footer="0" w:header="0"/>
        </w:sectPr>
      </w:pPr>
    </w:p>
    <w:bookmarkStart w:id="105" w:name="page106"/>
    <w:bookmarkEnd w:id="105"/>
    <w:p>
      <w:pPr>
        <w:ind w:firstLine="656"/>
        <w:spacing w:after="0" w:line="217" w:lineRule="auto"/>
        <w:tabs>
          <w:tab w:leader="none" w:pos="128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u w:val="single" w:color="auto"/>
          <w:color w:val="auto"/>
        </w:rPr>
        <w:t>fines</w:t>
      </w:r>
      <w:r>
        <w:rPr>
          <w:rFonts w:ascii="Times New Roman" w:cs="Times New Roman" w:eastAsia="Times New Roman" w:hAnsi="Times New Roman"/>
          <w:sz w:val="22"/>
          <w:szCs w:val="22"/>
          <w:color w:val="auto"/>
        </w:rPr>
        <w:t>” shall include any excise tax assessed with respect to any employee benefit plan; references to “serving at the request of the Corporation” shall include services by such director, officer, employee or agent with respect to an employee benefit plan, its participants or beneficiaries; and a person who acted in good faith and in a manner such person reasonably believed to be in the best interests of the participants and beneficiaries of an employee benefit plan shall be deemed to have acted in a manner “not opposed to the best interests of the Corporation” as referred to in this Agreement.</w:t>
      </w:r>
    </w:p>
    <w:p>
      <w:pPr>
        <w:spacing w:after="0" w:line="13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Services by Indemnitee</w:t>
      </w:r>
      <w:r>
        <w:rPr>
          <w:rFonts w:ascii="Times New Roman" w:cs="Times New Roman" w:eastAsia="Times New Roman" w:hAnsi="Times New Roman"/>
          <w:sz w:val="21"/>
          <w:szCs w:val="21"/>
          <w:color w:val="auto"/>
        </w:rPr>
        <w:t>. Indemnitee agrees to serve as a ___________ of the Corporation (the “Office”).</w:t>
      </w:r>
    </w:p>
    <w:p>
      <w:pPr>
        <w:ind w:right="80"/>
        <w:spacing w:after="0" w:line="214" w:lineRule="auto"/>
        <w:rPr>
          <w:sz w:val="20"/>
          <w:szCs w:val="20"/>
          <w:color w:val="auto"/>
        </w:rPr>
      </w:pPr>
      <w:r>
        <w:rPr>
          <w:rFonts w:ascii="Times New Roman" w:cs="Times New Roman" w:eastAsia="Times New Roman" w:hAnsi="Times New Roman"/>
          <w:sz w:val="22"/>
          <w:szCs w:val="22"/>
          <w:color w:val="auto"/>
        </w:rPr>
        <w:t>Indemnitee may at any time and for any reason resign from any such position (subject to any other contractual obligation or any obligation imposed by operation of law) in which event the Corporation shall have no obligations under this Agreement to continue Indemnitee in such position. This Agreement shall not be deemed an employment contract between the Corporation (or any of its subsidiaries or any other entity or enterprise) and Indemnitee.</w:t>
      </w:r>
    </w:p>
    <w:p>
      <w:pPr>
        <w:spacing w:after="0" w:line="154"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Corporation shall indemnify Indemnitee to the fullest extent permitted by applicable law if Indemnitee is a party to, or is threatened to be made a party to, or is otherwise involved in, any Proceeding (including a Proceeding by or in the right of the Corporation to procure a judgment in its favor) by reason of Indemnitee’s Corporate Status against all Expenses, judgments, fines and amounts paid in settlement actually and reasonably incurred by Indemnitee in connection with such Proceeding. For purposes of this Section 3, the meaning of the phrase “to the fullest extent permitted by applicable law” shall include, but not be limited to the fullest extent authorized or permitted by any amendments to or replacements of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that increase the extent to which a corporation may indemnify its officers and directors (including amendments to or replacements of any provisions that authorize or contemplate additional indemnification by agreement). For the avoidance of doubt, if Indemnitee becomes a party to, or is otherwise involved in, any Proceeding initiated by the Corporation or any governmental or regulatory body to require Indemnitee to repay an advancement of expenses from the Corporation or to obtain a determination from a judicial or regulatory body that indemnification is prohibited by applicable law, the Corporation shall, to the fullest extent permitted by law, indemnify Indemnitee for the Expenses Indemnitee incurs in such suit and advance Expenses to Indemnitee prior to the final disposition of such suit.</w:t>
      </w:r>
    </w:p>
    <w:p>
      <w:pPr>
        <w:spacing w:after="0" w:line="156"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Proceedings Other Than Proceedings by or in the Right of the Corporation</w:t>
      </w:r>
      <w:r>
        <w:rPr>
          <w:rFonts w:ascii="Times New Roman" w:cs="Times New Roman" w:eastAsia="Times New Roman" w:hAnsi="Times New Roman"/>
          <w:sz w:val="22"/>
          <w:szCs w:val="22"/>
          <w:color w:val="auto"/>
        </w:rPr>
        <w:t>. Without limiting the scope of Section 3, Indemnitee shall be entitled to the rights of indemnification provided in this Section if, by reason of Indemnitee’s Corporate Status, Indemnitee is, or is threatened to be made, a party to any Proceeding, other than a Proceeding by or in the right of the Corporation. Pursuant to this Section, Indemnitee shall be indemnified against all Expenses, judgments, penalties, fines, other monetary remedies and amounts paid in settlement incurred by Indemnitee or on Indemnitee’s behalf in connection with any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w:t>
      </w:r>
    </w:p>
    <w:p>
      <w:pPr>
        <w:spacing w:after="0" w:line="156" w:lineRule="exact"/>
        <w:rPr>
          <w:sz w:val="20"/>
          <w:szCs w:val="20"/>
          <w:color w:val="auto"/>
        </w:rPr>
      </w:pPr>
    </w:p>
    <w:p>
      <w:pPr>
        <w:ind w:right="2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Proceedings by or in the Right of the Corporation</w:t>
      </w:r>
      <w:r>
        <w:rPr>
          <w:rFonts w:ascii="Times New Roman" w:cs="Times New Roman" w:eastAsia="Times New Roman" w:hAnsi="Times New Roman"/>
          <w:sz w:val="22"/>
          <w:szCs w:val="22"/>
          <w:color w:val="auto"/>
        </w:rPr>
        <w:t>. Without limiting the scope of Section 3, Indemnitee shall be entitled to the rights of indemnification provided in this Section if, by reason of Indemnitee’s Corporate Status, Indemnitee is, or is threatened to be made, a party to any Proceeding brought by or in the right of the Corporation to procure a judgment in its favor. Pursuant to this Section, Indemnitee shall be indemnified against Expenses incurred by Indemnitee or on Indemnitee’s behalf in connection with any such Proceeding if Indemnitee acted in good faith and in a manner Indemnitee reasonably believed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395" w:right="379" w:bottom="1440" w:gutter="0" w:footer="0" w:header="0"/>
        </w:sectPr>
      </w:pPr>
    </w:p>
    <w:bookmarkStart w:id="106" w:name="page107"/>
    <w:bookmarkEnd w:id="106"/>
    <w:p>
      <w:pPr>
        <w:ind w:right="60"/>
        <w:spacing w:after="0" w:line="212" w:lineRule="auto"/>
        <w:rPr>
          <w:sz w:val="20"/>
          <w:szCs w:val="20"/>
          <w:color w:val="auto"/>
        </w:rPr>
      </w:pPr>
      <w:r>
        <w:rPr>
          <w:rFonts w:ascii="Times New Roman" w:cs="Times New Roman" w:eastAsia="Times New Roman" w:hAnsi="Times New Roman"/>
          <w:sz w:val="22"/>
          <w:szCs w:val="22"/>
          <w:color w:val="auto"/>
        </w:rPr>
        <w:t>be in or not opposed to the best interests of the Corporation. Notwithstanding the foregoing, no indemnification against such Expenses shall be made in respect of any claim, issue or matter in any such Proceeding as to which Indemnitee shall have been adjudged to be liable to the Corporation if applicable law prohibits such indemnification; provided, however, that if applicable law so permits, indemnification against Expenses shall nevertheless be made by the Corporation in such event if, and only to the extent that, the Court of Chancery of the State of Delaware (the “</w:t>
      </w:r>
      <w:r>
        <w:rPr>
          <w:rFonts w:ascii="Times New Roman" w:cs="Times New Roman" w:eastAsia="Times New Roman" w:hAnsi="Times New Roman"/>
          <w:sz w:val="22"/>
          <w:szCs w:val="22"/>
          <w:u w:val="single" w:color="auto"/>
          <w:color w:val="auto"/>
        </w:rPr>
        <w:t>Delaware Court</w:t>
      </w:r>
      <w:r>
        <w:rPr>
          <w:rFonts w:ascii="Times New Roman" w:cs="Times New Roman" w:eastAsia="Times New Roman" w:hAnsi="Times New Roman"/>
          <w:sz w:val="22"/>
          <w:szCs w:val="22"/>
          <w:color w:val="auto"/>
        </w:rPr>
        <w:t>”), or the court in which such Proceeding shall have been brought or is pending, shall determine upon application that, despite the adjudication of liability but in view of all the circumstances of the case, Indemnitee is fairly and reasonably entitled to indemnification for such Expenses as the Delaware Court or such other court shall deem proper.</w:t>
      </w:r>
    </w:p>
    <w:p>
      <w:pPr>
        <w:spacing w:after="0" w:line="156" w:lineRule="exact"/>
        <w:rPr>
          <w:sz w:val="20"/>
          <w:szCs w:val="20"/>
          <w:color w:val="auto"/>
        </w:rPr>
      </w:pPr>
    </w:p>
    <w:p>
      <w:pPr>
        <w:ind w:right="1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To the fullest extent permitted by applicable law, if the indemnification provided for in this Agreement is unavailable to Indemnitee for any reason whatsoever, the Corporation, in lieu of indemnifying Indemnitee, shall contribute to the amount incurred by Indemnitee, whether for Expenses, judgments, fines, penalties, other monetary remedies, amounts paid or to be paid in settlement in connection with any claim relating to a Proceeding, in such proportion as is deemed fair and reasonable in light of all of the circumstances of such Proceeding in order to reflect (i) the relative benefits received by the Corporation and Indemnitee as a result of the events or transactions giving rise to such Proceeding; and/or (ii) the relative fault of the Corporation (and its directors, officers, employees and agents) and Indemnitee in connection with such events or transactions.</w:t>
      </w:r>
    </w:p>
    <w:p>
      <w:pPr>
        <w:spacing w:after="0" w:line="156"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Indemnification for Expenses of a Party Who is Wholly or Partly Successful</w:t>
      </w:r>
      <w:r>
        <w:rPr>
          <w:rFonts w:ascii="Times New Roman" w:cs="Times New Roman" w:eastAsia="Times New Roman" w:hAnsi="Times New Roman"/>
          <w:sz w:val="21"/>
          <w:szCs w:val="21"/>
          <w:color w:val="auto"/>
        </w:rPr>
        <w:t>. Notwithstanding any other provision of this Agreement (other than Section 17), to the extent that Indemnitee is successful, on the merits or otherwise, in defense of any Proceeding, or in defense of any Claim, issue or matter therein, Indemnitee shall be indemnified by the Corporation against all Expenses incurred by Indemnitee or on Indemnitee’s behalf in connection therewith. If Indemnitee is not wholly successful in such Proceeding but is successful, on the merits or otherwise, as to one or more but less than all claims, issues or matters in such Proceeding, the Corporation shall indemnify Indemnitee against all Expenses incurred by Indemnitee or on Indemnitee’s behalf in connection with each successfully resolved claim, issue or matter. For the purposes of this Section and without limiting the foregoing, to the fullest extent permitted by law, the termination of any claim, issue or matter in any such Proceeding by dismissal, with or without prejudice, or, in the case of a government or other third-party inquiry, conclusion of such inquiry without formal action, shall be deemed to be a successful result as to such claim, issue or matter.</w:t>
      </w:r>
    </w:p>
    <w:p>
      <w:pPr>
        <w:spacing w:after="0" w:line="152"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Indemnification for Expenses of a Witness</w:t>
      </w:r>
      <w:r>
        <w:rPr>
          <w:rFonts w:ascii="Times New Roman" w:cs="Times New Roman" w:eastAsia="Times New Roman" w:hAnsi="Times New Roman"/>
          <w:sz w:val="22"/>
          <w:szCs w:val="22"/>
          <w:color w:val="auto"/>
        </w:rPr>
        <w:t>. Notwithstanding any other provision of this Agreement, to the extent that Indemnitee is, by reason of Indemnitee’s Corporate Status, a witness in any Proceeding (and is not a party or threatened to be made a party to such Proceeding), Indemnitee shall be indemnified against all Expenses incurred by Indemnitee or on Indemnitee’s behalf in connection therewith.</w:t>
      </w:r>
    </w:p>
    <w:p>
      <w:pPr>
        <w:spacing w:after="0" w:line="152"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The Corporation shall advance, to the extent not prohibited by applicable law, all Expenses incurred by or on behalf of Indemnitee in connection with any Proceeding within ten days after the receipt by the Corporation of a statement or statements from Indemnitee requesting such advance or advances from time to time, whether prior to or after final disposition of such Proceeding. Such statement or statements shall reasonably evidence the Expenses incurred by Indemnitee. Execution of this Agreement shall constitute an undertaking by Indemnitee that Indemnitee undertakes to repay any Expenses advanced if it shall ultimately be determined (by a court of competent jurisdiction in a final judgment not subject to appeal) that Indemnitee is not entitled to be indemnified by the Corporation against such Expenses. Advances shall be unsecured and interest free. Advances shall be made without regard to Indemnitee’s ability to repay the Expenses and without regard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1395" w:right="419" w:bottom="1440" w:gutter="0" w:footer="0" w:header="0"/>
        </w:sectPr>
      </w:pPr>
    </w:p>
    <w:bookmarkStart w:id="107" w:name="page108"/>
    <w:bookmarkEnd w:id="107"/>
    <w:p>
      <w:pPr>
        <w:ind w:right="100"/>
        <w:spacing w:after="0" w:line="212" w:lineRule="auto"/>
        <w:rPr>
          <w:sz w:val="20"/>
          <w:szCs w:val="20"/>
          <w:color w:val="auto"/>
        </w:rPr>
      </w:pPr>
      <w:r>
        <w:rPr>
          <w:rFonts w:ascii="Times New Roman" w:cs="Times New Roman" w:eastAsia="Times New Roman" w:hAnsi="Times New Roman"/>
          <w:sz w:val="22"/>
          <w:szCs w:val="22"/>
          <w:color w:val="auto"/>
        </w:rPr>
        <w:t>Indemnitee’s ultimate entitlement to indemnification under the other provisions of this Agreement. The right to advancement under this Agreement shall include (a) advancement for any and all Expenses incurred pursuing an action to enforce the rights of advancement, indemnification or other rights set forth in this Agreement, and (b) Expenses incurred in preparing and forwarding statements to the Corporation to support any claims for advancement under this Agreement. Indemnitee may, in Indemnitee’s written request for advancement described below in Section 10, specify whether the Corporation shall (i) pay such Expenses on behalf of Indemnitee, (ii) advance to Indemnitee funds in an amount sufficient to pay such Expenses, or (iii) reimburse Indemnitee for such Expenses, and any advancement of Expenses by the Corporation shall be in accordance with such specification by Indemnitee.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u w:val="single" w:color="auto"/>
          <w:color w:val="auto"/>
        </w:rPr>
        <w:t>Procedure for Determination of Entitlement to Indemnification or Contribution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60" w:firstLine="656"/>
        <w:spacing w:after="0" w:line="210" w:lineRule="auto"/>
        <w:tabs>
          <w:tab w:leader="none" w:pos="129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or contribution under this Agreement in connection with any Proceeding, and for the duration thereof, Indemnitee shall submit to the Corporation a written request, including therein or therewith such documentation and information as is reasonably available to Indemnitee and is reasonably necessary to determine whether and to what extent Indemnitee is entitled to indemnification or contribution. Without limiting the foregoing sentence, Indemnitee must provide the Corporation with a copy of any summons, citation, subpoena, complaint, indictment, information or other similar document relating to such Proceeding with which Indemnitee is served or otherwise received and which is reasonably requested by the Corporation. The Corporation will be entitled to participate in any Proceeding at its own expense. Indemnitee shall have the right to engage Indemnitee’s own counsel in connection with any Proceeding. Indemnitee’s counsel shall cooperate reasonably with the Corporation’s counsel to minimize the cost of defending claims against the Corporation and Indemnitee. The Secretary of the Corporation shall, promptly upon receipt of any such request for indemnification or contribution, advise the Board in writing that Indemnitee has requested indemnification or contribution.</w:t>
      </w:r>
    </w:p>
    <w:p>
      <w:pPr>
        <w:spacing w:after="0" w:line="157" w:lineRule="exact"/>
        <w:rPr>
          <w:rFonts w:ascii="Times New Roman" w:cs="Times New Roman" w:eastAsia="Times New Roman" w:hAnsi="Times New Roman"/>
          <w:sz w:val="22"/>
          <w:szCs w:val="22"/>
          <w:color w:val="auto"/>
        </w:rPr>
      </w:pPr>
    </w:p>
    <w:p>
      <w:pPr>
        <w:ind w:firstLine="656"/>
        <w:spacing w:after="0" w:line="208" w:lineRule="auto"/>
        <w:tabs>
          <w:tab w:leader="none" w:pos="129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by Indemnitee for indemnification or contribution pursuant to Section 10(a), a determination, if required by applicable law, with respect to Indemnitee’s entitlement thereto shall be made in such case: (i) if a Change in Control shall have occurred, by Independent Counsel (unless Indemnitee shall request that such determination be made by the Corporation, in which case in the manner provided for in clause (ii) or (iii) of this Section 10(b)) in a written opinion to the Board, a copy of which shall be delivered to Indemnitee; (ii) if a Change in Control shall not have occurred, (A) by a majority vote of the Disinterested Directors, even though less than a quorum, or (B) by a committee of Disinterested Directors designated by majority vote of the Disinterested Directors even though less than a quorum, or (C) if there are no Disinterested Directors or the Disinterested Directors so direct, by Independent Counsel in a written opinion to the Board, a copy of which shall be delivered to Indemnitee, as determined by the Board, or (iii) if necessary, as provided in Section 11(b). If it is so determined that Indemnitee is entitled to indemnification or contribution, payment to Indemnitee shall be made within ten days after such determination. Indemnitee shall cooperate with the person, persons or entity making such determination with respect to Indemnitee’s entitlement to indemnification or contribution, including without limitation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Corporation (irrespective of the determination as to Indemnitee’s entitlement to indemnification or contribution) and the Corporation hereby agrees to indemnify and hold Indemnitee harmless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95" w:right="339" w:bottom="1440" w:gutter="0" w:footer="0" w:header="0"/>
        </w:sectPr>
      </w:pPr>
    </w:p>
    <w:bookmarkStart w:id="108" w:name="page109"/>
    <w:bookmarkEnd w:id="108"/>
    <w:p>
      <w:pPr>
        <w:ind w:left="-40" w:firstLine="656"/>
        <w:spacing w:after="0" w:line="227" w:lineRule="auto"/>
        <w:tabs>
          <w:tab w:leader="none" w:pos="1253"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required, Independent Counsel shall be selected as follows: (i) if a Change in Control shall not have occurred, Independent Counsel shall be selected by the Corporation, and the Corporation shall give written notice to Indemnitee advising Indemnitee of the identity of Independent Counsel so selected; or (ii) if a Change in Control shall have occurred, Independent Counsel shall be selected by Indemnitee (unless Indemnitee shall request that such selection be made by the Corporation, in which event (i) shall apply), and Indemnitee shall give written notice to the Corporation advising it of the identity of Independent Counsel so selected. In either event, Indemnitee or the Corporation, as the case may be, may, within ten days after such written notice of selection shall have been given, deliver to the Corporation or to Indemnitee, as the case may be, a written objection to such selection. Such objection may be asserted only on the ground that Independent Counsel so selected does not meet the requirements of “Independent Counsel” as defined in Section 1, and the objection shall set forth with particularity the factual basis of such assertion. If such written objection is made, Independent Counsel so selected may not serve as Independent Counsel unless and until a court has determined that such objection is without merit. If, within ten days after submission by Indemnitee of a written request for indemnification or contribution pursuant to Section 10(a), no Independent Counsel shall have been selected without objection, either the Corporation or Indemnitee may petition the Delaware Court, for resolution of any objection which shall have been made to the selection of Independent Counsel and/or for appointment as Independent Counsel of a person selected by such court or by such other person as such court shall designate, and the person with respect to whom an objection is so resolved or the person so appointed shall act as Independent Counsel under Section 10(b). The Corporation shall pay any and all reasonable fees and expenses of Independent Counsel incurred by such Independent Counsel in connection with its actions pursuant to this Agreement, and the Corporation shall pay all reasonable fees and expenses incident to the procedures of this Section 10(c), regardless of the manner in which such Independent Counsel was selected or appointed. The Corporation shall indemnify Independent Counsel against any and all expenses, claims, liabilities and damages arising out of or relating to this Agreement or its engagement pursuant hereto. Upon the due commencement date of any judicial proceeding pursuant to Section 12(a), Independent Counsel shall be discharged and relieved of any further responsibility in such capacity (subject to the applicable standards of professional conduct then prevailing).</w:t>
      </w:r>
    </w:p>
    <w:p>
      <w:pPr>
        <w:spacing w:after="0" w:line="159"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Presumptions and Effects of Certain Proceedings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40" w:right="40" w:firstLine="656"/>
        <w:spacing w:after="0" w:line="221" w:lineRule="auto"/>
        <w:tabs>
          <w:tab w:leader="none" w:pos="125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applicable law, 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10(a), and the Corporation shall have the burden of proof to overcome that presumption in connection with the making by any person, persons or entity of any determination contrary to the presumption. Neither (i) the failure of the Corporation, any one or more Disinterested Directors (or committees thereof) or of Independent Counsel to have made a determination prior to the commencement of any action pursuant to this Agreement that indemnification is proper in the circumstances because Indemnitee has met the applicable standard of conduct, nor (ii) an actual determination by the Corporation, any one or more Disinterested Directors (or committees thereof) or by Independent Counsel that Indemnitee has not met such applicable standard of conduct, shall be a defense to the action or create a presumption that Indemnitee has not met the applicable standard of conduct.</w:t>
      </w:r>
    </w:p>
    <w:p>
      <w:pPr>
        <w:spacing w:after="0" w:line="152" w:lineRule="exact"/>
        <w:rPr>
          <w:rFonts w:ascii="Times New Roman" w:cs="Times New Roman" w:eastAsia="Times New Roman" w:hAnsi="Times New Roman"/>
          <w:sz w:val="21"/>
          <w:szCs w:val="21"/>
          <w:color w:val="auto"/>
        </w:rPr>
      </w:pPr>
    </w:p>
    <w:p>
      <w:pPr>
        <w:ind w:left="-40" w:firstLine="656"/>
        <w:spacing w:after="0" w:line="217" w:lineRule="auto"/>
        <w:tabs>
          <w:tab w:leader="none" w:pos="12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persons or entity empowered or selected under Section 10 to determine whether Indemnitee is entitled to indemnification shall not have made a determination within 60 days after receipt by the Corporation of the request therefor, the requisite determination of entitlement to indemnification shall, to the fullest extent permitted by applicable law, be deemed to have been made and Indemnitee shall be entitled to such indemnification, absent (i) a misstatement by Indemnitee of a material fact, or an omission of a material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60" w:top="1395" w:right="379" w:bottom="1440" w:gutter="0" w:footer="0" w:header="0"/>
        </w:sectPr>
      </w:pPr>
    </w:p>
    <w:bookmarkStart w:id="109" w:name="page110"/>
    <w:bookmarkEnd w:id="109"/>
    <w:p>
      <w:pPr>
        <w:ind w:right="220"/>
        <w:spacing w:after="0" w:line="215" w:lineRule="auto"/>
        <w:rPr>
          <w:sz w:val="20"/>
          <w:szCs w:val="20"/>
          <w:color w:val="auto"/>
        </w:rPr>
      </w:pPr>
      <w:r>
        <w:rPr>
          <w:rFonts w:ascii="Times New Roman" w:cs="Times New Roman" w:eastAsia="Times New Roman" w:hAnsi="Times New Roman"/>
          <w:sz w:val="22"/>
          <w:szCs w:val="22"/>
          <w:color w:val="auto"/>
        </w:rPr>
        <w:t>necessary to make Indemnitee’s statement not materially misleading, in connection with the request for indemnification, or (ii) prohibition of such indemnification under applicable law; provided, however, that such 60-day period may be extended for a reasonable time, not to exceed an additional 30 days, if the person, persons or entity making the determination with respect to entitlement to indemnification in good faith require(s) such additional time for the obtaining or evaluating of documentation and/or information relating thereto if the determination of entitlement to indemnification is to be made by Independent Counsel pursuant to Section 10(b).</w:t>
      </w:r>
    </w:p>
    <w:p>
      <w:pPr>
        <w:spacing w:after="0" w:line="152" w:lineRule="exact"/>
        <w:rPr>
          <w:sz w:val="20"/>
          <w:szCs w:val="20"/>
          <w:color w:val="auto"/>
        </w:rPr>
      </w:pPr>
    </w:p>
    <w:p>
      <w:pPr>
        <w:ind w:right="220" w:firstLine="656"/>
        <w:spacing w:after="0" w:line="215" w:lineRule="auto"/>
        <w:tabs>
          <w:tab w:leader="none" w:pos="129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Corporation or, with respect to any criminal Proceeding, that Indemnitee had reasonable cause to believe that Indemnitee’s conduct was unlawful.</w:t>
      </w:r>
    </w:p>
    <w:p>
      <w:pPr>
        <w:spacing w:after="0" w:line="152" w:lineRule="exact"/>
        <w:rPr>
          <w:rFonts w:ascii="Times New Roman" w:cs="Times New Roman" w:eastAsia="Times New Roman" w:hAnsi="Times New Roman"/>
          <w:sz w:val="22"/>
          <w:szCs w:val="22"/>
          <w:color w:val="auto"/>
        </w:rPr>
      </w:pPr>
    </w:p>
    <w:p>
      <w:pPr>
        <w:ind w:right="260" w:firstLine="656"/>
        <w:spacing w:after="0" w:line="225"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director, officer, agent or employee of the Corporation or any entity or enterprise that Indemnitee is serving at the request of the Corporation shall not be imputed to Indemnitee for purposes of determining the right to indemnification under this Agreement.</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Remedies of Indemnitee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60" w:firstLine="656"/>
        <w:spacing w:after="0" w:line="219" w:lineRule="auto"/>
        <w:tabs>
          <w:tab w:leader="none" w:pos="129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12(f), in the event that (i) a determination is made pursuant to Section 10 that Indemnitee is not entitled to indemnification under this Agreement, (ii) advancement of Expenses is not timely made pursuant to Section 9, (iii) the determination of entitlement to indemnification is to be made by Independent Counsel pursuant to Section 10(b) and such determination shall not have been made and delivered in a written opinion within 90 days after receipt by the Corporation of the request for indemnification, (iv) payment of indemnification is not made pursuant to Section 7, Section 8 or the last sentence of Section 10(b) within ten days after receipt by the Corporation of a written request therefor, (v) payment of indemnification is not made within ten days after a determination has been made that Indemnitee is entitled to indemnification or such determination is deemed to have been made pursuant to Section 10 or 11, or (vi) payment to Indemnitee pursuant to any contribution rights under this Agreement is not made within the later of ten days after receipt by the Corporation of a written request therefor and the date that Indemnitee is entitled to seek an adjudication by the Delaware Court in accordance with this paragraph for a claim for indemnification with respect to any Proceeding giving rise to a right to contribution, Indemnitee shall be entitled to an adjudication in the Delaware Court of Indemnitee’s entitlement to such contribution, indemnification or advancement of Expenses. The Corporation shall not oppose Indemnitee’s right to seek any such adjudication.</w:t>
      </w:r>
    </w:p>
    <w:p>
      <w:pPr>
        <w:spacing w:after="0" w:line="159" w:lineRule="exact"/>
        <w:rPr>
          <w:rFonts w:ascii="Times New Roman" w:cs="Times New Roman" w:eastAsia="Times New Roman" w:hAnsi="Times New Roman"/>
          <w:sz w:val="21"/>
          <w:szCs w:val="21"/>
          <w:color w:val="auto"/>
        </w:rPr>
      </w:pPr>
    </w:p>
    <w:p>
      <w:pPr>
        <w:ind w:firstLine="656"/>
        <w:spacing w:after="0" w:line="215" w:lineRule="auto"/>
        <w:tabs>
          <w:tab w:leader="none" w:pos="129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shall have been made pursuant to Section 10 that Indemnitee is not entitled to indemnification, any judicial proceeding commenced pursuant to this Section shall be conducted in all respects as a de novo trial on the merits and Indemnitee shall not be prejudiced by reason of that adverse determination and the Corporation may not refer to or introduce into evidence any determination pursuant to Section 10 of this Agreement adverse to Indemnitee. In any judicial proceeding commenced pursuant to this Section, the Corporation shall have the burden of proving that Indemnitee is not entitled to indemnification or advancement of Expenses, as the case may be.</w:t>
      </w:r>
    </w:p>
    <w:p>
      <w:pPr>
        <w:spacing w:after="0" w:line="152" w:lineRule="exact"/>
        <w:rPr>
          <w:rFonts w:ascii="Times New Roman" w:cs="Times New Roman" w:eastAsia="Times New Roman" w:hAnsi="Times New Roman"/>
          <w:sz w:val="22"/>
          <w:szCs w:val="22"/>
          <w:color w:val="auto"/>
        </w:rPr>
      </w:pPr>
    </w:p>
    <w:p>
      <w:pPr>
        <w:ind w:right="660" w:firstLine="656"/>
        <w:spacing w:after="0" w:line="225" w:lineRule="auto"/>
        <w:tabs>
          <w:tab w:leader="none" w:pos="129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determination shall have been made or deemed to have been made pursuant to Section 10 or 11 that Indemnitee is entitled to indemnification, the Corporation shall be bound by such determination in any judicial proceeding commenced pursuant to this Section, absent (i)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95" w:right="339" w:bottom="1440" w:gutter="0" w:footer="0" w:header="0"/>
        </w:sectPr>
      </w:pPr>
    </w:p>
    <w:bookmarkStart w:id="110" w:name="page111"/>
    <w:bookmarkEnd w:id="110"/>
    <w:p>
      <w:pPr>
        <w:ind w:right="360"/>
        <w:spacing w:after="0" w:line="225" w:lineRule="auto"/>
        <w:rPr>
          <w:sz w:val="20"/>
          <w:szCs w:val="20"/>
          <w:color w:val="auto"/>
        </w:rPr>
      </w:pPr>
      <w:r>
        <w:rPr>
          <w:rFonts w:ascii="Times New Roman" w:cs="Times New Roman" w:eastAsia="Times New Roman" w:hAnsi="Times New Roman"/>
          <w:sz w:val="22"/>
          <w:szCs w:val="22"/>
          <w:color w:val="auto"/>
        </w:rPr>
        <w:t>misstatement by Indemnitee of a material fact, or an omission of a material fact necessary to make Indemnitee’s statement not materially misleading, in connection with the request for indemnification, or (ii) prohibition of such indemnification under applicable law.</w:t>
      </w:r>
    </w:p>
    <w:p>
      <w:pPr>
        <w:spacing w:after="0" w:line="153" w:lineRule="exact"/>
        <w:rPr>
          <w:sz w:val="20"/>
          <w:szCs w:val="20"/>
          <w:color w:val="auto"/>
        </w:rPr>
      </w:pPr>
    </w:p>
    <w:p>
      <w:pPr>
        <w:ind w:right="100" w:firstLine="656"/>
        <w:spacing w:after="0" w:line="225" w:lineRule="auto"/>
        <w:tabs>
          <w:tab w:leader="none" w:pos="129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be precluded from asserting in any judicial proceeding commenced pursuant to this Section that the procedures and presumptions of this Agreement are not valid, binding and enforceable and shall stipulate in any such court or before any such arbitrator that the Corporation is bound by all the provisions of this Agreement.</w:t>
      </w:r>
    </w:p>
    <w:p>
      <w:pPr>
        <w:spacing w:after="0" w:line="152" w:lineRule="exact"/>
        <w:rPr>
          <w:rFonts w:ascii="Times New Roman" w:cs="Times New Roman" w:eastAsia="Times New Roman" w:hAnsi="Times New Roman"/>
          <w:sz w:val="22"/>
          <w:szCs w:val="22"/>
          <w:color w:val="auto"/>
        </w:rPr>
      </w:pPr>
    </w:p>
    <w:p>
      <w:pPr>
        <w:ind w:right="60" w:firstLine="656"/>
        <w:spacing w:after="0" w:line="217" w:lineRule="auto"/>
        <w:tabs>
          <w:tab w:leader="none" w:pos="129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Indemnitee, pursuant to this Section, seeks a judicial adjudication of Indemnitee’s rights under, or to recover damages for breach of, this Agreement, Indemnitee shall, to the fullest extent permitted by law, be entitled to recover from the Corporation, and be indemnified by the Corporation against, any and all Expenses incurred by Indemnitee in such judicial adjudication regardless of whether Indemnitee ultimately is determined to be entitled to such indemnification, advancement of Expenses or insurance recovery, as the case may be.</w:t>
      </w:r>
    </w:p>
    <w:p>
      <w:pPr>
        <w:spacing w:after="0" w:line="152" w:lineRule="exact"/>
        <w:rPr>
          <w:rFonts w:ascii="Times New Roman" w:cs="Times New Roman" w:eastAsia="Times New Roman" w:hAnsi="Times New Roman"/>
          <w:sz w:val="22"/>
          <w:szCs w:val="22"/>
          <w:color w:val="auto"/>
        </w:rPr>
      </w:pPr>
    </w:p>
    <w:p>
      <w:pPr>
        <w:ind w:right="80" w:firstLine="656"/>
        <w:spacing w:after="0" w:line="255" w:lineRule="auto"/>
        <w:tabs>
          <w:tab w:leader="none" w:pos="129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u w:val="single" w:color="auto"/>
          <w:color w:val="auto"/>
        </w:rPr>
        <w:t>Non-Exclusivity; Survival of Rights; Insurance; Subrogation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80" w:firstLine="656"/>
        <w:spacing w:after="0" w:line="215" w:lineRule="auto"/>
        <w:tabs>
          <w:tab w:leader="none" w:pos="129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indemnification and to receive advancement of Expenses as provided by this Agreement shall not be deemed exclusive of any other rights to which Indemnitee may at any time be entitled under applicable law, the Restated Certificate of Incorporation or Restated Bylaws of the Corporation, any agreement, a vote of stockholders or a resolution of directors, or otherwise. No amendment, alteration or repeal of this Agreement or any provision hereof shall be effective as to Indemnitee with respect to any action taken or omitted by such Indemnitee in such Indemnitee’s Corporate Status prior to such amendment, alteration or repeal.</w:t>
      </w:r>
    </w:p>
    <w:p>
      <w:pPr>
        <w:spacing w:after="0" w:line="152" w:lineRule="exact"/>
        <w:rPr>
          <w:rFonts w:ascii="Times New Roman" w:cs="Times New Roman" w:eastAsia="Times New Roman" w:hAnsi="Times New Roman"/>
          <w:sz w:val="22"/>
          <w:szCs w:val="22"/>
          <w:color w:val="auto"/>
        </w:rPr>
      </w:pPr>
    </w:p>
    <w:p>
      <w:pPr>
        <w:ind w:firstLine="656"/>
        <w:spacing w:after="0" w:line="208" w:lineRule="auto"/>
        <w:tabs>
          <w:tab w:leader="none" w:pos="12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hereby acknowledges that Indemnitee has, or may from time to time have, certain rights to indemnification, advancement of Expenses and/or insurance that is either (1) provided by a fund or other entity with which Indemnitee is associated or affiliated (“</w:t>
      </w:r>
      <w:r>
        <w:rPr>
          <w:rFonts w:ascii="Times New Roman" w:cs="Times New Roman" w:eastAsia="Times New Roman" w:hAnsi="Times New Roman"/>
          <w:sz w:val="22"/>
          <w:szCs w:val="22"/>
          <w:u w:val="single" w:color="auto"/>
          <w:color w:val="auto"/>
        </w:rPr>
        <w:t>Fund Indemnitors</w:t>
      </w:r>
      <w:r>
        <w:rPr>
          <w:rFonts w:ascii="Times New Roman" w:cs="Times New Roman" w:eastAsia="Times New Roman" w:hAnsi="Times New Roman"/>
          <w:sz w:val="22"/>
          <w:szCs w:val="22"/>
          <w:color w:val="auto"/>
        </w:rPr>
        <w:t>”) or (2) pursuant to insurance obtained on Indemnitee’s own behalf (“</w:t>
      </w:r>
      <w:r>
        <w:rPr>
          <w:rFonts w:ascii="Times New Roman" w:cs="Times New Roman" w:eastAsia="Times New Roman" w:hAnsi="Times New Roman"/>
          <w:sz w:val="22"/>
          <w:szCs w:val="22"/>
          <w:u w:val="single" w:color="auto"/>
          <w:color w:val="auto"/>
        </w:rPr>
        <w:t>Individual Insurance</w:t>
      </w:r>
      <w:r>
        <w:rPr>
          <w:rFonts w:ascii="Times New Roman" w:cs="Times New Roman" w:eastAsia="Times New Roman" w:hAnsi="Times New Roman"/>
          <w:sz w:val="22"/>
          <w:szCs w:val="22"/>
          <w:color w:val="auto"/>
        </w:rPr>
        <w:t>,” and together with the obligations of Fund Indemnitors, the “</w:t>
      </w:r>
      <w:r>
        <w:rPr>
          <w:rFonts w:ascii="Times New Roman" w:cs="Times New Roman" w:eastAsia="Times New Roman" w:hAnsi="Times New Roman"/>
          <w:sz w:val="22"/>
          <w:szCs w:val="22"/>
          <w:u w:val="single" w:color="auto"/>
          <w:color w:val="auto"/>
        </w:rPr>
        <w:t>Other Arrangements</w:t>
      </w:r>
      <w:r>
        <w:rPr>
          <w:rFonts w:ascii="Times New Roman" w:cs="Times New Roman" w:eastAsia="Times New Roman" w:hAnsi="Times New Roman"/>
          <w:sz w:val="22"/>
          <w:szCs w:val="22"/>
          <w:color w:val="auto"/>
        </w:rPr>
        <w:t>”). The Corporation hereby agrees (i) that the Corporation will not assert in any litigation between the Corporation and Indemnitee that the Corporation’s obligations under this Agreement are not primary relative to the Other Arrangements, or that any obligation of the providers of the Other Arrangements to advance Expenses or to provide indemnification for the same Expenses, judgments, penalties, fines, other monetary remedies, amounts paid in settlement, incurred by Indemnitee or on Indemnitee’s behalf are not secondary, (ii) that the Corporation shall be required to advance the full amount of Expenses (subject to the provisions concerning advancement of Expenses set forth in this Agreement) incurred by Indemnitee and shall be liable for the full amount of all Expenses, judgments, penalties, fines, other monetary remedies, amounts paid in settlement, relative to the Other Arrangements, or as may be required by the terms of this Agreement, the Restated Certificate of Incorporation or Restated Bylaws of the Corporation (or any other agreement between the Corporation and Indemnitee), without regard to any rights Indemnitee may have under the Other Arrangements, and (iii) that with respect to the Corporation’s obligations to advance Expenses and indemnify Indemnitee by reason of Indemnitee’s service as an officer or director of the Corporation, the Corporation irrevocably waives, relinquishes and releases the providers of the Other Arrangements from any and all claims for contribution, subrogation or any other recovery of any kind in respect thereof. The Corporation further agrees that no advancement or payment by the providers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5" w:right="339" w:bottom="1440" w:gutter="0" w:footer="0" w:header="0"/>
        </w:sectPr>
      </w:pPr>
    </w:p>
    <w:bookmarkStart w:id="111" w:name="page112"/>
    <w:bookmarkEnd w:id="111"/>
    <w:p>
      <w:pPr>
        <w:ind w:right="120"/>
        <w:spacing w:after="0" w:line="213" w:lineRule="auto"/>
        <w:rPr>
          <w:sz w:val="20"/>
          <w:szCs w:val="20"/>
          <w:color w:val="auto"/>
        </w:rPr>
      </w:pPr>
      <w:r>
        <w:rPr>
          <w:rFonts w:ascii="Times New Roman" w:cs="Times New Roman" w:eastAsia="Times New Roman" w:hAnsi="Times New Roman"/>
          <w:sz w:val="22"/>
          <w:szCs w:val="22"/>
          <w:color w:val="auto"/>
        </w:rPr>
        <w:t>Arrangements on behalf of Indemnitee with respect to any claim for which Indemnitee has sought indemnification from the Corporation shall affect the foregoing and to the extent consistent with the terms of the Other Arrangements the providers of the Other Arrangements shall have a right of contribution and/or be subrogated to the extent of such advancement or payment to all of the rights of recovery of Indemnitee against the Corporation. Nothing in this Agreement shall be deemed to prevent the Corporation from taking any action necessary to require its own insurer(s) to provide coverage to the Corporation or its officers or directors (including Indemnitee), including causing any person (including a provider of Other Arrangements to be named as a party to a declaratory judgment action brought to obtain such relief).</w:t>
      </w:r>
    </w:p>
    <w:p>
      <w:pPr>
        <w:spacing w:after="0" w:line="156" w:lineRule="exact"/>
        <w:rPr>
          <w:sz w:val="20"/>
          <w:szCs w:val="20"/>
          <w:color w:val="auto"/>
        </w:rPr>
      </w:pPr>
    </w:p>
    <w:p>
      <w:pPr>
        <w:jc w:val="both"/>
        <w:ind w:right="220" w:firstLine="656"/>
        <w:spacing w:after="0" w:line="225" w:lineRule="auto"/>
        <w:tabs>
          <w:tab w:leader="none" w:pos="129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Indemnitee’s rights under this Agreement to receive payment of amounts as indemnification or advancement of Expenses shall not be subject to offset, set-off or reduction on account of, and shall be separate from, any obligation or liability that Indemnitee may have to the Corporation or any subsidiary and shall be paid without regard thereto.</w:t>
      </w:r>
    </w:p>
    <w:p>
      <w:pPr>
        <w:spacing w:after="0" w:line="152" w:lineRule="exact"/>
        <w:rPr>
          <w:rFonts w:ascii="Times New Roman" w:cs="Times New Roman" w:eastAsia="Times New Roman" w:hAnsi="Times New Roman"/>
          <w:sz w:val="22"/>
          <w:szCs w:val="22"/>
          <w:color w:val="auto"/>
        </w:rPr>
      </w:pPr>
    </w:p>
    <w:p>
      <w:pPr>
        <w:ind w:right="100" w:firstLine="656"/>
        <w:spacing w:after="0" w:line="225" w:lineRule="auto"/>
        <w:tabs>
          <w:tab w:leader="none" w:pos="129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13(b), the Corporation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13(b), in the event of any payment under this Agreement, the Corporation shall be subrogated to the extent of such payment to all the rights of recovery of Indemnitee, who shall execute all papers required and take all action necessary to secure such rights, including execution of such documents as are necessary to enable the Corporation to bring suit to enforce such rights.</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Nothing in this Agreement shall be deemed to prohibit the Corporation from purchasing and maintaining insurance, at its expense, to protect itself or Indemnitee against any Expenses, judgments, penalties, fines, other monetary remedies and amounts paid in settlement incurred by Indemnitee in any such capacity, or arising out of Indemnitee’s status as such, whether or not Indemnitee would be indemnified against such expense, liability or loss under this Agreement. To the extent that the Corporation maintains an insurance policy or policies providing liability insurance for directors, officers, employees, agents of fiduciaries of the Corporation or of any other corporation, partnership, joint venture, trust, employee benefit plan or other enterprise of which Indemnitee serves or served at the request of the Corporation, Indemnitee shall be covered by such policy or policies in accordance with its or their terms to the maximum extent of the coverage available under such policy or policies for any person then serving as a director, officer, employee, agent or fiduciary. Until the termination of this Agreement in accordance with Section 15, the Corporation shall use commercially reasonable efforts (taking into account the scope and amount of coverage available relative to the cost thereof) to cause to be maintained in effect a policy or policies of directors’ and officers’ liability insurance providing coverage for directors, officers, employees, agents and fiduciaries of the Corporation that is reasonable in scope and amount, as determined by the Corporation in its reasonable discretion considering applicable facts and circumstances, including, but not limited to, industry standards. In the event of a Change in Control occurring prior to the termination of this Agreement pursuant to Section 15, the Corporation shall maintain (or cause to be maintained) for the benefit of Indemnitee, the same policy or policies of liability insurance for directors, officers, employees, agents or fiduciaries of the Corporation or of any other corporation, partnership, joint venture, trust, employee benefit plan or other enterprise which such person serves at the request of the Corporation that is reasonable in scope and amount, as determined by the Corporation in its reasonable discretion considering applicable facts and circumstances, including, but not limited to, industry standards for a period of ten years thereafter or the termination of this Agreement in accordance with Section 15,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395" w:right="359" w:bottom="1440" w:gutter="0" w:footer="0" w:header="0"/>
        </w:sectPr>
      </w:pPr>
    </w:p>
    <w:bookmarkStart w:id="112" w:name="page113"/>
    <w:bookmarkEnd w:id="112"/>
    <w:p>
      <w:pPr>
        <w:spacing w:after="0" w:line="216" w:lineRule="auto"/>
        <w:rPr>
          <w:sz w:val="20"/>
          <w:szCs w:val="20"/>
          <w:color w:val="auto"/>
        </w:rPr>
      </w:pPr>
      <w:r>
        <w:rPr>
          <w:rFonts w:ascii="Times New Roman" w:cs="Times New Roman" w:eastAsia="Times New Roman" w:hAnsi="Times New Roman"/>
          <w:sz w:val="22"/>
          <w:szCs w:val="22"/>
          <w:color w:val="auto"/>
        </w:rPr>
        <w:t xml:space="preserve">The minimum AM Best rating for the insurance carrier of such insurance shall not be less than </w:t>
      </w:r>
      <w:r>
        <w:rPr>
          <w:rFonts w:ascii="Times New Roman" w:cs="Times New Roman" w:eastAsia="Times New Roman" w:hAnsi="Times New Roman"/>
          <w:sz w:val="22"/>
          <w:szCs w:val="22"/>
          <w:b w:val="1"/>
          <w:bCs w:val="1"/>
          <w:color w:val="auto"/>
        </w:rPr>
        <w:t>A-VI.</w:t>
      </w:r>
      <w:r>
        <w:rPr>
          <w:rFonts w:ascii="Times New Roman" w:cs="Times New Roman" w:eastAsia="Times New Roman" w:hAnsi="Times New Roman"/>
          <w:sz w:val="22"/>
          <w:szCs w:val="22"/>
          <w:color w:val="auto"/>
        </w:rPr>
        <w:t xml:space="preserve"> If, at the time of the receipt of a notice of a claim pursuant to the terms of this Agreement, the Corporation has directors’ and officers’ liability insurance in effect, the Corporation shall give prompt notice of the commencement of such Proceeding to the insurers in accordance with the procedures set forth in the respective policies. The Corporation shall thereafter take all necessary or desirable action to cause such insurers to pay, on behalf of Indemnitee, all amounts payable as a result of such Proceeding in accordance with the terms of such policies.</w:t>
      </w:r>
    </w:p>
    <w:p>
      <w:pPr>
        <w:spacing w:after="0" w:line="15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u w:val="single" w:color="auto"/>
          <w:color w:val="auto"/>
        </w:rPr>
        <w:t>Duration of Agreement</w:t>
      </w:r>
      <w:r>
        <w:rPr>
          <w:rFonts w:ascii="Times New Roman" w:cs="Times New Roman" w:eastAsia="Times New Roman" w:hAnsi="Times New Roman"/>
          <w:sz w:val="21"/>
          <w:szCs w:val="21"/>
          <w:color w:val="auto"/>
        </w:rPr>
        <w:t>. This Agreement shall continue until and terminate upon the later of: (a) ten years after the date that Indemnitee shall have ceased to serve as a director, officer, employee, agent or fiduciary of the Corporation or of any other corporation, partnership, joint venture, trust, employee benefit plan or other enterprise which Indemnitee served at the request of the Corporation; or (b) the final termination of all pending Proceedings in respect of which Indemnitee is granted rights of indemnification or advancement of Expenses hereunder and of any proceeding commenced by Indemnitee pursuant to Section 12. This Agreement shall be binding upon the Corporation and its successors and assigns and shall inure to the benefit of Indemnitee and Indemnitee’s heirs, executors and administrators. The Corporation shall use its reasonable best efforts to require and cause any successor, and any direct or indirect parent of any successor, whether direct or indirect by purchase, merger, consolidation or otherwise, to all, substantially all or a substantial part, of the business and/or assets of the Corporation, by written agreement in form and substance satisfactory to Indemnitee, expressly to assume and agree to perform this Agreement in the same manner and to the same extent that the Corporation would be required to perform if no such succession has taken place.</w:t>
      </w:r>
    </w:p>
    <w:p>
      <w:pPr>
        <w:spacing w:after="0" w:line="157"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held invalid, illegal or unenforceable) shall not in any way be affected or impaired thereby;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held invalid, illegal or unenforceable) shall be construed so as to give effect to the intent manifested by the provision held invalid, illegal or unenforceable.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u w:val="single" w:color="auto"/>
          <w:color w:val="auto"/>
        </w:rPr>
        <w:t>Exception to Right of Indemnification or Advancement of Expenses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160" w:firstLine="656"/>
        <w:spacing w:after="0" w:line="218" w:lineRule="auto"/>
        <w:tabs>
          <w:tab w:leader="none" w:pos="1293"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but subject to the penultimate sentence of Section 9 and subject to Section 12(e), Indemnitee shall not be entitled to indemnification or advancement of Expenses under this Agreement with respect to any Proceeding, or any claim therein, brought or made by Indemnitee voluntarily and not by way of defense against the Corporation or any other person or entity unless the initiation thereof was expressly approved by the Board. For the avoidance of doubt, (1) Indemnitee shall not be deemed, for purposes of this paragraph, to have initiated or brought any claim by reason of (a) having asserted any affirmative defenses in connection with a claim not initiated by Indemnitee or (b) having made any counterclaim (whether permissive or mandatory) in connection with any claim not initiated by Indemnitee and</w:t>
      </w:r>
    </w:p>
    <w:p>
      <w:pPr>
        <w:ind w:right="440" w:firstLine="8"/>
        <w:spacing w:after="0" w:line="225" w:lineRule="auto"/>
        <w:tabs>
          <w:tab w:leader="none" w:pos="30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shall be entitled to indemnification and advancement for any suit initiated by Indemnitee to enforce the rights provided for in this Agreement, as contemplated by the penultimate sentence of Section 9 and Section 12(e).</w:t>
      </w:r>
    </w:p>
    <w:p>
      <w:pPr>
        <w:spacing w:after="0" w:line="14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Indemnitee shall not be entitled to indemnification for an accounting of profits made from the purchase and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1" w:right="339" w:bottom="1440" w:gutter="0" w:footer="0" w:header="0"/>
        </w:sectPr>
      </w:pPr>
    </w:p>
    <w:bookmarkStart w:id="113" w:name="page114"/>
    <w:bookmarkEnd w:id="113"/>
    <w:p>
      <w:pPr>
        <w:ind w:right="40"/>
        <w:spacing w:after="0" w:line="236" w:lineRule="auto"/>
        <w:rPr>
          <w:sz w:val="20"/>
          <w:szCs w:val="20"/>
          <w:color w:val="auto"/>
        </w:rPr>
      </w:pPr>
      <w:r>
        <w:rPr>
          <w:rFonts w:ascii="Times New Roman" w:cs="Times New Roman" w:eastAsia="Times New Roman" w:hAnsi="Times New Roman"/>
          <w:sz w:val="22"/>
          <w:szCs w:val="22"/>
          <w:color w:val="auto"/>
        </w:rPr>
        <w:t>sale and purchase) by Indemnitee of securities of the Corporation within the meaning of Section 16(b) of the Securities Exchange Act of 1934, as amended, or similar provisions of state statutory law or common law.</w:t>
      </w:r>
    </w:p>
    <w:p>
      <w:pPr>
        <w:spacing w:after="0" w:line="150" w:lineRule="exact"/>
        <w:rPr>
          <w:sz w:val="20"/>
          <w:szCs w:val="20"/>
          <w:color w:val="auto"/>
        </w:rPr>
      </w:pPr>
    </w:p>
    <w:p>
      <w:pPr>
        <w:ind w:right="40" w:firstLine="656"/>
        <w:spacing w:after="0" w:line="215" w:lineRule="auto"/>
        <w:tabs>
          <w:tab w:leader="none" w:pos="129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such Indemnitee shall have no rights (whether for indemnification, advancement, contribution, insurance or otherwise) under this Agreement with respect to acts or omissions by Indemnitee occurring (i) before the Indemnitee was first appointed to the Office or (ii) after the Indemnitee ceases to serve in the Office. For the avoidance of doubt, the preceding sentence shall not apply to any rights provided to the Indemnitee under Section 12 to enforce Indemnitee’s rights under this Agreement with respect to acts or omissions by the Indemnitee that occur while he or she is serving in the Office.</w:t>
      </w:r>
    </w:p>
    <w:p>
      <w:pPr>
        <w:spacing w:after="0" w:line="152" w:lineRule="exact"/>
        <w:rPr>
          <w:sz w:val="20"/>
          <w:szCs w:val="20"/>
          <w:color w:val="auto"/>
        </w:rPr>
      </w:pPr>
    </w:p>
    <w:p>
      <w:pPr>
        <w:ind w:right="14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The Corporation shall have no obligation to indemnify Indemnitee hereunder for any amounts paid in settlement of any Proceeding effected without the Corporation’s prior written consent, which shall not be unreasonably withheld.</w:t>
      </w:r>
    </w:p>
    <w:p>
      <w:pPr>
        <w:spacing w:after="0" w:line="153"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Trust Fund</w:t>
      </w:r>
      <w:r>
        <w:rPr>
          <w:rFonts w:ascii="Times New Roman" w:cs="Times New Roman" w:eastAsia="Times New Roman" w:hAnsi="Times New Roman"/>
          <w:sz w:val="22"/>
          <w:szCs w:val="22"/>
          <w:color w:val="auto"/>
        </w:rPr>
        <w:t>. Upon the occurrence of a Rating Event, the Corporation shall create a trust fund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for the benefit of the Indemnitee under this Agreement and from time to time shall fund additional amounts to the Trust in an amount sufficient to satisfy any and all Expenses reasonably anticipated to be incurred following such Rating Event in connection with investigating, preparing for, participating in, and/or defending any Proceeding and any judgments, fines or other amounts reasonably anticipated to be paid related thereto for which Indemnitee is entitled to indemnification and/or advancement of Expenses pursuant to this Agreement. The amount or amounts to be deposited in the Trust pursuant to the foregoing funding obligation shall be determined by the trustee of the Trust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taking into account directors’ and officers’ liability insurance maintained by the Corporation. The terms of the Trust shall provide that (i) the Trust shall not be revoked or the principal thereof invaded without the written consent of Indemnitee, (ii) the Trustee shall advance, within 30 days of a request by Indemnitee, any and all Expenses to Indemnitee (and Indemnitee hereby agrees to reimburse the Trust under the same circumstances for which Indemnitee would be required to reimburse the Corporation under Section 9 of this Agreement), (iii) the Trust shall continue to be funded by the Corporation in accordance with the funding obligation set forth above, (iv) the Trustee shall promptly pay to Indemnitee all amounts for which Indemnitee shall be entitled to indemnification pursuant to this Agreement or otherwise no later than 30 days after notice to the Corporation in accordance with Section 25 and (v) all unexpended funds in the Trust shall revert to the Corporation upon a final determination by the Trustee or a court of competent jurisdiction, as the case may be, that Indemnitee has been fully indemnified under the terms of this Agreement. The Trustee shall be chosen by the Corporation in good faith and must be acceptable to the Indemnitee (provided that the Indemnitee’s consent to the selection of a Trustee shall not be unreasonably withheld). All income earned on the assets held in the Trust shall be reported as income by the Corporation for federal, state, local and foreign tax purposes. The Corporation shall pay all costs of establishing and maintaining the Trust and shall indemnify the Trustee against any and all expenses (including attorney’s fees), claims, liabilities, loss and damages arising out of or relating to this Agreement or the establishment and maintenance of the Trust. The establishment of the Trust shall not, in any way, diminish the Corporation’s obligation to indemnify an Indemnitee to the full extent required by this Agreement.</w:t>
      </w:r>
    </w:p>
    <w:p>
      <w:pPr>
        <w:spacing w:after="0" w:line="166"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The Corporation shall provide Indemnitee with such information as the Corporation determines is reasonable under the circumstances to enable Indemnitee to enforce Indemnitee’s rights under this Agreement; provided that the Corporation shall not be required to deliver any information pursuant to this Section 20 if the provision of such information would, in the Corporation’s judgment, prejudice the Corporation’s rights or obligations in any Proceeding. The foregoing shall not prejudice the rights of Indemnitee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95" w:right="339" w:bottom="1440" w:gutter="0" w:footer="0" w:header="0"/>
        </w:sectPr>
      </w:pPr>
    </w:p>
    <w:bookmarkStart w:id="114" w:name="page115"/>
    <w:bookmarkEnd w:id="114"/>
    <w:p>
      <w:pPr>
        <w:ind w:right="40"/>
        <w:spacing w:after="0" w:line="217" w:lineRule="auto"/>
        <w:rPr>
          <w:sz w:val="20"/>
          <w:szCs w:val="20"/>
          <w:color w:val="auto"/>
        </w:rPr>
      </w:pPr>
      <w:r>
        <w:rPr>
          <w:rFonts w:ascii="Times New Roman" w:cs="Times New Roman" w:eastAsia="Times New Roman" w:hAnsi="Times New Roman"/>
          <w:sz w:val="22"/>
          <w:szCs w:val="22"/>
          <w:color w:val="auto"/>
        </w:rPr>
        <w:t>discovery or otherwise in a Proceeding commenced in the Delaware Court to enforce this Agreement. Indemnitee agrees that any information provided to Indemnitee pursuant to this section is material non-public information that Indemnitee is obligated to hold in confidence and may not disclose publicly or trade on the basis of; provided, however, that Indemnitee is permitted to use such information and to disclose such information to Indemnitee’s legal counsel solely in connection with defending Indemnitee from legal liability.</w:t>
      </w:r>
    </w:p>
    <w:p>
      <w:pPr>
        <w:spacing w:after="0" w:line="152"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Identical Counterparts</w:t>
      </w:r>
      <w:r>
        <w:rPr>
          <w:rFonts w:ascii="Times New Roman" w:cs="Times New Roman" w:eastAsia="Times New Roman" w:hAnsi="Times New Roman"/>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may constitute evidence of the existence of this Agreement.</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paragraphs of this Agreement are inserted for convenience only and shall not be deemed to constitute part of this Agreement or to affect the construction thereof.</w:t>
      </w:r>
    </w:p>
    <w:p>
      <w:pPr>
        <w:spacing w:after="0" w:line="150"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52"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Notice by Indemnitee</w:t>
      </w:r>
      <w:r>
        <w:rPr>
          <w:rFonts w:ascii="Times New Roman" w:cs="Times New Roman" w:eastAsia="Times New Roman" w:hAnsi="Times New Roman"/>
          <w:sz w:val="22"/>
          <w:szCs w:val="22"/>
          <w:color w:val="auto"/>
        </w:rPr>
        <w:t>. Indemnitee agrees to notify the Corporation promptly in writing upon being served with any summons, citation, subpoena, complaint, indictment, information or other document relating to any Proceeding or matter which may be subject to indemnification or advancement of Expenses covered hereunder.</w:t>
      </w:r>
    </w:p>
    <w:p>
      <w:pPr>
        <w:spacing w:after="0" w:line="153"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hereunder shall be in writing and shall be deemed to have been duly given if (i) delivered by hand and receipted for by the party to whom such notice or other communication shall have been directed, or (ii) mailed by certified or registered mail with postage prepaid, on the third business day after the date on which it is so mailed:</w:t>
      </w:r>
    </w:p>
    <w:p>
      <w:pPr>
        <w:spacing w:after="0" w:line="152" w:lineRule="exact"/>
        <w:rPr>
          <w:sz w:val="20"/>
          <w:szCs w:val="20"/>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to:</w:t>
      </w:r>
    </w:p>
    <w:p>
      <w:pPr>
        <w:spacing w:after="0" w:line="202"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[Insert Address]</w:t>
      </w:r>
    </w:p>
    <w:p>
      <w:pPr>
        <w:spacing w:after="0" w:line="19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Corporation, to:</w:t>
      </w:r>
    </w:p>
    <w:p>
      <w:pPr>
        <w:spacing w:after="0" w:line="206" w:lineRule="exact"/>
        <w:rPr>
          <w:rFonts w:ascii="Times New Roman" w:cs="Times New Roman" w:eastAsia="Times New Roman" w:hAnsi="Times New Roman"/>
          <w:sz w:val="22"/>
          <w:szCs w:val="22"/>
          <w:color w:val="auto"/>
        </w:rPr>
      </w:pPr>
    </w:p>
    <w:p>
      <w:pPr>
        <w:ind w:left="1300" w:right="7100"/>
        <w:spacing w:after="0" w:line="3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Northrop Grumman Corporation 2980 Fairview Park Drive Falls Church, Virginia 22042 Attention: Corporate Secretary</w:t>
      </w:r>
    </w:p>
    <w:p>
      <w:pPr>
        <w:spacing w:after="0" w:line="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to such other address as may have been furnished to Indemnitee by the Corporation or to the Corporation by Indemnitee, as the case may be.</w:t>
      </w:r>
    </w:p>
    <w:p>
      <w:pPr>
        <w:spacing w:after="0" w:line="131" w:lineRule="exact"/>
        <w:rPr>
          <w:sz w:val="20"/>
          <w:szCs w:val="20"/>
          <w:color w:val="auto"/>
        </w:rPr>
      </w:pPr>
    </w:p>
    <w:p>
      <w:pPr>
        <w:ind w:right="4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Governing Law and Consent to Jurisdiction</w:t>
      </w:r>
      <w:r>
        <w:rPr>
          <w:rFonts w:ascii="Times New Roman" w:cs="Times New Roman" w:eastAsia="Times New Roman" w:hAnsi="Times New Roman"/>
          <w:sz w:val="22"/>
          <w:szCs w:val="22"/>
          <w:color w:val="auto"/>
        </w:rPr>
        <w:t>. This Agreement shall be governed by, and construed and enforced in accordance with, the laws in effect in the State of Delaware, without regard to its conflict of laws rules. The Corporation and Indemnitee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395" w:right="359" w:bottom="1440" w:gutter="0" w:footer="0" w:header="0"/>
        </w:sectPr>
      </w:pPr>
    </w:p>
    <w:bookmarkStart w:id="115" w:name="page116"/>
    <w:bookmarkEnd w:id="115"/>
    <w:p>
      <w:pPr>
        <w:ind w:right="100"/>
        <w:spacing w:after="0" w:line="212" w:lineRule="auto"/>
        <w:rPr>
          <w:sz w:val="20"/>
          <w:szCs w:val="20"/>
          <w:color w:val="auto"/>
        </w:rPr>
      </w:pPr>
      <w:r>
        <w:rPr>
          <w:rFonts w:ascii="Times New Roman" w:cs="Times New Roman" w:eastAsia="Times New Roman" w:hAnsi="Times New Roman"/>
          <w:sz w:val="22"/>
          <w:szCs w:val="22"/>
          <w:color w:val="auto"/>
        </w:rPr>
        <w:t>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25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56"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The Corporation expressly confirms and agrees that it has entered into this Agreement in order to induce Indemnitee to serve or to continue to serve as a director or officer of the Corporation, and acknowledges that Indemnitee is relying upon this Agreement in continuing in such capacity. The parties hereto agree that a delayed monetary remedy for breach of this Agreement shall cause Indemnitee irreparable harm. Accordingly, the parties hereto agree that Indemnitee may enforce the Corporation’s obligations to advance Expenses provided under this Agreement by seeking injunctive relief and/or specific performance hereof, without further showing actual damage or irreparable harm. The parties hereto further agree that Indemnitee shall be entitled to any such specific performance and injunctive relief, including temporary restraining orders, preliminary injunctions and permanent injunctions, without the necessity of posting bonds or other undertaking in connection therewith. The Corporation acknowledges that in the absence of a waiver, a bond or undertaking may be required of Indemnitee by the court, and the Corporation hereby waives any such requirement of a bond or undertaking. Nothing herein shall prevent Indemnitee from seeking or obtaining any other relief to which Indemnitee may be entitled.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effective as of the day and year first above written.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NORTHROP GRUMMAN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39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200" w:lineRule="exact"/>
        <w:rPr>
          <w:sz w:val="20"/>
          <w:szCs w:val="20"/>
          <w:color w:val="auto"/>
        </w:rPr>
      </w:pP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aware that our report dated April 20, 2026, on our review of the interim financial information of Northrop Grumman Corporation and subsidiaries appearing in this Quarterly Report on Form 10-Q for the quarter ended March 31, 2026, is incorporated by reference in Registration Statement Nos. 033-59815, 033-59853, 333-67266, 333-100179, 333-107734, 333-121104, 333-125120, 333-127317, 333-175798, 333-273482, and 333-281008 on Form S-8, and 333-264549 on Form S-4.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Greene, certify that:</w:t>
      </w:r>
    </w:p>
    <w:p>
      <w:pPr>
        <w:spacing w:after="0" w:line="90"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John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T. Greene</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2026,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March 31, 2026, as filed with the Securities and Exchange Commission on the date hereof (the “Report”), I, John T. Greene,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/s/ John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T. Greene</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1)"/>
      <w:numFmt w:val="decimal"/>
      <w:start w:val="1"/>
    </w:lvl>
  </w:abstractNum>
  <w:abstractNum w:abstractNumId="3">
    <w:nsid w:val="71C91298"/>
    <w:multiLevelType w:val="hybridMultilevel"/>
    <w:lvl w:ilvl="0">
      <w:lvlJc w:val="left"/>
      <w:lvlText w:val="(%1)"/>
      <w:numFmt w:val="decimal"/>
      <w:start w:val="1"/>
    </w:lvl>
  </w:abstractNum>
  <w:abstractNum w:abstractNumId="4">
    <w:nsid w:val="9DAF632"/>
    <w:multiLevelType w:val="hybridMultilevel"/>
    <w:lvl w:ilvl="0">
      <w:lvlJc w:val="left"/>
      <w:lvlText w:val="%1."/>
      <w:numFmt w:val="decimal"/>
      <w:start w:val="3"/>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1)"/>
      <w:numFmt w:val="decimal"/>
      <w:start w:val="1"/>
    </w:lvl>
  </w:abstractNum>
  <w:abstractNum w:abstractNumId="7">
    <w:nsid w:val="5092CA79"/>
    <w:multiLevelType w:val="hybridMultilevel"/>
    <w:lvl w:ilvl="0">
      <w:lvlJc w:val="left"/>
      <w:lvlText w:val="(%1)"/>
      <w:numFmt w:val="decimal"/>
      <w:start w:val="1"/>
    </w:lvl>
  </w:abstractNum>
  <w:abstractNum w:abstractNumId="8">
    <w:nsid w:val="1D545C4D"/>
    <w:multiLevelType w:val="hybridMultilevel"/>
    <w:lvl w:ilvl="0">
      <w:lvlJc w:val="left"/>
      <w:lvlText w:val="(%1)"/>
      <w:numFmt w:val="decimal"/>
      <w:start w:val="1"/>
    </w:lvl>
  </w:abstractNum>
  <w:abstractNum w:abstractNumId="9">
    <w:nsid w:val="59ADEA3D"/>
    <w:multiLevelType w:val="hybridMultilevel"/>
    <w:lvl w:ilvl="0">
      <w:lvlJc w:val="left"/>
      <w:lvlText w:val="(%1)"/>
      <w:numFmt w:val="decimal"/>
      <w:start w:val="1"/>
    </w:lvl>
  </w:abstractNum>
  <w:abstractNum w:abstractNumId="10">
    <w:nsid w:val="288F1A34"/>
    <w:multiLevelType w:val="hybridMultilevel"/>
    <w:lvl w:ilvl="0">
      <w:lvlJc w:val="left"/>
      <w:lvlText w:val="(%1)"/>
      <w:numFmt w:val="decimal"/>
      <w:start w:val="1"/>
    </w:lvl>
  </w:abstractNum>
  <w:abstractNum w:abstractNumId="11">
    <w:nsid w:val="2A155DBC"/>
    <w:multiLevelType w:val="hybridMultilevel"/>
    <w:lvl w:ilvl="0">
      <w:lvlJc w:val="left"/>
      <w:lvlText w:val="(%1)"/>
      <w:numFmt w:val="decimal"/>
      <w:start w:val="1"/>
    </w:lvl>
  </w:abstractNum>
  <w:abstractNum w:abstractNumId="12">
    <w:nsid w:val="1D9F6E5F"/>
    <w:multiLevelType w:val="hybridMultilevel"/>
    <w:lvl w:ilvl="0">
      <w:lvlJc w:val="left"/>
      <w:lvlText w:val="(%1)"/>
      <w:numFmt w:val="decimal"/>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
      <w:numFmt w:val="bullet"/>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1)"/>
      <w:numFmt w:val="decimal"/>
      <w:start w:val="1"/>
    </w:lvl>
  </w:abstractNum>
  <w:abstractNum w:abstractNumId="19">
    <w:nsid w:val="23D86AAC"/>
    <w:multiLevelType w:val="hybridMultilevel"/>
    <w:lvl w:ilvl="0">
      <w:lvlJc w:val="left"/>
      <w:lvlText w:val="(%1)"/>
      <w:numFmt w:val="decimal"/>
      <w:start w:val="1"/>
    </w:lvl>
  </w:abstractNum>
  <w:abstractNum w:abstractNumId="20">
    <w:nsid w:val="45E6D486"/>
    <w:multiLevelType w:val="hybridMultilevel"/>
    <w:lvl w:ilvl="0">
      <w:lvlJc w:val="left"/>
      <w:lvlText w:val="(%1)"/>
      <w:numFmt w:val="lowerRoman"/>
      <w:start w:val="7"/>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1."/>
      <w:numFmt w:val="decimal"/>
      <w:start w:val="1"/>
    </w:lvl>
  </w:abstractNum>
  <w:abstractNum w:abstractNumId="25">
    <w:nsid w:val="78DF6A55"/>
    <w:multiLevelType w:val="hybridMultilevel"/>
    <w:lvl w:ilvl="0">
      <w:lvlJc w:val="left"/>
      <w:lvlText w:val="%1."/>
      <w:numFmt w:val="decimal"/>
      <w:start w:val="2"/>
    </w:lvl>
  </w:abstractNum>
  <w:abstractNum w:abstractNumId="26">
    <w:nsid w:val="39B7AAA2"/>
    <w:multiLevelType w:val="hybridMultilevel"/>
    <w:lvl w:ilvl="0">
      <w:lvlJc w:val="left"/>
      <w:lvlText w:val="(%1)"/>
      <w:numFmt w:val="decimal"/>
      <w:start w:val="30"/>
    </w:lvl>
  </w:abstractNum>
  <w:abstractNum w:abstractNumId="27">
    <w:nsid w:val="2B0D8DBE"/>
    <w:multiLevelType w:val="hybridMultilevel"/>
    <w:lvl w:ilvl="0">
      <w:lvlJc w:val="left"/>
      <w:lvlText w:val="%1."/>
      <w:numFmt w:val="decimal"/>
      <w:start w:val="3"/>
    </w:lvl>
  </w:abstractNum>
  <w:abstractNum w:abstractNumId="28">
    <w:nsid w:val="6C80EC70"/>
    <w:multiLevelType w:val="hybridMultilevel"/>
    <w:lvl w:ilvl="0">
      <w:lvlJc w:val="left"/>
      <w:lvlText w:val="%1."/>
      <w:numFmt w:val="decimal"/>
      <w:start w:val="4"/>
    </w:lvl>
  </w:abstractNum>
  <w:abstractNum w:abstractNumId="29">
    <w:nsid w:val="379E21B5"/>
    <w:multiLevelType w:val="hybridMultilevel"/>
    <w:lvl w:ilvl="0">
      <w:lvlJc w:val="left"/>
      <w:lvlText w:val="(%1)"/>
      <w:numFmt w:val="decimal"/>
      <w:start w:val="24"/>
    </w:lvl>
  </w:abstractNum>
  <w:abstractNum w:abstractNumId="30">
    <w:nsid w:val="69E373"/>
    <w:multiLevelType w:val="hybridMultilevel"/>
    <w:lvl w:ilvl="0">
      <w:lvlJc w:val="left"/>
      <w:lvlText w:val="(%1)"/>
      <w:numFmt w:val="lowerRoman"/>
      <w:start w:val="3"/>
    </w:lvl>
  </w:abstractNum>
  <w:abstractNum w:abstractNumId="31">
    <w:nsid w:val="2C27173B"/>
    <w:multiLevelType w:val="hybridMultilevel"/>
    <w:lvl w:ilvl="0">
      <w:lvlJc w:val="left"/>
      <w:lvlText w:val="%1."/>
      <w:numFmt w:val="decimal"/>
      <w:start w:val="5"/>
    </w:lvl>
  </w:abstractNum>
  <w:abstractNum w:abstractNumId="32">
    <w:nsid w:val="4C9B0904"/>
    <w:multiLevelType w:val="hybridMultilevel"/>
    <w:lvl w:ilvl="0">
      <w:lvlJc w:val="left"/>
      <w:lvlText w:val="%1."/>
      <w:numFmt w:val="decimal"/>
      <w:start w:val="6"/>
    </w:lvl>
  </w:abstractNum>
  <w:abstractNum w:abstractNumId="33">
    <w:nsid w:val="6AA7B75C"/>
    <w:multiLevelType w:val="hybridMultilevel"/>
    <w:lvl w:ilvl="0">
      <w:lvlJc w:val="left"/>
      <w:lvlText w:val="(%1)"/>
      <w:numFmt w:val="lowerLetter"/>
      <w:start w:val="2"/>
    </w:lvl>
  </w:abstractNum>
  <w:abstractNum w:abstractNumId="34">
    <w:nsid w:val="1DF029D3"/>
    <w:multiLevelType w:val="hybridMultilevel"/>
    <w:lvl w:ilvl="0">
      <w:lvlJc w:val="left"/>
      <w:lvlText w:val="%1."/>
      <w:numFmt w:val="decimal"/>
      <w:start w:val="7"/>
    </w:lvl>
  </w:abstractNum>
  <w:abstractNum w:abstractNumId="35">
    <w:nsid w:val="5675FF36"/>
    <w:multiLevelType w:val="hybridMultilevel"/>
    <w:lvl w:ilvl="0">
      <w:lvlJc w:val="left"/>
      <w:lvlText w:val="%1."/>
      <w:numFmt w:val="decimal"/>
      <w:start w:val="8"/>
    </w:lvl>
  </w:abstractNum>
  <w:abstractNum w:abstractNumId="36">
    <w:nsid w:val="3DD15094"/>
    <w:multiLevelType w:val="hybridMultilevel"/>
    <w:lvl w:ilvl="0">
      <w:lvlJc w:val="left"/>
      <w:lvlText w:val="%1."/>
      <w:numFmt w:val="decimal"/>
      <w:start w:val="9"/>
    </w:lvl>
  </w:abstractNum>
  <w:abstractNum w:abstractNumId="37">
    <w:nsid w:val="3DB012B3"/>
    <w:multiLevelType w:val="hybridMultilevel"/>
    <w:lvl w:ilvl="0">
      <w:lvlJc w:val="left"/>
      <w:lvlText w:val="%1."/>
      <w:numFmt w:val="decimal"/>
      <w:start w:val="10"/>
    </w:lvl>
  </w:abstractNum>
  <w:abstractNum w:abstractNumId="38">
    <w:nsid w:val="2708C9AF"/>
    <w:multiLevelType w:val="hybridMultilevel"/>
    <w:lvl w:ilvl="0">
      <w:lvlJc w:val="left"/>
      <w:lvlText w:val="%1."/>
      <w:numFmt w:val="decimal"/>
      <w:start w:val="11"/>
    </w:lvl>
  </w:abstractNum>
  <w:abstractNum w:abstractNumId="39">
    <w:nsid w:val="5B25ACE2"/>
    <w:multiLevelType w:val="hybridMultilevel"/>
    <w:lvl w:ilvl="0">
      <w:lvlJc w:val="left"/>
      <w:lvlText w:val="%1."/>
      <w:numFmt w:val="decimal"/>
      <w:start w:val="12"/>
    </w:lvl>
  </w:abstractNum>
  <w:abstractNum w:abstractNumId="40">
    <w:nsid w:val="175DFCF0"/>
    <w:multiLevelType w:val="hybridMultilevel"/>
    <w:lvl w:ilvl="0">
      <w:lvlJc w:val="left"/>
      <w:lvlText w:val="(%1)"/>
      <w:numFmt w:val="lowerRoman"/>
      <w:start w:val="1"/>
    </w:lvl>
  </w:abstractNum>
  <w:abstractNum w:abstractNumId="41">
    <w:nsid w:val="4F97E3E4"/>
    <w:multiLevelType w:val="hybridMultilevel"/>
    <w:lvl w:ilvl="0">
      <w:lvlJc w:val="left"/>
      <w:lvlText w:val="(%1)"/>
      <w:numFmt w:val="lowerRoman"/>
      <w:start w:val="1"/>
    </w:lvl>
  </w:abstractNum>
  <w:abstractNum w:abstractNumId="42">
    <w:nsid w:val="53B0A9E"/>
    <w:multiLevelType w:val="hybridMultilevel"/>
    <w:lvl w:ilvl="0">
      <w:lvlJc w:val="left"/>
      <w:lvlText w:val="(%1)"/>
      <w:numFmt w:val="lowerRoman"/>
      <w:start w:val="1"/>
    </w:lvl>
  </w:abstractNum>
  <w:abstractNum w:abstractNumId="43">
    <w:nsid w:val="34FD6B4F"/>
    <w:multiLevelType w:val="hybridMultilevel"/>
    <w:lvl w:ilvl="0">
      <w:lvlJc w:val="left"/>
      <w:lvlText w:val="(%1)"/>
      <w:numFmt w:val="lowerRoman"/>
      <w:start w:val="2"/>
    </w:lvl>
  </w:abstractNum>
  <w:abstractNum w:abstractNumId="44">
    <w:nsid w:val="5915FF32"/>
    <w:multiLevelType w:val="hybridMultilevel"/>
    <w:lvl w:ilvl="0">
      <w:lvlJc w:val="left"/>
      <w:lvlText w:val="(%1)"/>
      <w:numFmt w:val="lowerRoman"/>
      <w:start w:val="5"/>
    </w:lvl>
  </w:abstractNum>
  <w:abstractNum w:abstractNumId="45">
    <w:nsid w:val="56438D15"/>
    <w:multiLevelType w:val="hybridMultilevel"/>
    <w:lvl w:ilvl="0">
      <w:lvlJc w:val="left"/>
      <w:lvlText w:val="(%1)"/>
      <w:numFmt w:val="lowerRoman"/>
      <w:start w:val="1"/>
    </w:lvl>
    <w:lvl w:ilvl="1">
      <w:lvlJc w:val="left"/>
      <w:lvlText w:val="(%2)"/>
      <w:numFmt w:val="lowerRoman"/>
      <w:start w:val="1"/>
    </w:lvl>
  </w:abstractNum>
  <w:abstractNum w:abstractNumId="46">
    <w:nsid w:val="519E3149"/>
    <w:multiLevelType w:val="hybridMultilevel"/>
    <w:lvl w:ilvl="0">
      <w:lvlJc w:val="left"/>
      <w:lvlText w:val="%1."/>
      <w:numFmt w:val="decimal"/>
      <w:start w:val="1"/>
    </w:lvl>
  </w:abstractNum>
  <w:abstractNum w:abstractNumId="47">
    <w:nsid w:val="2C6E4AFD"/>
    <w:multiLevelType w:val="hybridMultilevel"/>
    <w:lvl w:ilvl="0">
      <w:lvlJc w:val="left"/>
      <w:lvlText w:val="%1."/>
      <w:numFmt w:val="decimal"/>
      <w:start w:val="2"/>
    </w:lvl>
  </w:abstractNum>
  <w:abstractNum w:abstractNumId="48">
    <w:nsid w:val="17A1B582"/>
    <w:multiLevelType w:val="hybridMultilevel"/>
    <w:lvl w:ilvl="0">
      <w:lvlJc w:val="left"/>
      <w:lvlText w:val="%1."/>
      <w:numFmt w:val="decimal"/>
      <w:start w:val="3"/>
    </w:lvl>
  </w:abstractNum>
  <w:abstractNum w:abstractNumId="49">
    <w:nsid w:val="4DF72E4E"/>
    <w:multiLevelType w:val="hybridMultilevel"/>
    <w:lvl w:ilvl="0">
      <w:lvlJc w:val="left"/>
      <w:lvlText w:val="%1."/>
      <w:numFmt w:val="decimal"/>
      <w:start w:val="4"/>
    </w:lvl>
  </w:abstractNum>
  <w:abstractNum w:abstractNumId="50">
    <w:nsid w:val="5046B5A9"/>
    <w:multiLevelType w:val="hybridMultilevel"/>
    <w:lvl w:ilvl="0">
      <w:lvlJc w:val="left"/>
      <w:lvlText w:val="(%1)"/>
      <w:numFmt w:val="decimal"/>
      <w:start w:val="24"/>
    </w:lvl>
  </w:abstractNum>
  <w:abstractNum w:abstractNumId="51">
    <w:nsid w:val="5D888A08"/>
    <w:multiLevelType w:val="hybridMultilevel"/>
    <w:lvl w:ilvl="0">
      <w:lvlJc w:val="left"/>
      <w:lvlText w:val="(%1)"/>
      <w:numFmt w:val="lowerRoman"/>
      <w:start w:val="3"/>
    </w:lvl>
  </w:abstractNum>
  <w:abstractNum w:abstractNumId="52">
    <w:nsid w:val="2A082C70"/>
    <w:multiLevelType w:val="hybridMultilevel"/>
    <w:lvl w:ilvl="0">
      <w:lvlJc w:val="left"/>
      <w:lvlText w:val="%1."/>
      <w:numFmt w:val="decimal"/>
      <w:start w:val="5"/>
    </w:lvl>
  </w:abstractNum>
  <w:abstractNum w:abstractNumId="53">
    <w:nsid w:val="5EC6AFD4"/>
    <w:multiLevelType w:val="hybridMultilevel"/>
    <w:lvl w:ilvl="0">
      <w:lvlJc w:val="left"/>
      <w:lvlText w:val="%1."/>
      <w:numFmt w:val="decimal"/>
      <w:start w:val="6"/>
    </w:lvl>
  </w:abstractNum>
  <w:abstractNum w:abstractNumId="54">
    <w:nsid w:val="19E21BB2"/>
    <w:multiLevelType w:val="hybridMultilevel"/>
    <w:lvl w:ilvl="0">
      <w:lvlJc w:val="left"/>
      <w:lvlText w:val="(%1)"/>
      <w:numFmt w:val="lowerLetter"/>
      <w:start w:val="2"/>
    </w:lvl>
  </w:abstractNum>
  <w:abstractNum w:abstractNumId="55">
    <w:nsid w:val="75E0858A"/>
    <w:multiLevelType w:val="hybridMultilevel"/>
    <w:lvl w:ilvl="0">
      <w:lvlJc w:val="left"/>
      <w:lvlText w:val="%1."/>
      <w:numFmt w:val="decimal"/>
      <w:start w:val="7"/>
    </w:lvl>
  </w:abstractNum>
  <w:abstractNum w:abstractNumId="56">
    <w:nsid w:val="57A61A29"/>
    <w:multiLevelType w:val="hybridMultilevel"/>
    <w:lvl w:ilvl="0">
      <w:lvlJc w:val="left"/>
      <w:lvlText w:val="%1."/>
      <w:numFmt w:val="decimal"/>
      <w:start w:val="8"/>
    </w:lvl>
  </w:abstractNum>
  <w:abstractNum w:abstractNumId="57">
    <w:nsid w:val="5399C654"/>
    <w:multiLevelType w:val="hybridMultilevel"/>
    <w:lvl w:ilvl="0">
      <w:lvlJc w:val="left"/>
      <w:lvlText w:val="%1."/>
      <w:numFmt w:val="decimal"/>
      <w:start w:val="9"/>
    </w:lvl>
  </w:abstractNum>
  <w:abstractNum w:abstractNumId="58">
    <w:nsid w:val="20EE1348"/>
    <w:multiLevelType w:val="hybridMultilevel"/>
    <w:lvl w:ilvl="0">
      <w:lvlJc w:val="left"/>
      <w:lvlText w:val="%1."/>
      <w:numFmt w:val="decimal"/>
      <w:start w:val="10"/>
    </w:lvl>
  </w:abstractNum>
  <w:abstractNum w:abstractNumId="59">
    <w:nsid w:val="4427069A"/>
    <w:multiLevelType w:val="hybridMultilevel"/>
    <w:lvl w:ilvl="0">
      <w:lvlJc w:val="left"/>
      <w:lvlText w:val="%1."/>
      <w:numFmt w:val="decimal"/>
      <w:start w:val="11"/>
    </w:lvl>
  </w:abstractNum>
  <w:abstractNum w:abstractNumId="60">
    <w:nsid w:val="B37E80A"/>
    <w:multiLevelType w:val="hybridMultilevel"/>
    <w:lvl w:ilvl="0">
      <w:lvlJc w:val="left"/>
      <w:lvlText w:val="(%1)"/>
      <w:numFmt w:val="upperLetter"/>
      <w:start w:val="3"/>
    </w:lvl>
  </w:abstractNum>
  <w:abstractNum w:abstractNumId="61">
    <w:nsid w:val="2157F6BC"/>
    <w:multiLevelType w:val="hybridMultilevel"/>
    <w:lvl w:ilvl="0">
      <w:lvlJc w:val="left"/>
      <w:lvlText w:val="%1."/>
      <w:numFmt w:val="decimal"/>
      <w:start w:val="12"/>
    </w:lvl>
  </w:abstractNum>
  <w:abstractNum w:abstractNumId="62">
    <w:nsid w:val="704E1DD5"/>
    <w:multiLevelType w:val="hybridMultilevel"/>
    <w:lvl w:ilvl="0">
      <w:lvlJc w:val="left"/>
      <w:lvlText w:val="(%1)"/>
      <w:numFmt w:val="lowerRoman"/>
      <w:start w:val="1"/>
    </w:lvl>
  </w:abstractNum>
  <w:abstractNum w:abstractNumId="63">
    <w:nsid w:val="57D2F10E"/>
    <w:multiLevelType w:val="hybridMultilevel"/>
    <w:lvl w:ilvl="0">
      <w:lvlJc w:val="left"/>
      <w:lvlText w:val="(%1)"/>
      <w:numFmt w:val="lowerRoman"/>
      <w:start w:val="1"/>
    </w:lvl>
  </w:abstractNum>
  <w:abstractNum w:abstractNumId="64">
    <w:nsid w:val="BFFAE18"/>
    <w:multiLevelType w:val="hybridMultilevel"/>
    <w:lvl w:ilvl="0">
      <w:lvlJc w:val="left"/>
      <w:lvlText w:val="(%1)"/>
      <w:numFmt w:val="lowerRoman"/>
      <w:start w:val="3"/>
    </w:lvl>
  </w:abstractNum>
  <w:abstractNum w:abstractNumId="65">
    <w:nsid w:val="E3E47A8"/>
    <w:multiLevelType w:val="hybridMultilevel"/>
    <w:lvl w:ilvl="0">
      <w:lvlJc w:val="left"/>
      <w:lvlText w:val="(%1)"/>
      <w:numFmt w:val="lowerRoman"/>
      <w:start w:val="1"/>
    </w:lvl>
  </w:abstractNum>
  <w:abstractNum w:abstractNumId="66">
    <w:nsid w:val="2E48F044"/>
    <w:multiLevelType w:val="hybridMultilevel"/>
    <w:lvl w:ilvl="0">
      <w:lvlJc w:val="left"/>
      <w:lvlText w:val="(%1)"/>
      <w:numFmt w:val="lowerRoman"/>
      <w:start w:val="2"/>
    </w:lvl>
  </w:abstractNum>
  <w:abstractNum w:abstractNumId="67">
    <w:nsid w:val="49D0FEAC"/>
    <w:multiLevelType w:val="hybridMultilevel"/>
    <w:lvl w:ilvl="0">
      <w:lvlJc w:val="left"/>
      <w:lvlText w:val="(%1)"/>
      <w:numFmt w:val="lowerRoman"/>
      <w:start w:val="1"/>
    </w:lvl>
  </w:abstractNum>
  <w:abstractNum w:abstractNumId="68">
    <w:nsid w:val="4BEE5A5B"/>
    <w:multiLevelType w:val="hybridMultilevel"/>
    <w:lvl w:ilvl="0">
      <w:lvlJc w:val="left"/>
      <w:lvlText w:val="(%1)"/>
      <w:numFmt w:val="lowerRoman"/>
      <w:start w:val="3"/>
    </w:lvl>
    <w:lvl w:ilvl="1">
      <w:lvlJc w:val="left"/>
      <w:lvlText w:val="(%2)"/>
      <w:numFmt w:val="lowerRoman"/>
      <w:start w:val="1"/>
    </w:lvl>
  </w:abstractNum>
  <w:abstractNum w:abstractNumId="69">
    <w:nsid w:val="5551B9F3"/>
    <w:multiLevelType w:val="hybridMultilevel"/>
    <w:lvl w:ilvl="0">
      <w:lvlJc w:val="left"/>
      <w:lvlText w:val="%1."/>
      <w:numFmt w:val="decimal"/>
      <w:start w:val="1"/>
    </w:lvl>
  </w:abstractNum>
  <w:abstractNum w:abstractNumId="70">
    <w:nsid w:val="24F6AB8E"/>
    <w:multiLevelType w:val="hybridMultilevel"/>
    <w:lvl w:ilvl="0">
      <w:lvlJc w:val="left"/>
      <w:lvlText w:val="%1."/>
      <w:numFmt w:val="decimal"/>
      <w:start w:val="2"/>
    </w:lvl>
  </w:abstractNum>
  <w:abstractNum w:abstractNumId="71">
    <w:nsid w:val="634C574C"/>
    <w:multiLevelType w:val="hybridMultilevel"/>
    <w:lvl w:ilvl="0">
      <w:lvlJc w:val="left"/>
      <w:lvlText w:val="(%1)"/>
      <w:numFmt w:val="decimal"/>
      <w:start w:val="30"/>
    </w:lvl>
  </w:abstractNum>
  <w:abstractNum w:abstractNumId="72">
    <w:nsid w:val="24E99DD7"/>
    <w:multiLevelType w:val="hybridMultilevel"/>
    <w:lvl w:ilvl="0">
      <w:lvlJc w:val="left"/>
      <w:lvlText w:val="%1."/>
      <w:numFmt w:val="decimal"/>
      <w:start w:val="3"/>
    </w:lvl>
  </w:abstractNum>
  <w:abstractNum w:abstractNumId="73">
    <w:nsid w:val="2A31B62D"/>
    <w:multiLevelType w:val="hybridMultilevel"/>
    <w:lvl w:ilvl="0">
      <w:lvlJc w:val="left"/>
      <w:lvlText w:val="%1."/>
      <w:numFmt w:val="decimal"/>
      <w:start w:val="4"/>
    </w:lvl>
  </w:abstractNum>
  <w:abstractNum w:abstractNumId="74">
    <w:nsid w:val="1849C29B"/>
    <w:multiLevelType w:val="hybridMultilevel"/>
    <w:lvl w:ilvl="0">
      <w:lvlJc w:val="left"/>
      <w:lvlText w:val="(%1)"/>
      <w:numFmt w:val="decimal"/>
      <w:start w:val="24"/>
    </w:lvl>
  </w:abstractNum>
  <w:abstractNum w:abstractNumId="75">
    <w:nsid w:val="7DFF9D09"/>
    <w:multiLevelType w:val="hybridMultilevel"/>
    <w:lvl w:ilvl="0">
      <w:lvlJc w:val="left"/>
      <w:lvlText w:val="(%1)"/>
      <w:numFmt w:val="lowerRoman"/>
      <w:start w:val="3"/>
    </w:lvl>
  </w:abstractNum>
  <w:abstractNum w:abstractNumId="76">
    <w:nsid w:val="754342"/>
    <w:multiLevelType w:val="hybridMultilevel"/>
    <w:lvl w:ilvl="0">
      <w:lvlJc w:val="left"/>
      <w:lvlText w:val="%1."/>
      <w:numFmt w:val="decimal"/>
      <w:start w:val="5"/>
    </w:lvl>
  </w:abstractNum>
  <w:abstractNum w:abstractNumId="77">
    <w:nsid w:val="69E7F3E5"/>
    <w:multiLevelType w:val="hybridMultilevel"/>
    <w:lvl w:ilvl="0">
      <w:lvlJc w:val="left"/>
      <w:lvlText w:val="%1."/>
      <w:numFmt w:val="decimal"/>
      <w:start w:val="6"/>
    </w:lvl>
  </w:abstractNum>
  <w:abstractNum w:abstractNumId="78">
    <w:nsid w:val="2A6DE806"/>
    <w:multiLevelType w:val="hybridMultilevel"/>
    <w:lvl w:ilvl="0">
      <w:lvlJc w:val="left"/>
      <w:lvlText w:val="(%1)"/>
      <w:numFmt w:val="lowerLetter"/>
      <w:start w:val="2"/>
    </w:lvl>
  </w:abstractNum>
  <w:abstractNum w:abstractNumId="79">
    <w:nsid w:val="1816F8C4"/>
    <w:multiLevelType w:val="hybridMultilevel"/>
    <w:lvl w:ilvl="0">
      <w:lvlJc w:val="left"/>
      <w:lvlText w:val="%1."/>
      <w:numFmt w:val="decimal"/>
      <w:start w:val="7"/>
    </w:lvl>
  </w:abstractNum>
  <w:abstractNum w:abstractNumId="80">
    <w:nsid w:val="37DF2233"/>
    <w:multiLevelType w:val="hybridMultilevel"/>
    <w:lvl w:ilvl="0">
      <w:lvlJc w:val="left"/>
      <w:lvlText w:val="%1."/>
      <w:numFmt w:val="decimal"/>
      <w:start w:val="8"/>
    </w:lvl>
  </w:abstractNum>
  <w:abstractNum w:abstractNumId="81">
    <w:nsid w:val="7AB49DAF"/>
    <w:multiLevelType w:val="hybridMultilevel"/>
    <w:lvl w:ilvl="0">
      <w:lvlJc w:val="left"/>
      <w:lvlText w:val="%1."/>
      <w:numFmt w:val="decimal"/>
      <w:start w:val="9"/>
    </w:lvl>
  </w:abstractNum>
  <w:abstractNum w:abstractNumId="82">
    <w:nsid w:val="759F82CD"/>
    <w:multiLevelType w:val="hybridMultilevel"/>
    <w:lvl w:ilvl="0">
      <w:lvlJc w:val="left"/>
      <w:lvlText w:val="%1."/>
      <w:numFmt w:val="decimal"/>
      <w:start w:val="10"/>
    </w:lvl>
  </w:abstractNum>
  <w:abstractNum w:abstractNumId="83">
    <w:nsid w:val="61E74EA3"/>
    <w:multiLevelType w:val="hybridMultilevel"/>
    <w:lvl w:ilvl="0">
      <w:lvlJc w:val="left"/>
      <w:lvlText w:val="%1."/>
      <w:numFmt w:val="decimal"/>
      <w:start w:val="11"/>
    </w:lvl>
  </w:abstractNum>
  <w:abstractNum w:abstractNumId="84">
    <w:nsid w:val="597B4D84"/>
    <w:multiLevelType w:val="hybridMultilevel"/>
    <w:lvl w:ilvl="0">
      <w:lvlJc w:val="left"/>
      <w:lvlText w:val="%1."/>
      <w:numFmt w:val="decimal"/>
      <w:start w:val="12"/>
    </w:lvl>
  </w:abstractNum>
  <w:abstractNum w:abstractNumId="85">
    <w:nsid w:val="F819E7F"/>
    <w:multiLevelType w:val="hybridMultilevel"/>
    <w:lvl w:ilvl="0">
      <w:lvlJc w:val="left"/>
      <w:lvlText w:val="(%1)"/>
      <w:numFmt w:val="lowerRoman"/>
      <w:start w:val="1"/>
    </w:lvl>
  </w:abstractNum>
  <w:abstractNum w:abstractNumId="86">
    <w:nsid w:val="57C7D42D"/>
    <w:multiLevelType w:val="hybridMultilevel"/>
    <w:lvl w:ilvl="0">
      <w:lvlJc w:val="left"/>
      <w:lvlText w:val="(%1)"/>
      <w:numFmt w:val="lowerRoman"/>
      <w:start w:val="1"/>
    </w:lvl>
  </w:abstractNum>
  <w:abstractNum w:abstractNumId="87">
    <w:nsid w:val="312167AD"/>
    <w:multiLevelType w:val="hybridMultilevel"/>
    <w:lvl w:ilvl="0">
      <w:lvlJc w:val="left"/>
      <w:lvlText w:val="(%1)"/>
      <w:numFmt w:val="lowerRoman"/>
      <w:start w:val="1"/>
    </w:lvl>
  </w:abstractNum>
  <w:abstractNum w:abstractNumId="88">
    <w:nsid w:val="631B64D4"/>
    <w:multiLevelType w:val="hybridMultilevel"/>
    <w:lvl w:ilvl="0">
      <w:lvlJc w:val="left"/>
      <w:lvlText w:val="(%1)"/>
      <w:numFmt w:val="lowerRoman"/>
      <w:start w:val="2"/>
    </w:lvl>
  </w:abstractNum>
  <w:abstractNum w:abstractNumId="89">
    <w:nsid w:val="78B5E776"/>
    <w:multiLevelType w:val="hybridMultilevel"/>
    <w:lvl w:ilvl="0">
      <w:lvlJc w:val="left"/>
      <w:lvlText w:val="(%1)"/>
      <w:numFmt w:val="lowerRoman"/>
      <w:start w:val="5"/>
    </w:lvl>
  </w:abstractNum>
  <w:abstractNum w:abstractNumId="90">
    <w:nsid w:val="75486E47"/>
    <w:multiLevelType w:val="hybridMultilevel"/>
    <w:lvl w:ilvl="0">
      <w:lvlJc w:val="left"/>
      <w:lvlText w:val="(%1)"/>
      <w:numFmt w:val="lowerRoman"/>
      <w:start w:val="1"/>
    </w:lvl>
    <w:lvl w:ilvl="1">
      <w:lvlJc w:val="left"/>
      <w:lvlText w:val="(%2)"/>
      <w:numFmt w:val="lowerRoman"/>
      <w:start w:val="1"/>
    </w:lvl>
  </w:abstractNum>
  <w:abstractNum w:abstractNumId="91">
    <w:nsid w:val="6E534CDE"/>
    <w:multiLevelType w:val="hybridMultilevel"/>
    <w:lvl w:ilvl="0">
      <w:lvlJc w:val="left"/>
      <w:lvlText w:val="%1."/>
      <w:numFmt w:val="decimal"/>
      <w:start w:val="1"/>
    </w:lvl>
  </w:abstractNum>
  <w:abstractNum w:abstractNumId="92">
    <w:nsid w:val="1A0DDE32"/>
    <w:multiLevelType w:val="hybridMultilevel"/>
    <w:lvl w:ilvl="0">
      <w:lvlJc w:val="left"/>
      <w:lvlText w:val="%1."/>
      <w:numFmt w:val="decimal"/>
      <w:start w:val="2"/>
    </w:lvl>
  </w:abstractNum>
  <w:abstractNum w:abstractNumId="93">
    <w:nsid w:val="65968C1C"/>
    <w:multiLevelType w:val="hybridMultilevel"/>
    <w:lvl w:ilvl="0">
      <w:lvlJc w:val="left"/>
      <w:lvlText w:val="%1."/>
      <w:numFmt w:val="decimal"/>
      <w:start w:val="3"/>
    </w:lvl>
  </w:abstractNum>
  <w:abstractNum w:abstractNumId="94">
    <w:nsid w:val="46263DEC"/>
    <w:multiLevelType w:val="hybridMultilevel"/>
    <w:lvl w:ilvl="0">
      <w:lvlJc w:val="left"/>
      <w:lvlText w:val="%1."/>
      <w:numFmt w:val="decimal"/>
      <w:start w:val="4"/>
    </w:lvl>
  </w:abstractNum>
  <w:abstractNum w:abstractNumId="95">
    <w:nsid w:val="260D8C4A"/>
    <w:multiLevelType w:val="hybridMultilevel"/>
    <w:lvl w:ilvl="0">
      <w:lvlJc w:val="left"/>
      <w:lvlText w:val="(%1)"/>
      <w:numFmt w:val="decimal"/>
      <w:start w:val="24"/>
    </w:lvl>
  </w:abstractNum>
  <w:abstractNum w:abstractNumId="96">
    <w:nsid w:val="73D4D3C4"/>
    <w:multiLevelType w:val="hybridMultilevel"/>
    <w:lvl w:ilvl="0">
      <w:lvlJc w:val="left"/>
      <w:lvlText w:val="(%1)"/>
      <w:numFmt w:val="lowerRoman"/>
      <w:start w:val="3"/>
    </w:lvl>
  </w:abstractNum>
  <w:abstractNum w:abstractNumId="97">
    <w:nsid w:val="746F2E30"/>
    <w:multiLevelType w:val="hybridMultilevel"/>
    <w:lvl w:ilvl="0">
      <w:lvlJc w:val="left"/>
      <w:lvlText w:val="%1."/>
      <w:numFmt w:val="decimal"/>
      <w:start w:val="5"/>
    </w:lvl>
  </w:abstractNum>
  <w:abstractNum w:abstractNumId="98">
    <w:nsid w:val="6FDE8AF6"/>
    <w:multiLevelType w:val="hybridMultilevel"/>
    <w:lvl w:ilvl="0">
      <w:lvlJc w:val="left"/>
      <w:lvlText w:val="%1."/>
      <w:numFmt w:val="decimal"/>
      <w:start w:val="6"/>
    </w:lvl>
  </w:abstractNum>
  <w:abstractNum w:abstractNumId="99">
    <w:nsid w:val="3FC32E20"/>
    <w:multiLevelType w:val="hybridMultilevel"/>
    <w:lvl w:ilvl="0">
      <w:lvlJc w:val="left"/>
      <w:lvlText w:val="(%1)"/>
      <w:numFmt w:val="lowerLetter"/>
      <w:start w:val="2"/>
    </w:lvl>
  </w:abstractNum>
  <w:abstractNum w:abstractNumId="100">
    <w:nsid w:val="49C0E823"/>
    <w:multiLevelType w:val="hybridMultilevel"/>
    <w:lvl w:ilvl="0">
      <w:lvlJc w:val="left"/>
      <w:lvlText w:val="%1."/>
      <w:numFmt w:val="decimal"/>
      <w:start w:val="7"/>
    </w:lvl>
  </w:abstractNum>
  <w:abstractNum w:abstractNumId="101">
    <w:nsid w:val="14D53685"/>
    <w:multiLevelType w:val="hybridMultilevel"/>
    <w:lvl w:ilvl="0">
      <w:lvlJc w:val="left"/>
      <w:lvlText w:val="%1."/>
      <w:numFmt w:val="decimal"/>
      <w:start w:val="8"/>
    </w:lvl>
  </w:abstractNum>
  <w:abstractNum w:abstractNumId="102">
    <w:nsid w:val="230F856C"/>
    <w:multiLevelType w:val="hybridMultilevel"/>
    <w:lvl w:ilvl="0">
      <w:lvlJc w:val="left"/>
      <w:lvlText w:val="%1."/>
      <w:numFmt w:val="decimal"/>
      <w:start w:val="9"/>
    </w:lvl>
  </w:abstractNum>
  <w:abstractNum w:abstractNumId="103">
    <w:nsid w:val="6EAA85FB"/>
    <w:multiLevelType w:val="hybridMultilevel"/>
    <w:lvl w:ilvl="0">
      <w:lvlJc w:val="left"/>
      <w:lvlText w:val="%1."/>
      <w:numFmt w:val="decimal"/>
      <w:start w:val="10"/>
    </w:lvl>
  </w:abstractNum>
  <w:abstractNum w:abstractNumId="104">
    <w:nsid w:val="3F06ECB2"/>
    <w:multiLevelType w:val="hybridMultilevel"/>
    <w:lvl w:ilvl="0">
      <w:lvlJc w:val="left"/>
      <w:lvlText w:val="%1."/>
      <w:numFmt w:val="decimal"/>
      <w:start w:val="11"/>
    </w:lvl>
  </w:abstractNum>
  <w:abstractNum w:abstractNumId="105">
    <w:nsid w:val="3B594807"/>
    <w:multiLevelType w:val="hybridMultilevel"/>
    <w:lvl w:ilvl="0">
      <w:lvlJc w:val="left"/>
      <w:lvlText w:val="(%1)"/>
      <w:numFmt w:val="upperLetter"/>
      <w:start w:val="3"/>
    </w:lvl>
  </w:abstractNum>
  <w:abstractNum w:abstractNumId="106">
    <w:nsid w:val="6CAA2304"/>
    <w:multiLevelType w:val="hybridMultilevel"/>
    <w:lvl w:ilvl="0">
      <w:lvlJc w:val="left"/>
      <w:lvlText w:val="%1."/>
      <w:numFmt w:val="decimal"/>
      <w:start w:val="12"/>
    </w:lvl>
  </w:abstractNum>
  <w:abstractNum w:abstractNumId="107">
    <w:nsid w:val="3F7C2FF4"/>
    <w:multiLevelType w:val="hybridMultilevel"/>
    <w:lvl w:ilvl="0">
      <w:lvlJc w:val="left"/>
      <w:lvlText w:val="(%1)"/>
      <w:numFmt w:val="lowerRoman"/>
      <w:start w:val="1"/>
    </w:lvl>
  </w:abstractNum>
  <w:abstractNum w:abstractNumId="108">
    <w:nsid w:val="25413BEC"/>
    <w:multiLevelType w:val="hybridMultilevel"/>
    <w:lvl w:ilvl="0">
      <w:lvlJc w:val="left"/>
      <w:lvlText w:val="(%1)"/>
      <w:numFmt w:val="lowerRoman"/>
      <w:start w:val="1"/>
    </w:lvl>
  </w:abstractNum>
  <w:abstractNum w:abstractNumId="109">
    <w:nsid w:val="17180B0B"/>
    <w:multiLevelType w:val="hybridMultilevel"/>
    <w:lvl w:ilvl="0">
      <w:lvlJc w:val="left"/>
      <w:lvlText w:val="(%1)"/>
      <w:numFmt w:val="lowerRoman"/>
      <w:start w:val="3"/>
    </w:lvl>
  </w:abstractNum>
  <w:abstractNum w:abstractNumId="110">
    <w:nsid w:val="579328B9"/>
    <w:multiLevelType w:val="hybridMultilevel"/>
    <w:lvl w:ilvl="0">
      <w:lvlJc w:val="left"/>
      <w:lvlText w:val="(%1)"/>
      <w:numFmt w:val="lowerRoman"/>
      <w:start w:val="1"/>
    </w:lvl>
  </w:abstractNum>
  <w:abstractNum w:abstractNumId="111">
    <w:nsid w:val="5D205E20"/>
    <w:multiLevelType w:val="hybridMultilevel"/>
    <w:lvl w:ilvl="0">
      <w:lvlJc w:val="left"/>
      <w:lvlText w:val="(%1)"/>
      <w:numFmt w:val="lowerRoman"/>
      <w:start w:val="2"/>
    </w:lvl>
  </w:abstractNum>
  <w:abstractNum w:abstractNumId="112">
    <w:nsid w:val="11CCA8BA"/>
    <w:multiLevelType w:val="hybridMultilevel"/>
    <w:lvl w:ilvl="0">
      <w:lvlJc w:val="left"/>
      <w:lvlText w:val="(%1)"/>
      <w:numFmt w:val="lowerRoman"/>
      <w:start w:val="1"/>
    </w:lvl>
  </w:abstractNum>
  <w:abstractNum w:abstractNumId="113">
    <w:nsid w:val="4D32AB86"/>
    <w:multiLevelType w:val="hybridMultilevel"/>
    <w:lvl w:ilvl="0">
      <w:lvlJc w:val="left"/>
      <w:lvlText w:val="(%1)"/>
      <w:numFmt w:val="lowerRoman"/>
      <w:start w:val="3"/>
    </w:lvl>
    <w:lvl w:ilvl="1">
      <w:lvlJc w:val="left"/>
      <w:lvlText w:val="(%2)"/>
      <w:numFmt w:val="lowerRoman"/>
      <w:start w:val="1"/>
    </w:lvl>
  </w:abstractNum>
  <w:abstractNum w:abstractNumId="114">
    <w:nsid w:val="3F07ACC3"/>
    <w:multiLevelType w:val="hybridMultilevel"/>
    <w:lvl w:ilvl="0">
      <w:lvlJc w:val="left"/>
      <w:lvlText w:val="%1."/>
      <w:numFmt w:val="decimal"/>
      <w:start w:val="1"/>
    </w:lvl>
  </w:abstractNum>
  <w:abstractNum w:abstractNumId="115">
    <w:nsid w:val="6B47F63E"/>
    <w:multiLevelType w:val="hybridMultilevel"/>
    <w:lvl w:ilvl="0">
      <w:lvlJc w:val="left"/>
      <w:lvlText w:val="%1."/>
      <w:numFmt w:val="decimal"/>
      <w:start w:val="2"/>
    </w:lvl>
  </w:abstractNum>
  <w:abstractNum w:abstractNumId="116">
    <w:nsid w:val="5CB44A05"/>
    <w:multiLevelType w:val="hybridMultilevel"/>
    <w:lvl w:ilvl="0">
      <w:lvlJc w:val="left"/>
      <w:lvlText w:val="%1."/>
      <w:numFmt w:val="decimal"/>
      <w:start w:val="3"/>
    </w:lvl>
  </w:abstractNum>
  <w:abstractNum w:abstractNumId="117">
    <w:nsid w:val="16CF80F1"/>
    <w:multiLevelType w:val="hybridMultilevel"/>
    <w:lvl w:ilvl="0">
      <w:lvlJc w:val="left"/>
      <w:lvlText w:val="%1."/>
      <w:numFmt w:val="decimal"/>
      <w:start w:val="4"/>
    </w:lvl>
  </w:abstractNum>
  <w:abstractNum w:abstractNumId="118">
    <w:nsid w:val="1C695DEC"/>
    <w:multiLevelType w:val="hybridMultilevel"/>
    <w:lvl w:ilvl="0">
      <w:lvlJc w:val="left"/>
      <w:lvlText w:val="(%1)"/>
      <w:numFmt w:val="decimal"/>
      <w:start w:val="24"/>
    </w:lvl>
  </w:abstractNum>
  <w:abstractNum w:abstractNumId="119">
    <w:nsid w:val="3FCFAED9"/>
    <w:multiLevelType w:val="hybridMultilevel"/>
    <w:lvl w:ilvl="0">
      <w:lvlJc w:val="left"/>
      <w:lvlText w:val="(%1)"/>
      <w:numFmt w:val="lowerRoman"/>
      <w:start w:val="3"/>
    </w:lvl>
  </w:abstractNum>
  <w:abstractNum w:abstractNumId="120">
    <w:nsid w:val="F856867"/>
    <w:multiLevelType w:val="hybridMultilevel"/>
    <w:lvl w:ilvl="0">
      <w:lvlJc w:val="left"/>
      <w:lvlText w:val="%1."/>
      <w:numFmt w:val="decimal"/>
      <w:start w:val="5"/>
    </w:lvl>
  </w:abstractNum>
  <w:abstractNum w:abstractNumId="121">
    <w:nsid w:val="11B1CC33"/>
    <w:multiLevelType w:val="hybridMultilevel"/>
    <w:lvl w:ilvl="0">
      <w:lvlJc w:val="left"/>
      <w:lvlText w:val="%1."/>
      <w:numFmt w:val="decimal"/>
      <w:start w:val="6"/>
    </w:lvl>
  </w:abstractNum>
  <w:abstractNum w:abstractNumId="122">
    <w:nsid w:val="2E22FBB7"/>
    <w:multiLevelType w:val="hybridMultilevel"/>
    <w:lvl w:ilvl="0">
      <w:lvlJc w:val="left"/>
      <w:lvlText w:val="(%1)"/>
      <w:numFmt w:val="lowerLetter"/>
      <w:start w:val="2"/>
    </w:lvl>
  </w:abstractNum>
  <w:abstractNum w:abstractNumId="123">
    <w:nsid w:val="29934699"/>
    <w:multiLevelType w:val="hybridMultilevel"/>
    <w:lvl w:ilvl="0">
      <w:lvlJc w:val="left"/>
      <w:lvlText w:val="%1."/>
      <w:numFmt w:val="decimal"/>
      <w:start w:val="7"/>
    </w:lvl>
  </w:abstractNum>
  <w:abstractNum w:abstractNumId="124">
    <w:nsid w:val="77485850"/>
    <w:multiLevelType w:val="hybridMultilevel"/>
    <w:lvl w:ilvl="0">
      <w:lvlJc w:val="left"/>
      <w:lvlText w:val="%1."/>
      <w:numFmt w:val="decimal"/>
      <w:start w:val="8"/>
    </w:lvl>
  </w:abstractNum>
  <w:abstractNum w:abstractNumId="125">
    <w:nsid w:val="744939A3"/>
    <w:multiLevelType w:val="hybridMultilevel"/>
    <w:lvl w:ilvl="0">
      <w:lvlJc w:val="left"/>
      <w:lvlText w:val="%1."/>
      <w:numFmt w:val="decimal"/>
      <w:start w:val="9"/>
    </w:lvl>
  </w:abstractNum>
  <w:abstractNum w:abstractNumId="126">
    <w:nsid w:val="4FA0D2E3"/>
    <w:multiLevelType w:val="hybridMultilevel"/>
    <w:lvl w:ilvl="0">
      <w:lvlJc w:val="left"/>
      <w:lvlText w:val="%1."/>
      <w:numFmt w:val="decimal"/>
      <w:start w:val="10"/>
    </w:lvl>
  </w:abstractNum>
  <w:abstractNum w:abstractNumId="127">
    <w:nsid w:val="6B1D2C14"/>
    <w:multiLevelType w:val="hybridMultilevel"/>
    <w:lvl w:ilvl="0">
      <w:lvlJc w:val="left"/>
      <w:lvlText w:val="%1."/>
      <w:numFmt w:val="decimal"/>
      <w:start w:val="11"/>
    </w:lvl>
  </w:abstractNum>
  <w:abstractNum w:abstractNumId="128">
    <w:nsid w:val="68B867D3"/>
    <w:multiLevelType w:val="hybridMultilevel"/>
    <w:lvl w:ilvl="0">
      <w:lvlJc w:val="left"/>
      <w:lvlText w:val="%1."/>
      <w:numFmt w:val="decimal"/>
      <w:start w:val="12"/>
    </w:lvl>
  </w:abstractNum>
  <w:abstractNum w:abstractNumId="129">
    <w:nsid w:val="3F7F5DD9"/>
    <w:multiLevelType w:val="hybridMultilevel"/>
    <w:lvl w:ilvl="0">
      <w:lvlJc w:val="left"/>
      <w:lvlText w:val="(%1)"/>
      <w:numFmt w:val="lowerRoman"/>
      <w:start w:val="1"/>
    </w:lvl>
  </w:abstractNum>
  <w:abstractNum w:abstractNumId="130">
    <w:nsid w:val="2AE05A34"/>
    <w:multiLevelType w:val="hybridMultilevel"/>
    <w:lvl w:ilvl="0">
      <w:lvlJc w:val="left"/>
      <w:lvlText w:val="(%1)"/>
      <w:numFmt w:val="lowerRoman"/>
      <w:start w:val="1"/>
    </w:lvl>
  </w:abstractNum>
  <w:abstractNum w:abstractNumId="131">
    <w:nsid w:val="32794FF7"/>
    <w:multiLevelType w:val="hybridMultilevel"/>
    <w:lvl w:ilvl="0">
      <w:lvlJc w:val="left"/>
      <w:lvlText w:val="(%1)"/>
      <w:numFmt w:val="lowerRoman"/>
      <w:start w:val="2"/>
    </w:lvl>
  </w:abstractNum>
  <w:abstractNum w:abstractNumId="132">
    <w:nsid w:val="5454945E"/>
    <w:multiLevelType w:val="hybridMultilevel"/>
    <w:lvl w:ilvl="0">
      <w:lvlJc w:val="left"/>
      <w:lvlText w:val="(%1)"/>
      <w:numFmt w:val="lowerRoman"/>
      <w:start w:val="5"/>
    </w:lvl>
  </w:abstractNum>
  <w:abstractNum w:abstractNumId="133">
    <w:nsid w:val="4DEFDFA0"/>
    <w:multiLevelType w:val="hybridMultilevel"/>
    <w:lvl w:ilvl="0">
      <w:lvlJc w:val="left"/>
      <w:lvlText w:val="(%1)"/>
      <w:numFmt w:val="lowerRoman"/>
      <w:start w:val="1"/>
    </w:lvl>
  </w:abstractNum>
  <w:abstractNum w:abstractNumId="134">
    <w:nsid w:val="2123D5F2"/>
    <w:multiLevelType w:val="hybridMultilevel"/>
    <w:lvl w:ilvl="0">
      <w:lvlJc w:val="left"/>
      <w:lvlText w:val="(%1)"/>
      <w:numFmt w:val="lowerRoman"/>
      <w:start w:val="3"/>
    </w:lvl>
    <w:lvl w:ilvl="1">
      <w:lvlJc w:val="left"/>
      <w:lvlText w:val="(%2)"/>
      <w:numFmt w:val="lowerRoman"/>
      <w:start w:val="1"/>
    </w:lvl>
  </w:abstractNum>
  <w:abstractNum w:abstractNumId="135">
    <w:nsid w:val="135B8110"/>
    <w:multiLevelType w:val="hybridMultilevel"/>
    <w:lvl w:ilvl="0">
      <w:lvlJc w:val="left"/>
      <w:lvlText w:val="•"/>
      <w:numFmt w:val="bullet"/>
      <w:start w:val="1"/>
    </w:lvl>
    <w:lvl w:ilvl="1">
      <w:lvlJc w:val="left"/>
      <w:lvlText w:val="•"/>
      <w:numFmt w:val="bullet"/>
      <w:start w:val="1"/>
    </w:lvl>
  </w:abstractNum>
  <w:abstractNum w:abstractNumId="136">
    <w:nsid w:val="94927A8"/>
    <w:multiLevelType w:val="hybridMultilevel"/>
    <w:lvl w:ilvl="0">
      <w:lvlJc w:val="left"/>
      <w:lvlText w:val="•"/>
      <w:numFmt w:val="bullet"/>
      <w:start w:val="1"/>
    </w:lvl>
  </w:abstractNum>
  <w:abstractNum w:abstractNumId="137">
    <w:nsid w:val="DCDF8F6"/>
    <w:multiLevelType w:val="hybridMultilevel"/>
    <w:lvl w:ilvl="0">
      <w:lvlJc w:val="left"/>
      <w:lvlText w:val="•"/>
      <w:numFmt w:val="bullet"/>
      <w:start w:val="1"/>
    </w:lvl>
  </w:abstractNum>
  <w:abstractNum w:abstractNumId="138">
    <w:nsid w:val="52D7B105"/>
    <w:multiLevelType w:val="hybridMultilevel"/>
    <w:lvl w:ilvl="0">
      <w:lvlJc w:val="left"/>
      <w:lvlText w:val="•"/>
      <w:numFmt w:val="bullet"/>
      <w:start w:val="1"/>
    </w:lvl>
  </w:abstractNum>
  <w:abstractNum w:abstractNumId="139">
    <w:nsid w:val="2E8A6394"/>
    <w:multiLevelType w:val="hybridMultilevel"/>
    <w:lvl w:ilvl="0">
      <w:lvlJc w:val="left"/>
      <w:lvlText w:val="•"/>
      <w:numFmt w:val="bullet"/>
      <w:start w:val="1"/>
    </w:lvl>
  </w:abstractNum>
  <w:abstractNum w:abstractNumId="140">
    <w:nsid w:val="24E60401"/>
    <w:multiLevelType w:val="hybridMultilevel"/>
    <w:lvl w:ilvl="0">
      <w:lvlJc w:val="left"/>
      <w:lvlText w:val="•"/>
      <w:numFmt w:val="bullet"/>
      <w:start w:val="1"/>
    </w:lvl>
  </w:abstractNum>
  <w:abstractNum w:abstractNumId="141">
    <w:nsid w:val="2A6AD9BE"/>
    <w:multiLevelType w:val="hybridMultilevel"/>
    <w:lvl w:ilvl="0">
      <w:lvlJc w:val="left"/>
      <w:lvlText w:val="•"/>
      <w:numFmt w:val="bullet"/>
      <w:start w:val="1"/>
    </w:lvl>
  </w:abstractNum>
  <w:abstractNum w:abstractNumId="142">
    <w:nsid w:val="BAAC1B4"/>
    <w:multiLevelType w:val="hybridMultilevel"/>
    <w:lvl w:ilvl="0">
      <w:lvlJc w:val="left"/>
      <w:lvlText w:val="•"/>
      <w:numFmt w:val="bullet"/>
      <w:start w:val="1"/>
    </w:lvl>
  </w:abstractNum>
  <w:abstractNum w:abstractNumId="143">
    <w:nsid w:val="36B2ACBC"/>
    <w:multiLevelType w:val="hybridMultilevel"/>
    <w:lvl w:ilvl="0">
      <w:lvlJc w:val="left"/>
      <w:lvlText w:val="•"/>
      <w:numFmt w:val="bullet"/>
      <w:start w:val="1"/>
    </w:lvl>
  </w:abstractNum>
  <w:abstractNum w:abstractNumId="144">
    <w:nsid w:val="779D8544"/>
    <w:multiLevelType w:val="hybridMultilevel"/>
    <w:lvl w:ilvl="0">
      <w:lvlJc w:val="left"/>
      <w:lvlText w:val="•"/>
      <w:numFmt w:val="bullet"/>
      <w:start w:val="1"/>
    </w:lvl>
  </w:abstractNum>
  <w:abstractNum w:abstractNumId="145">
    <w:nsid w:val="4AB26E78"/>
    <w:multiLevelType w:val="hybridMultilevel"/>
    <w:lvl w:ilvl="0">
      <w:lvlJc w:val="left"/>
      <w:lvlText w:val="•"/>
      <w:numFmt w:val="bullet"/>
      <w:start w:val="1"/>
    </w:lvl>
  </w:abstractNum>
  <w:abstractNum w:abstractNumId="146">
    <w:nsid w:val="21FAA2FA"/>
    <w:multiLevelType w:val="hybridMultilevel"/>
    <w:lvl w:ilvl="0">
      <w:lvlJc w:val="left"/>
      <w:lvlText w:val="•"/>
      <w:numFmt w:val="bullet"/>
      <w:start w:val="1"/>
    </w:lvl>
  </w:abstractNum>
  <w:abstractNum w:abstractNumId="147">
    <w:nsid w:val="5451CF49"/>
    <w:multiLevelType w:val="hybridMultilevel"/>
    <w:lvl w:ilvl="0">
      <w:lvlJc w:val="left"/>
      <w:lvlText w:val="•"/>
      <w:numFmt w:val="bullet"/>
      <w:start w:val="1"/>
    </w:lvl>
  </w:abstractNum>
  <w:abstractNum w:abstractNumId="148">
    <w:nsid w:val="6181EF69"/>
    <w:multiLevelType w:val="hybridMultilevel"/>
    <w:lvl w:ilvl="0">
      <w:lvlJc w:val="left"/>
      <w:lvlText w:val="•"/>
      <w:numFmt w:val="bullet"/>
      <w:start w:val="1"/>
    </w:lvl>
  </w:abstractNum>
  <w:abstractNum w:abstractNumId="149">
    <w:nsid w:val="3E6400E6"/>
    <w:multiLevelType w:val="hybridMultilevel"/>
    <w:lvl w:ilvl="0">
      <w:lvlJc w:val="left"/>
      <w:lvlText w:val="•"/>
      <w:numFmt w:val="bullet"/>
      <w:start w:val="1"/>
    </w:lvl>
  </w:abstractNum>
  <w:abstractNum w:abstractNumId="150">
    <w:nsid w:val="14217E23"/>
    <w:multiLevelType w:val="hybridMultilevel"/>
    <w:lvl w:ilvl="0">
      <w:lvlJc w:val="left"/>
      <w:lvlText w:val="•"/>
      <w:numFmt w:val="bullet"/>
      <w:start w:val="1"/>
    </w:lvl>
  </w:abstractNum>
  <w:abstractNum w:abstractNumId="151">
    <w:nsid w:val="710757D0"/>
    <w:multiLevelType w:val="hybridMultilevel"/>
    <w:lvl w:ilvl="0">
      <w:lvlJc w:val="left"/>
      <w:lvlText w:val="•"/>
      <w:numFmt w:val="bullet"/>
      <w:start w:val="1"/>
    </w:lvl>
  </w:abstractNum>
  <w:abstractNum w:abstractNumId="152">
    <w:nsid w:val="5015CD1A"/>
    <w:multiLevelType w:val="hybridMultilevel"/>
    <w:lvl w:ilvl="0">
      <w:lvlJc w:val="left"/>
      <w:lvlText w:val="•"/>
      <w:numFmt w:val="bullet"/>
      <w:start w:val="1"/>
    </w:lvl>
  </w:abstractNum>
  <w:abstractNum w:abstractNumId="153">
    <w:nsid w:val="424479DA"/>
    <w:multiLevelType w:val="hybridMultilevel"/>
    <w:lvl w:ilvl="0">
      <w:lvlJc w:val="left"/>
      <w:lvlText w:val="•"/>
      <w:numFmt w:val="bullet"/>
      <w:start w:val="1"/>
    </w:lvl>
  </w:abstractNum>
  <w:abstractNum w:abstractNumId="154">
    <w:nsid w:val="1A9A9E69"/>
    <w:multiLevelType w:val="hybridMultilevel"/>
    <w:lvl w:ilvl="0">
      <w:lvlJc w:val="left"/>
      <w:lvlText w:val="•"/>
      <w:numFmt w:val="bullet"/>
      <w:start w:val="1"/>
    </w:lvl>
  </w:abstractNum>
  <w:abstractNum w:abstractNumId="155">
    <w:nsid w:val="475E256A"/>
    <w:multiLevelType w:val="hybridMultilevel"/>
    <w:lvl w:ilvl="0">
      <w:lvlJc w:val="left"/>
      <w:lvlText w:val="•"/>
      <w:numFmt w:val="bullet"/>
      <w:start w:val="1"/>
    </w:lvl>
    <w:lvl w:ilvl="1">
      <w:lvlJc w:val="left"/>
      <w:lvlText w:val="&quot;"/>
      <w:numFmt w:val="bullet"/>
      <w:start w:val="1"/>
    </w:lvl>
  </w:abstractNum>
  <w:abstractNum w:abstractNumId="156">
    <w:nsid w:val="368DB37E"/>
    <w:multiLevelType w:val="hybridMultilevel"/>
    <w:lvl w:ilvl="0">
      <w:lvlJc w:val="left"/>
      <w:lvlText w:val="•"/>
      <w:numFmt w:val="bullet"/>
      <w:start w:val="1"/>
    </w:lvl>
  </w:abstractNum>
  <w:abstractNum w:abstractNumId="157">
    <w:nsid w:val="6A3B714C"/>
    <w:multiLevelType w:val="hybridMultilevel"/>
    <w:lvl w:ilvl="0">
      <w:lvlJc w:val="left"/>
      <w:lvlText w:val="•"/>
      <w:numFmt w:val="bullet"/>
      <w:start w:val="1"/>
    </w:lvl>
  </w:abstractNum>
  <w:abstractNum w:abstractNumId="158">
    <w:nsid w:val="327B517E"/>
    <w:multiLevelType w:val="hybridMultilevel"/>
    <w:lvl w:ilvl="0">
      <w:lvlJc w:val="left"/>
      <w:lvlText w:val="•"/>
      <w:numFmt w:val="bullet"/>
      <w:start w:val="1"/>
    </w:lvl>
  </w:abstractNum>
  <w:abstractNum w:abstractNumId="159">
    <w:nsid w:val="1F461B51"/>
    <w:multiLevelType w:val="hybridMultilevel"/>
    <w:lvl w:ilvl="0">
      <w:lvlJc w:val="left"/>
      <w:lvlText w:val="•"/>
      <w:numFmt w:val="bullet"/>
      <w:start w:val="1"/>
    </w:lvl>
  </w:abstractNum>
  <w:abstractNum w:abstractNumId="160">
    <w:nsid w:val="29BACF25"/>
    <w:multiLevelType w:val="hybridMultilevel"/>
    <w:lvl w:ilvl="0">
      <w:lvlJc w:val="left"/>
      <w:lvlText w:val="•"/>
      <w:numFmt w:val="bullet"/>
      <w:start w:val="1"/>
    </w:lvl>
  </w:abstractNum>
  <w:abstractNum w:abstractNumId="161">
    <w:nsid w:val="5D5BABB3"/>
    <w:multiLevelType w:val="hybridMultilevel"/>
    <w:lvl w:ilvl="0">
      <w:lvlJc w:val="left"/>
      <w:lvlText w:val="•"/>
      <w:numFmt w:val="bullet"/>
      <w:start w:val="1"/>
    </w:lvl>
  </w:abstractNum>
  <w:abstractNum w:abstractNumId="162">
    <w:nsid w:val="51BF6B48"/>
    <w:multiLevelType w:val="hybridMultilevel"/>
    <w:lvl w:ilvl="0">
      <w:lvlJc w:val="left"/>
      <w:lvlText w:val="•"/>
      <w:numFmt w:val="bullet"/>
      <w:start w:val="1"/>
    </w:lvl>
  </w:abstractNum>
  <w:abstractNum w:abstractNumId="163">
    <w:nsid w:val="7E0F6384"/>
    <w:multiLevelType w:val="hybridMultilevel"/>
    <w:lvl w:ilvl="0">
      <w:lvlJc w:val="left"/>
      <w:lvlText w:val="•"/>
      <w:numFmt w:val="bullet"/>
      <w:start w:val="1"/>
    </w:lvl>
  </w:abstractNum>
  <w:abstractNum w:abstractNumId="164">
    <w:nsid w:val="2B4B8B53"/>
    <w:multiLevelType w:val="hybridMultilevel"/>
    <w:lvl w:ilvl="0">
      <w:lvlJc w:val="left"/>
      <w:lvlText w:val="•"/>
      <w:numFmt w:val="bullet"/>
      <w:start w:val="1"/>
    </w:lvl>
  </w:abstractNum>
  <w:abstractNum w:abstractNumId="165">
    <w:nsid w:val="72E3413A"/>
    <w:multiLevelType w:val="hybridMultilevel"/>
    <w:lvl w:ilvl="0">
      <w:lvlJc w:val="left"/>
      <w:lvlText w:val="•"/>
      <w:numFmt w:val="bullet"/>
      <w:start w:val="1"/>
    </w:lvl>
  </w:abstractNum>
  <w:abstractNum w:abstractNumId="166">
    <w:nsid w:val="116AE494"/>
    <w:multiLevelType w:val="hybridMultilevel"/>
    <w:lvl w:ilvl="0">
      <w:lvlJc w:val="left"/>
      <w:lvlText w:val="•"/>
      <w:numFmt w:val="bullet"/>
      <w:start w:val="1"/>
    </w:lvl>
  </w:abstractNum>
  <w:abstractNum w:abstractNumId="167">
    <w:nsid w:val="3494B2FB"/>
    <w:multiLevelType w:val="hybridMultilevel"/>
    <w:lvl w:ilvl="0">
      <w:lvlJc w:val="left"/>
      <w:lvlText w:val="•"/>
      <w:numFmt w:val="bullet"/>
      <w:start w:val="1"/>
    </w:lvl>
  </w:abstractNum>
  <w:abstractNum w:abstractNumId="168">
    <w:nsid w:val="B13A31"/>
    <w:multiLevelType w:val="hybridMultilevel"/>
    <w:lvl w:ilvl="0">
      <w:lvlJc w:val="left"/>
      <w:lvlText w:val="•"/>
      <w:numFmt w:val="bullet"/>
      <w:start w:val="1"/>
    </w:lvl>
  </w:abstractNum>
  <w:abstractNum w:abstractNumId="169">
    <w:nsid w:val="64429599"/>
    <w:multiLevelType w:val="hybridMultilevel"/>
    <w:lvl w:ilvl="0">
      <w:lvlJc w:val="left"/>
      <w:lvlText w:val="•"/>
      <w:numFmt w:val="bullet"/>
      <w:start w:val="1"/>
    </w:lvl>
  </w:abstractNum>
  <w:abstractNum w:abstractNumId="170">
    <w:nsid w:val="631F1690"/>
    <w:multiLevelType w:val="hybridMultilevel"/>
    <w:lvl w:ilvl="0">
      <w:lvlJc w:val="left"/>
      <w:lvlText w:val="•"/>
      <w:numFmt w:val="bullet"/>
      <w:start w:val="1"/>
    </w:lvl>
  </w:abstractNum>
  <w:abstractNum w:abstractNumId="171">
    <w:nsid w:val="25973E32"/>
    <w:multiLevelType w:val="hybridMultilevel"/>
    <w:lvl w:ilvl="0">
      <w:lvlJc w:val="left"/>
      <w:lvlText w:val="•"/>
      <w:numFmt w:val="bullet"/>
      <w:start w:val="1"/>
    </w:lvl>
  </w:abstractNum>
  <w:abstractNum w:abstractNumId="172">
    <w:nsid w:val="EAD6F57"/>
    <w:multiLevelType w:val="hybridMultilevel"/>
    <w:lvl w:ilvl="0">
      <w:lvlJc w:val="left"/>
      <w:lvlText w:val="•"/>
      <w:numFmt w:val="bullet"/>
      <w:start w:val="1"/>
    </w:lvl>
  </w:abstractNum>
  <w:abstractNum w:abstractNumId="173">
    <w:nsid w:val="6EC9D844"/>
    <w:multiLevelType w:val="hybridMultilevel"/>
    <w:lvl w:ilvl="0">
      <w:lvlJc w:val="left"/>
      <w:lvlText w:val="•"/>
      <w:numFmt w:val="bullet"/>
      <w:start w:val="1"/>
    </w:lvl>
  </w:abstractNum>
  <w:abstractNum w:abstractNumId="174">
    <w:nsid w:val="5C49EAEE"/>
    <w:multiLevelType w:val="hybridMultilevel"/>
    <w:lvl w:ilvl="0">
      <w:lvlJc w:val="left"/>
      <w:lvlText w:val="•"/>
      <w:numFmt w:val="bullet"/>
      <w:start w:val="1"/>
    </w:lvl>
  </w:abstractNum>
  <w:abstractNum w:abstractNumId="175">
    <w:nsid w:val="64AF49B"/>
    <w:multiLevelType w:val="hybridMultilevel"/>
    <w:lvl w:ilvl="0">
      <w:lvlJc w:val="left"/>
      <w:lvlText w:val="•"/>
      <w:numFmt w:val="bullet"/>
      <w:start w:val="1"/>
    </w:lvl>
  </w:abstractNum>
  <w:abstractNum w:abstractNumId="176">
    <w:nsid w:val="397C46BC"/>
    <w:multiLevelType w:val="hybridMultilevel"/>
    <w:lvl w:ilvl="0">
      <w:lvlJc w:val="left"/>
      <w:lvlText w:val="•"/>
      <w:numFmt w:val="bullet"/>
      <w:start w:val="1"/>
    </w:lvl>
  </w:abstractNum>
  <w:abstractNum w:abstractNumId="177">
    <w:nsid w:val="7E448DE9"/>
    <w:multiLevelType w:val="hybridMultilevel"/>
    <w:lvl w:ilvl="0">
      <w:lvlJc w:val="left"/>
      <w:lvlText w:val="•"/>
      <w:numFmt w:val="bullet"/>
      <w:start w:val="1"/>
    </w:lvl>
  </w:abstractNum>
  <w:abstractNum w:abstractNumId="178">
    <w:nsid w:val="5A9CC3E5"/>
    <w:multiLevelType w:val="hybridMultilevel"/>
    <w:lvl w:ilvl="0">
      <w:lvlJc w:val="left"/>
      <w:lvlText w:val="•"/>
      <w:numFmt w:val="bullet"/>
      <w:start w:val="1"/>
    </w:lvl>
  </w:abstractNum>
  <w:abstractNum w:abstractNumId="179">
    <w:nsid w:val="1AFE3625"/>
    <w:multiLevelType w:val="hybridMultilevel"/>
    <w:lvl w:ilvl="0">
      <w:lvlJc w:val="left"/>
      <w:lvlText w:val="•"/>
      <w:numFmt w:val="bullet"/>
      <w:start w:val="1"/>
    </w:lvl>
  </w:abstractNum>
  <w:abstractNum w:abstractNumId="180">
    <w:nsid w:val="3CA88ECF"/>
    <w:multiLevelType w:val="hybridMultilevel"/>
    <w:lvl w:ilvl="0">
      <w:lvlJc w:val="left"/>
      <w:lvlText w:val="•"/>
      <w:numFmt w:val="bullet"/>
      <w:start w:val="1"/>
    </w:lvl>
  </w:abstractNum>
  <w:abstractNum w:abstractNumId="181">
    <w:nsid w:val="6EBE4208"/>
    <w:multiLevelType w:val="hybridMultilevel"/>
    <w:lvl w:ilvl="0">
      <w:lvlJc w:val="left"/>
      <w:lvlText w:val="•"/>
      <w:numFmt w:val="bullet"/>
      <w:start w:val="1"/>
    </w:lvl>
  </w:abstractNum>
  <w:abstractNum w:abstractNumId="182">
    <w:nsid w:val="C058DF5"/>
    <w:multiLevelType w:val="hybridMultilevel"/>
    <w:lvl w:ilvl="0">
      <w:lvlJc w:val="left"/>
      <w:lvlText w:val="•"/>
      <w:numFmt w:val="bullet"/>
      <w:start w:val="1"/>
    </w:lvl>
  </w:abstractNum>
  <w:abstractNum w:abstractNumId="183">
    <w:nsid w:val="CBE5BE9"/>
    <w:multiLevelType w:val="hybridMultilevel"/>
    <w:lvl w:ilvl="0">
      <w:lvlJc w:val="left"/>
      <w:lvlText w:val="(%1)"/>
      <w:numFmt w:val="decimal"/>
      <w:start w:val="60"/>
    </w:lvl>
  </w:abstractNum>
  <w:abstractNum w:abstractNumId="184">
    <w:nsid w:val="3102BBE2"/>
    <w:multiLevelType w:val="hybridMultilevel"/>
    <w:lvl w:ilvl="0">
      <w:lvlJc w:val="left"/>
      <w:lvlText w:val="(%1)"/>
      <w:numFmt w:val="lowerLetter"/>
      <w:start w:val="1"/>
    </w:lvl>
  </w:abstractNum>
  <w:abstractNum w:abstractNumId="185">
    <w:nsid w:val="26A02C5E"/>
    <w:multiLevelType w:val="hybridMultilevel"/>
    <w:lvl w:ilvl="0">
      <w:lvlJc w:val="left"/>
      <w:lvlText w:val="(%1)"/>
      <w:numFmt w:val="lowerLetter"/>
      <w:start w:val="4"/>
    </w:lvl>
  </w:abstractNum>
  <w:abstractNum w:abstractNumId="186">
    <w:nsid w:val="541C8153"/>
    <w:multiLevelType w:val="hybridMultilevel"/>
    <w:lvl w:ilvl="0">
      <w:lvlJc w:val="left"/>
      <w:lvlText w:val="(%1)"/>
      <w:numFmt w:val="lowerRoman"/>
      <w:start w:val="1"/>
    </w:lvl>
  </w:abstractNum>
  <w:abstractNum w:abstractNumId="187">
    <w:nsid w:val="67906F60"/>
    <w:multiLevelType w:val="hybridMultilevel"/>
    <w:lvl w:ilvl="0">
      <w:lvlJc w:val="left"/>
      <w:lvlText w:val="(%1)"/>
      <w:numFmt w:val="lowerLetter"/>
      <w:start w:val="1"/>
    </w:lvl>
  </w:abstractNum>
  <w:abstractNum w:abstractNumId="188">
    <w:nsid w:val="10DB9DAA"/>
    <w:multiLevelType w:val="hybridMultilevel"/>
    <w:lvl w:ilvl="0">
      <w:lvlJc w:val="left"/>
      <w:lvlText w:val="(%1)"/>
      <w:numFmt w:val="lowerLetter"/>
      <w:start w:val="3"/>
    </w:lvl>
  </w:abstractNum>
  <w:abstractNum w:abstractNumId="189">
    <w:nsid w:val="697D2D2"/>
    <w:multiLevelType w:val="hybridMultilevel"/>
    <w:lvl w:ilvl="0">
      <w:lvlJc w:val="left"/>
      <w:lvlText w:val="(%1)"/>
      <w:numFmt w:val="lowerLetter"/>
      <w:start w:val="1"/>
    </w:lvl>
  </w:abstractNum>
  <w:abstractNum w:abstractNumId="190">
    <w:nsid w:val="6D68AB2"/>
    <w:multiLevelType w:val="hybridMultilevel"/>
    <w:lvl w:ilvl="0">
      <w:lvlJc w:val="left"/>
      <w:lvlText w:val="(%1)"/>
      <w:numFmt w:val="lowerLetter"/>
      <w:start w:val="3"/>
    </w:lvl>
  </w:abstractNum>
  <w:abstractNum w:abstractNumId="191">
    <w:nsid w:val="3A966CD0"/>
    <w:multiLevelType w:val="hybridMultilevel"/>
    <w:lvl w:ilvl="0">
      <w:lvlJc w:val="left"/>
      <w:lvlText w:val="(%1)"/>
      <w:numFmt w:val="lowerLetter"/>
      <w:start w:val="1"/>
    </w:lvl>
  </w:abstractNum>
  <w:abstractNum w:abstractNumId="192">
    <w:nsid w:val="63F37E85"/>
    <w:multiLevelType w:val="hybridMultilevel"/>
    <w:lvl w:ilvl="0">
      <w:lvlJc w:val="left"/>
      <w:lvlText w:val="(%1)"/>
      <w:numFmt w:val="lowerLetter"/>
      <w:start w:val="4"/>
    </w:lvl>
  </w:abstractNum>
  <w:abstractNum w:abstractNumId="193">
    <w:nsid w:val="5895F5FA"/>
    <w:multiLevelType w:val="hybridMultilevel"/>
    <w:lvl w:ilvl="0">
      <w:lvlJc w:val="left"/>
      <w:lvlText w:val="(%1)"/>
      <w:numFmt w:val="lowerLetter"/>
      <w:start w:val="1"/>
    </w:lvl>
  </w:abstractNum>
  <w:abstractNum w:abstractNumId="194">
    <w:nsid w:val="38A5D054"/>
    <w:multiLevelType w:val="hybridMultilevel"/>
    <w:lvl w:ilvl="0">
      <w:lvlJc w:val="left"/>
      <w:lvlText w:val="(%1)"/>
      <w:numFmt w:val="lowerLetter"/>
      <w:start w:val="3"/>
    </w:lvl>
  </w:abstractNum>
  <w:abstractNum w:abstractNumId="195">
    <w:nsid w:val="F3F09D8"/>
    <w:multiLevelType w:val="hybridMultilevel"/>
    <w:lvl w:ilvl="0">
      <w:lvlJc w:val="left"/>
      <w:lvlText w:val="%1"/>
      <w:numFmt w:val="decimal"/>
      <w:start w:val="1"/>
    </w:lvl>
    <w:lvl w:ilvl="1">
      <w:lvlJc w:val="left"/>
      <w:lvlText w:val="(%2)"/>
      <w:numFmt w:val="lowerLetter"/>
      <w:start w:val="1"/>
    </w:lvl>
  </w:abstractNum>
  <w:abstractNum w:abstractNumId="196">
    <w:nsid w:val="4B793735"/>
    <w:multiLevelType w:val="hybridMultilevel"/>
    <w:lvl w:ilvl="0">
      <w:lvlJc w:val="left"/>
      <w:lvlText w:val="(%1)"/>
      <w:numFmt w:val="decimal"/>
      <w:start w:val="2"/>
    </w:lvl>
    <w:lvl w:ilvl="1">
      <w:lvlJc w:val="left"/>
      <w:lvlText w:val="(%2)"/>
      <w:numFmt w:val="lowerLetter"/>
      <w:start w:val="2"/>
    </w:lvl>
  </w:abstractNum>
  <w:abstractNum w:abstractNumId="197">
    <w:nsid w:val="4A10B4E8"/>
    <w:multiLevelType w:val="hybridMultilevel"/>
    <w:lvl w:ilvl="0">
      <w:lvlJc w:val="left"/>
      <w:lvlText w:val="(%1)"/>
      <w:numFmt w:val="lowerLetter"/>
      <w:start w:val="3"/>
    </w:lvl>
  </w:abstractNum>
  <w:abstractNum w:abstractNumId="198">
    <w:nsid w:val="43D3BCD4"/>
    <w:multiLevelType w:val="hybridMultilevel"/>
    <w:lvl w:ilvl="0">
      <w:lvlJc w:val="left"/>
      <w:lvlText w:val="(%1)"/>
      <w:numFmt w:val="lowerLetter"/>
      <w:start w:val="1"/>
    </w:lvl>
  </w:abstractNum>
  <w:abstractNum w:abstractNumId="199">
    <w:nsid w:val="4C2A7166"/>
    <w:multiLevelType w:val="hybridMultilevel"/>
    <w:lvl w:ilvl="0">
      <w:lvlJc w:val="left"/>
      <w:lvlText w:val="%1."/>
      <w:numFmt w:val="decimal"/>
      <w:start w:val="1"/>
    </w:lvl>
    <w:lvl w:ilvl="1">
      <w:lvlJc w:val="left"/>
      <w:lvlText w:val="%2."/>
      <w:numFmt w:val="lowerLetter"/>
      <w:start w:val="1"/>
    </w:lvl>
  </w:abstractNum>
  <w:abstractNum w:abstractNumId="200">
    <w:nsid w:val="2E534A82"/>
    <w:multiLevelType w:val="hybridMultilevel"/>
    <w:lvl w:ilvl="0">
      <w:lvlJc w:val="left"/>
      <w:lvlText w:val="%1)"/>
      <w:numFmt w:val="lowerLetter"/>
      <w:start w:val="1"/>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lowerLetter"/>
      <w:start w:val="1"/>
    </w:lvl>
  </w:abstractNum>
  <w:abstractNum w:abstractNumId="203">
    <w:nsid w:val="3D00B9D9"/>
    <w:multiLevelType w:val="hybridMultilevel"/>
    <w:lvl w:ilvl="0">
      <w:lvlJc w:val="left"/>
      <w:lvlText w:val="(%1)"/>
      <w:numFmt w:val="decimal"/>
      <w:start w:val="1"/>
    </w:lvl>
  </w:abstractNum>
  <w:abstractNum w:abstractNumId="204">
    <w:nsid w:val="15BCAB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2026-04-21T15:07:50Z</dcterms:created>
  <dcterms:modified xsi:type="dcterms:W3CDTF">2026-04-21T15:07:50Z</dcterms:modified>
</cp:coreProperties>
</file>