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5623" w:type="dxa"/>
        <w:jc w:val="center"/>
        <w:tblInd w:w="0" w:type="dxa"/>
        <w:tblLayout w:type="fixed"/>
        <w:tblCellMar>
          <w:top w:w="28" w:type="dxa"/>
          <w:left w:w="28" w:type="dxa"/>
          <w:bottom w:w="28" w:type="dxa"/>
          <w:right w:w="28" w:type="dxa"/>
        </w:tblCellMar>
      </w:tblPr>
      <w:tblGrid>
        <w:gridCol w:w="973"/>
        <w:gridCol w:w="855"/>
        <w:gridCol w:w="855"/>
        <w:gridCol w:w="855"/>
        <w:gridCol w:w="855"/>
        <w:gridCol w:w="1230"/>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562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8-K</w:t>
            </w:r>
          </w:p>
        </w:tc>
      </w:tr>
      <w:tr>
        <w:trPr/>
        <w:tc>
          <w:tcPr>
            <w:tcW w:w="562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60"/>
              <w:jc w:val="center"/>
              <w:rPr>
                <w:rFonts w:ascii="Times New Roman;serif" w:hAnsi="Times New Roman;serif"/>
                <w:b/>
                <w:color w:val="000000"/>
                <w:sz w:val="24"/>
              </w:rPr>
            </w:pPr>
            <w:r>
              <w:rPr>
                <w:rFonts w:ascii="Times New Roman;serif" w:hAnsi="Times New Roman;serif"/>
                <w:b/>
                <w:color w:val="000000"/>
                <w:sz w:val="24"/>
              </w:rPr>
              <w:t>CURRENT REPORT</w:t>
              <w:br/>
              <w:t>Pursuant to Section 13 or 15(d) of the</w:t>
              <w:br/>
              <w:t>Securities Exchange Act of 1934</w:t>
            </w:r>
          </w:p>
          <w:p>
            <w:pPr>
              <w:pStyle w:val="TableContents"/>
              <w:bidi w:val="0"/>
              <w:spacing w:lineRule="auto" w:line="240" w:before="0" w:after="60"/>
              <w:jc w:val="center"/>
              <w:rPr/>
            </w:pPr>
            <w:r>
              <w:rPr>
                <w:rFonts w:ascii="Times New Roman;serif" w:hAnsi="Times New Roman;serif"/>
                <w:b/>
                <w:color w:val="000000"/>
                <w:sz w:val="8"/>
              </w:rPr>
              <w:br/>
            </w: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October 20, 2026</w:t>
            </w:r>
          </w:p>
        </w:tc>
      </w:tr>
    </w:tbl>
    <w:p>
      <w:pPr>
        <w:pStyle w:val="TextBody"/>
        <w:bidi w:val="0"/>
        <w:spacing w:before="100" w:after="283"/>
        <w:jc w:val="center"/>
        <w:rPr/>
      </w:pPr>
      <w:r>
        <w:rPr/>
      </w:r>
    </w:p>
    <w:p>
      <w:pPr>
        <w:pStyle w:val="TextBody"/>
        <w:bidi w:val="0"/>
        <w:spacing w:lineRule="auto" w:line="417" w:before="0" w:after="60"/>
        <w:jc w:val="center"/>
        <w:rPr>
          <w:rFonts w:ascii="Times New Roman;serif" w:hAnsi="Times New Roman;serif"/>
          <w:b/>
          <w:color w:val="000000"/>
          <w:sz w:val="48"/>
        </w:rPr>
      </w:pPr>
      <w:r>
        <w:rPr>
          <w:rFonts w:ascii="Times New Roman;serif" w:hAnsi="Times New Roman;serif"/>
          <w:b/>
          <w:color w:val="000000"/>
          <w:sz w:val="48"/>
        </w:rPr>
        <w:t xml:space="preserve">NORTHROP GRUMMAN CORPORATION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02" w:type="dxa"/>
        <w:jc w:val="left"/>
        <w:tblInd w:w="0" w:type="dxa"/>
        <w:tblLayout w:type="fixed"/>
        <w:tblCellMar>
          <w:top w:w="28" w:type="dxa"/>
          <w:left w:w="28" w:type="dxa"/>
          <w:bottom w:w="28" w:type="dxa"/>
          <w:right w:w="28" w:type="dxa"/>
        </w:tblCellMar>
      </w:tblPr>
      <w:tblGrid>
        <w:gridCol w:w="950"/>
        <w:gridCol w:w="833"/>
        <w:gridCol w:w="842"/>
        <w:gridCol w:w="109"/>
        <w:gridCol w:w="109"/>
        <w:gridCol w:w="109"/>
        <w:gridCol w:w="677"/>
        <w:gridCol w:w="677"/>
        <w:gridCol w:w="685"/>
        <w:gridCol w:w="109"/>
        <w:gridCol w:w="109"/>
        <w:gridCol w:w="109"/>
        <w:gridCol w:w="433"/>
        <w:gridCol w:w="433"/>
        <w:gridCol w:w="618"/>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680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1-16411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80-0640649</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2980 Fairview Park Drive, Falls Church, VA 22042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of principal executive offices)(Zip Code)</w:t>
      </w: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(703) 280-2900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NOC</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October 20, 2026, Northrop Grumman Corporation issued an earnings release announcing its financial results for the quarter ended September 30, 2026, under the heading “Northrop Grumman Reports Third Quarter 2026 Financial Results.” The earnings release is furnished as Exhibit 99.</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740" w:type="dxa"/>
        <w:jc w:val="left"/>
        <w:tblInd w:w="0" w:type="dxa"/>
        <w:tblLayout w:type="fixed"/>
        <w:tblCellMar>
          <w:top w:w="28" w:type="dxa"/>
          <w:left w:w="28" w:type="dxa"/>
          <w:bottom w:w="28" w:type="dxa"/>
          <w:right w:w="28" w:type="dxa"/>
        </w:tblCellMar>
      </w:tblPr>
      <w:tblGrid>
        <w:gridCol w:w="125"/>
        <w:gridCol w:w="110"/>
        <w:gridCol w:w="110"/>
        <w:gridCol w:w="489"/>
        <w:gridCol w:w="489"/>
        <w:gridCol w:w="491"/>
        <w:gridCol w:w="109"/>
        <w:gridCol w:w="109"/>
        <w:gridCol w:w="109"/>
        <w:gridCol w:w="1928"/>
        <w:gridCol w:w="1928"/>
        <w:gridCol w:w="2743"/>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c-09302026xearningsrelea.htm">
              <w:r>
                <w:rPr>
                  <w:rStyle w:val="InternetLink"/>
                  <w:rFonts w:ascii="Times New Roman;serif" w:hAnsi="Times New Roman;serif"/>
                  <w:b w:val="false"/>
                  <w:color w:val="0000FF"/>
                  <w:sz w:val="20"/>
                  <w:u w:val="single"/>
                </w:rPr>
                <w:t>Earnings Release dated October 20, 2026 (furnished)</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pPr>
      <w:r>
        <w:rPr/>
      </w:r>
    </w:p>
    <w:tbl>
      <w:tblPr>
        <w:tblW w:w="70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95"/>
        <w:gridCol w:w="395"/>
        <w:gridCol w:w="395"/>
        <w:gridCol w:w="395"/>
        <w:gridCol w:w="395"/>
        <w:gridCol w:w="395"/>
        <w:gridCol w:w="971"/>
        <w:gridCol w:w="971"/>
        <w:gridCol w:w="13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700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NORTHROP GRUMMAN CORPORATION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C. McGarey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br/>
              <w:t>Jennifer C. McGarey</w:t>
              <w:br/>
              <w:t>Corporate Vice President and Secretary</w:t>
            </w:r>
          </w:p>
        </w:tc>
      </w:tr>
    </w:tbl>
    <w:p>
      <w:pPr>
        <w:pStyle w:val="TextBody"/>
        <w:bidi w:val="0"/>
        <w:spacing w:before="0" w:after="0"/>
        <w:ind w:left="0" w:right="0" w:firstLine="36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94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373"/>
        <w:gridCol w:w="373"/>
        <w:gridCol w:w="5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Exhibit 99</w:t>
            </w:r>
          </w:p>
        </w:tc>
      </w:tr>
    </w:tbl>
    <w:p>
      <w:pPr>
        <w:pStyle w:val="TextBody"/>
        <w:bidi w:val="0"/>
        <w:spacing w:before="0" w:after="0"/>
        <w:jc w:val="right"/>
        <w:rPr/>
      </w:pPr>
      <w:r>
        <w:rPr/>
        <w:drawing>
          <wp:inline distT="0" distB="0" distL="0" distR="0">
            <wp:extent cx="1943100"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43100" cy="419100"/>
                    </a:xfrm>
                    <a:prstGeom prst="rect">
                      <a:avLst/>
                    </a:prstGeom>
                  </pic:spPr>
                </pic:pic>
              </a:graphicData>
            </a:graphic>
          </wp:inline>
        </w:drawing>
      </w:r>
    </w:p>
    <w:tbl>
      <w:tblPr>
        <w:tblW w:w="6804" w:type="dxa"/>
        <w:jc w:val="left"/>
        <w:tblInd w:w="0" w:type="dxa"/>
        <w:tblLayout w:type="fixed"/>
        <w:tblCellMar>
          <w:top w:w="28" w:type="dxa"/>
          <w:left w:w="28" w:type="dxa"/>
          <w:bottom w:w="28" w:type="dxa"/>
          <w:right w:w="28" w:type="dxa"/>
        </w:tblCellMar>
      </w:tblPr>
      <w:tblGrid>
        <w:gridCol w:w="886"/>
        <w:gridCol w:w="779"/>
        <w:gridCol w:w="780"/>
        <w:gridCol w:w="109"/>
        <w:gridCol w:w="109"/>
        <w:gridCol w:w="109"/>
        <w:gridCol w:w="309"/>
        <w:gridCol w:w="309"/>
        <w:gridCol w:w="311"/>
        <w:gridCol w:w="109"/>
        <w:gridCol w:w="109"/>
        <w:gridCol w:w="109"/>
        <w:gridCol w:w="811"/>
        <w:gridCol w:w="811"/>
        <w:gridCol w:w="1154"/>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4"/>
              </w:rPr>
            </w:pPr>
            <w:r>
              <w:rPr>
                <w:rFonts w:ascii="Arial;sans-serif" w:hAnsi="Arial;sans-serif"/>
                <w:b/>
                <w:color w:val="000000"/>
                <w:sz w:val="34"/>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Katie Young (Media)</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908-520-9948</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katherine.young@ngc.com</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Randy Sinclair (Investors)</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571-835-5513</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u w:val="single"/>
              </w:rPr>
            </w:pPr>
            <w:r>
              <w:rPr>
                <w:rFonts w:ascii="Arial;sans-serif" w:hAnsi="Arial;sans-serif"/>
                <w:b w:val="false"/>
                <w:color w:val="000000"/>
                <w:sz w:val="22"/>
                <w:u w:val="single"/>
              </w:rPr>
              <w:t>randy.sinclair@ngc.com</w:t>
            </w:r>
          </w:p>
        </w:tc>
      </w:tr>
    </w:tbl>
    <w:p>
      <w:pPr>
        <w:pStyle w:val="TextBody"/>
        <w:bidi w:val="0"/>
        <w:spacing w:lineRule="auto" w:line="288" w:before="180" w:after="100"/>
        <w:jc w:val="left"/>
        <w:rPr>
          <w:rFonts w:ascii="Arial;sans-serif" w:hAnsi="Arial;sans-serif"/>
          <w:b/>
          <w:color w:val="000000"/>
          <w:sz w:val="28"/>
        </w:rPr>
      </w:pPr>
      <w:r>
        <w:rPr>
          <w:rFonts w:ascii="Arial;sans-serif" w:hAnsi="Arial;sans-serif"/>
          <w:b/>
          <w:color w:val="000000"/>
          <w:sz w:val="28"/>
        </w:rPr>
        <w:t>Northrop Grumman Reports Third Quarter 2026 Financial Results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Book to bill ratio of 1.5x; Net awards of $16 billion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Backlog increases to $110 billion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Sales increase 7 percent to $11.1 billion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Operating margin rate of 11.4 percent, Segment operating margin rate</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of 12.1 percent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Diluted earnings per share (EPS) of $7.89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Company raises 2026 guidance for key financial metrics: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Segment operating income</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increased by $65 million at the midpoint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MTM-adjusted EPS</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increased by $0.70 at the midpoint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 xml:space="preserve">FALLS CHURCH, Va. – October 20, 2026 – Northrop Grumman Corporation (NYSE: NOC) reported third quarter 2026 sales increased 7 percent to $11.1 billion, as compared with $10.4 billion in the third quarter of 2025. Third quarter sales reflect continued strong demand for our global capabilities. Third quarter 2026 net earnings totaled $1.1 billion, or $7.89 per diluted share, as compared with $1.1 billion, or $7.67 per diluted share, in the third quarter of 2025. </w:t>
      </w:r>
    </w:p>
    <w:p>
      <w:pPr>
        <w:pStyle w:val="TextBody"/>
        <w:bidi w:val="0"/>
        <w:spacing w:lineRule="auto" w:line="288" w:before="0" w:after="0"/>
        <w:ind w:left="0" w:right="0" w:firstLine="360"/>
        <w:jc w:val="left"/>
        <w:rPr>
          <w:color w:val="000000"/>
        </w:rPr>
      </w:pPr>
      <w:r>
        <w:rPr>
          <w:color w:val="000000"/>
        </w:rPr>
        <w:t>“</w:t>
      </w:r>
      <w:r>
        <w:rPr>
          <w:rFonts w:ascii="Arial;sans-serif" w:hAnsi="Arial;sans-serif"/>
          <w:b w:val="false"/>
          <w:color w:val="000000"/>
          <w:sz w:val="24"/>
        </w:rPr>
        <w:t>In a complex world with the growing need for solutions that scale and perform, our customers continue to turn to Northrop Grumman, and we are delivering with urgency and innovation. Our investments provide the capacity necessary to deliver durable growth as we expand our product offerings and scale our operations,” said Kathy Warden, chair, chief executive officer and president. “I’m confident our new record backlog, well-positioned portfolio and investments, and industry-leading performance will continue to drive sales and earnings growth as reflected in our 2027 outlook.”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96315"/>
                <wp:effectExtent l="0" t="0" r="0" b="0"/>
                <wp:wrapNone/>
                <wp:docPr id="5" name="Frame4"/>
                <a:graphic xmlns:a="http://schemas.openxmlformats.org/drawingml/2006/main">
                  <a:graphicData uri="http://schemas.microsoft.com/office/word/2010/wordprocessingShape">
                    <wps:wsp>
                      <wps:cNvSpPr txBox="1"/>
                      <wps:spPr>
                        <a:xfrm>
                          <a:off x="0" y="0"/>
                          <a:ext cx="6480175" cy="996315"/>
                        </a:xfrm>
                        <a:prstGeom prst="rect"/>
                        <a:solidFill>
                          <a:srgbClr val="FFFFFF"/>
                        </a:solidFill>
                      </wps:spPr>
                      <wps:txb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45pt;mso-wrap-distance-left:0pt;mso-wrap-distance-right:0pt;mso-wrap-distance-top:0pt;mso-wrap-distance-bottom:0pt;margin-top:0pt;mso-position-vertical:top;mso-position-vertical-relative:text;margin-left:0pt;mso-position-horizontal:left;mso-position-horizontal-relative:text">
                <v:textbo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867"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09"/>
        <w:gridCol w:w="109"/>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2</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Consolidated Operating Results and Cash Flows</w:t>
      </w:r>
    </w:p>
    <w:tbl>
      <w:tblPr>
        <w:tblW w:w="10205" w:type="dxa"/>
        <w:jc w:val="left"/>
        <w:tblInd w:w="0" w:type="dxa"/>
        <w:tblLayout w:type="fixed"/>
        <w:tblCellMar>
          <w:top w:w="28" w:type="dxa"/>
          <w:left w:w="28" w:type="dxa"/>
          <w:bottom w:w="28" w:type="dxa"/>
          <w:right w:w="28" w:type="dxa"/>
        </w:tblCellMar>
      </w:tblPr>
      <w:tblGrid>
        <w:gridCol w:w="1183"/>
        <w:gridCol w:w="359"/>
        <w:gridCol w:w="362"/>
        <w:gridCol w:w="213"/>
        <w:gridCol w:w="652"/>
        <w:gridCol w:w="273"/>
        <w:gridCol w:w="110"/>
        <w:gridCol w:w="110"/>
        <w:gridCol w:w="110"/>
        <w:gridCol w:w="213"/>
        <w:gridCol w:w="652"/>
        <w:gridCol w:w="273"/>
        <w:gridCol w:w="109"/>
        <w:gridCol w:w="109"/>
        <w:gridCol w:w="109"/>
        <w:gridCol w:w="189"/>
        <w:gridCol w:w="189"/>
        <w:gridCol w:w="461"/>
        <w:gridCol w:w="109"/>
        <w:gridCol w:w="109"/>
        <w:gridCol w:w="109"/>
        <w:gridCol w:w="212"/>
        <w:gridCol w:w="755"/>
        <w:gridCol w:w="272"/>
        <w:gridCol w:w="109"/>
        <w:gridCol w:w="109"/>
        <w:gridCol w:w="109"/>
        <w:gridCol w:w="212"/>
        <w:gridCol w:w="650"/>
        <w:gridCol w:w="272"/>
        <w:gridCol w:w="109"/>
        <w:gridCol w:w="109"/>
        <w:gridCol w:w="109"/>
        <w:gridCol w:w="322"/>
        <w:gridCol w:w="324"/>
        <w:gridCol w:w="529"/>
      </w:tblGrid>
      <w:tr>
        <w:trPr/>
        <w:tc>
          <w:tcPr>
            <w:tcW w:w="118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 except per share amounts</w:t>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 Systems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3,575</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10,377</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Systems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2,307</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6,299</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Mission Systems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3,155</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9,266</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 Systems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2,749</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7,982</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Intersegment eliminations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11,122</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31,879</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 Systems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377</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1,044</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Systems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590</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Mission Systems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1,434</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 Systems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312</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783</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Intersegment eliminations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(276)</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Segment operating income</w:t>
            </w:r>
            <w:r>
              <w:rPr>
                <w:rFonts w:ascii="Arial;sans-serif" w:hAnsi="Arial;sans-serif"/>
                <w:b w:val="false"/>
                <w:color w:val="000000"/>
                <w:sz w:val="13"/>
              </w:rPr>
              <w:t>1</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1,345</w:t>
            </w:r>
            <w:r>
              <w:rPr>
                <w:color w:val="000000"/>
              </w:rPr>
              <w:t>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3,575</w:t>
            </w: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Segment operating margin rate</w:t>
            </w:r>
            <w:r>
              <w:rPr>
                <w:rFonts w:ascii="Arial;sans-serif" w:hAnsi="Arial;sans-serif"/>
                <w:b w:val="false"/>
                <w:i/>
                <w:color w:val="000000"/>
                <w:sz w:val="12"/>
              </w:rPr>
              <w:t>1</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12.1</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12.3</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(20)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11.2</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10.1</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110 bps</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FAS/CAS operating adjustment</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expense:</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training services business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Training services divestiture – unallowable state taxes and transaction costs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and PP&amp;E step-up depreciation</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unallocated corporate expense</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(199)</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expense</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(250)</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1,371</w:t>
            </w:r>
            <w:r>
              <w:rPr>
                <w:color w:val="000000"/>
              </w:rPr>
              <w:t>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operating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1,269</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3,354</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Operating margin rate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11.4</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11.9</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(50)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10.5</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10.7</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(20) bps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FAS pension benefit</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499</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1,298</w:t>
            </w:r>
            <w:r>
              <w:rPr>
                <w:color w:val="000000"/>
              </w:rPr>
              <w:t>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3,496</w:t>
            </w: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3,328 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 and foreign income tax expense</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403</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income tax rate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13.4</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16.9</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(350)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11.5</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17.2</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(570) bps</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earnings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1,124</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3,093</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Diluted earnings per share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7.89</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21.72</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diluted shares outstanding, in millions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1,745</w:t>
            </w:r>
            <w:r>
              <w:rPr>
                <w:color w:val="000000"/>
              </w:rPr>
              <w:t>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1,369</w:t>
            </w: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w:t>
            </w:r>
            <w:r>
              <w:rPr>
                <w:color w:val="000000"/>
              </w:rPr>
              <w:t>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(306)</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equipment to a customer</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371</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371</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r>
      <w:tr>
        <w:trPr/>
        <w:tc>
          <w:tcPr>
            <w:tcW w:w="19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free cash flow</w:t>
            </w:r>
            <w:r>
              <w:rPr>
                <w:rFonts w:ascii="Arial;sans-serif" w:hAnsi="Arial;sans-serif"/>
                <w:b/>
                <w:color w:val="000000"/>
                <w:sz w:val="13"/>
              </w:rPr>
              <w:t>1</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1,810</w:t>
            </w:r>
            <w:r>
              <w:rPr>
                <w:color w:val="000000"/>
              </w:rPr>
              <w:t> </w:t>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w:t>
            </w:r>
            <w:r>
              <w:rPr>
                <w:color w:val="000000"/>
              </w:rPr>
              <w:t> </w:t>
            </w:r>
          </w:p>
        </w:tc>
        <w:tc>
          <w:tcPr>
            <w:tcW w:w="4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965</w:t>
            </w:r>
            <w:r>
              <w:rPr>
                <w:color w:val="000000"/>
              </w:rPr>
              <w:t> </w:t>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1,240</w:t>
            </w:r>
            <w:r>
              <w:rPr>
                <w:color w:val="000000"/>
              </w:rPr>
              <w:t> </w:t>
            </w:r>
          </w:p>
        </w:tc>
        <w:tc>
          <w:tcPr>
            <w:tcW w:w="5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96315"/>
                <wp:effectExtent l="0" t="0" r="0" b="0"/>
                <wp:wrapNone/>
                <wp:docPr id="6" name="Frame5"/>
                <a:graphic xmlns:a="http://schemas.openxmlformats.org/drawingml/2006/main">
                  <a:graphicData uri="http://schemas.microsoft.com/office/word/2010/wordprocessingShape">
                    <wps:wsp>
                      <wps:cNvSpPr txBox="1"/>
                      <wps:spPr>
                        <a:xfrm>
                          <a:off x="0" y="0"/>
                          <a:ext cx="6480175" cy="996315"/>
                        </a:xfrm>
                        <a:prstGeom prst="rect"/>
                        <a:solidFill>
                          <a:srgbClr val="FFFFFF"/>
                        </a:solidFill>
                      </wps:spPr>
                      <wps:txb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45pt;mso-wrap-distance-left:0pt;mso-wrap-distance-right:0pt;mso-wrap-distance-top:0pt;mso-wrap-distance-bottom:0pt;margin-top:0pt;mso-position-vertical:top;mso-position-vertical-relative:text;margin-left:0pt;mso-position-horizontal:left;mso-position-horizontal-relative:text">
                <v:textbo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867"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09"/>
        <w:gridCol w:w="109"/>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3</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Sales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sales increased $699 million, or 7 percent, driven by higher sales at all four sectors, including a 14 percent increase at Aeronautics Systems and a 12 percent increase at Defense Systems. These increases were partially offset by $95 million of higher intercompany eliminations.</w:t>
      </w: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Operating Income and Margin Rate</w:t>
      </w:r>
    </w:p>
    <w:p>
      <w:pPr>
        <w:pStyle w:val="TextBody"/>
        <w:bidi w:val="0"/>
        <w:spacing w:lineRule="auto" w:line="288" w:before="0" w:after="100"/>
        <w:ind w:left="0" w:right="0" w:firstLine="360"/>
        <w:jc w:val="left"/>
        <w:rPr/>
      </w:pPr>
      <w:r>
        <w:rPr>
          <w:rFonts w:ascii="Arial;sans-serif" w:hAnsi="Arial;sans-serif"/>
          <w:b w:val="false"/>
          <w:color w:val="000000"/>
          <w:sz w:val="24"/>
        </w:rPr>
        <w:t>Third quarter 2026 operating income increased $27 million, or 2 percent, primarily due to $68 million of higher segment operating income</w:t>
      </w:r>
      <w:r>
        <w:rPr>
          <w:rFonts w:ascii="Arial;sans-serif" w:hAnsi="Arial;sans-serif"/>
          <w:b w:val="false"/>
          <w:color w:val="000000"/>
          <w:sz w:val="16"/>
        </w:rPr>
        <w:t>1</w:t>
      </w:r>
      <w:r>
        <w:rPr>
          <w:rFonts w:ascii="Arial;sans-serif" w:hAnsi="Arial;sans-serif"/>
          <w:b w:val="false"/>
          <w:color w:val="000000"/>
          <w:sz w:val="24"/>
        </w:rPr>
        <w:t>, partially offset by a $52 million decrease in the FAS/CAS operating adjustment. Operating margin rate declined to 11.4 percent from 11.9 percent principally due to the decrease in the FAS/CAS operating adjustment.</w:t>
      </w:r>
    </w:p>
    <w:p>
      <w:pPr>
        <w:pStyle w:val="TextBody"/>
        <w:bidi w:val="0"/>
        <w:spacing w:lineRule="auto" w:line="288" w:before="0" w:after="0"/>
        <w:jc w:val="left"/>
        <w:rPr/>
      </w:pPr>
      <w:r>
        <w:rPr>
          <w:rFonts w:ascii="Arial;sans-serif" w:hAnsi="Arial;sans-serif"/>
          <w:b/>
          <w:color w:val="000000"/>
          <w:sz w:val="24"/>
        </w:rPr>
        <w:t>Segment Operating Income and Margin Rate</w:t>
      </w:r>
      <w:r>
        <w:rPr>
          <w:rFonts w:ascii="Arial;sans-serif" w:hAnsi="Arial;sans-serif"/>
          <w:b/>
          <w:color w:val="000000"/>
          <w:sz w:val="16"/>
        </w:rPr>
        <w:t>1</w:t>
      </w:r>
    </w:p>
    <w:p>
      <w:pPr>
        <w:pStyle w:val="TextBody"/>
        <w:bidi w:val="0"/>
        <w:spacing w:lineRule="auto" w:line="288" w:before="0" w:after="100"/>
        <w:ind w:left="0" w:right="0" w:firstLine="360"/>
        <w:jc w:val="left"/>
        <w:rPr/>
      </w:pPr>
      <w:r>
        <w:rPr>
          <w:rFonts w:ascii="Arial;sans-serif" w:hAnsi="Arial;sans-serif"/>
          <w:b w:val="false"/>
          <w:color w:val="000000"/>
          <w:sz w:val="24"/>
        </w:rPr>
        <w:t>Third quarter 2026 segment operating income</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increased $68 million, or 5 percent, primarily due to $72 million of higher operating income at Aeronautics Systems. Third quarter 2026 segment operating margin rate</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of 12.1 percent reflects strong program performance and higher operating margin rates at Aeronautics Systems and Space Systems. Segment operating margin rate</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decreased from 12.3 percent in the third quarter of 2025 principally due to a prior year $68 million favorable EAC adjustment in the restricted advanced microelectronics portfolio at Mission Systems.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Federal and Foreign Income Taxes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income tax expense decreased $49 million, or 22 percent, due to a lower effective tax rate (ETR) and $25 million of lower earnings before income taxes. The third quarter 2026 ETR decreased to 13.4 percent from 16.9 percent principally due to higher research credits.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Net Earnings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net earnings increased $24 million, or 2 percent, primarily due to a $49 million decrease in income tax expense, a $31 million increase in the non-operating FAS pension benefit and a $27 million increase in operating income, partially offset by an $86 million decrease in Other, net largely driven by favorable returns on marketable securities in the prior year.</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Cash Flows</w:t>
      </w:r>
    </w:p>
    <w:p>
      <w:pPr>
        <w:pStyle w:val="TextBody"/>
        <w:bidi w:val="0"/>
        <w:spacing w:lineRule="auto" w:line="288" w:before="0" w:after="100"/>
        <w:ind w:left="0" w:right="0" w:firstLine="360"/>
        <w:jc w:val="left"/>
        <w:rPr/>
      </w:pPr>
      <w:r>
        <w:rPr>
          <w:rFonts w:ascii="Arial;sans-serif" w:hAnsi="Arial;sans-serif"/>
          <w:b w:val="false"/>
          <w:color w:val="000000"/>
          <w:sz w:val="24"/>
        </w:rPr>
        <w:t>Third quarter 2026 net cash provided by operating activities increased $188 million, or 12 percent, primarily due to improved trade working capital. Third quarter 2026 adjusted free cash flow</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increased $554 million, or 44 percent, due to proceeds received in connection with the sale of equipment to a customer and higher net cash provided by operating activities.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Awards and Backlog</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net awards totaled $16.4 billion, and backlog totaled $109.6 billion. Significant third quarter new awards include $4.6 billion for restricted programs (primarily at Aeronautics Systems, Space Systems, and Mission Systems), $2.0 billion for Sentinel, $1.4 billion for Virginia Class submarines, $1.3 billion for F-35 at Aeronautics Systems, and $1.0 billion for E-2.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96315"/>
                <wp:effectExtent l="0" t="0" r="0" b="0"/>
                <wp:wrapNone/>
                <wp:docPr id="7" name="Frame6"/>
                <a:graphic xmlns:a="http://schemas.openxmlformats.org/drawingml/2006/main">
                  <a:graphicData uri="http://schemas.microsoft.com/office/word/2010/wordprocessingShape">
                    <wps:wsp>
                      <wps:cNvSpPr txBox="1"/>
                      <wps:spPr>
                        <a:xfrm>
                          <a:off x="0" y="0"/>
                          <a:ext cx="6480175" cy="996315"/>
                        </a:xfrm>
                        <a:prstGeom prst="rect"/>
                        <a:solidFill>
                          <a:srgbClr val="FFFFFF"/>
                        </a:solidFill>
                      </wps:spPr>
                      <wps:txb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45pt;mso-wrap-distance-left:0pt;mso-wrap-distance-right:0pt;mso-wrap-distance-top:0pt;mso-wrap-distance-bottom:0pt;margin-top:0pt;mso-position-vertical:top;mso-position-vertical-relative:text;margin-left:0pt;mso-position-horizontal:left;mso-position-horizontal-relative:text">
                <v:textbo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867"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09"/>
        <w:gridCol w:w="109"/>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4</w:t>
            </w:r>
          </w:p>
        </w:tc>
      </w:tr>
    </w:tbl>
    <w:p>
      <w:pPr>
        <w:pStyle w:val="TextBody"/>
        <w:bidi w:val="0"/>
        <w:spacing w:before="0" w:after="0"/>
        <w:jc w:val="center"/>
        <w:rPr/>
      </w:pPr>
      <w:r>
        <w:rPr/>
      </w:r>
    </w:p>
    <w:p>
      <w:pPr>
        <w:pStyle w:val="TextBody"/>
        <w:bidi w:val="0"/>
        <w:spacing w:lineRule="auto" w:line="288" w:before="0" w:after="100"/>
        <w:jc w:val="left"/>
        <w:rPr>
          <w:rFonts w:ascii="Arial;sans-serif" w:hAnsi="Arial;sans-serif"/>
          <w:b/>
          <w:color w:val="000000"/>
          <w:sz w:val="24"/>
          <w:u w:val="single"/>
          <w:shd w:fill="FFFFFF" w:val="clear"/>
        </w:rPr>
      </w:pPr>
      <w:r>
        <w:rPr>
          <w:rFonts w:ascii="Arial;sans-serif" w:hAnsi="Arial;sans-serif"/>
          <w:b/>
          <w:color w:val="000000"/>
          <w:sz w:val="24"/>
          <w:u w:val="single"/>
          <w:shd w:fill="FFFFFF" w:val="clear"/>
        </w:rPr>
        <w:t>Segment Operating Results</w:t>
      </w:r>
    </w:p>
    <w:tbl>
      <w:tblPr>
        <w:tblW w:w="10205" w:type="dxa"/>
        <w:jc w:val="left"/>
        <w:tblInd w:w="0" w:type="dxa"/>
        <w:tblLayout w:type="fixed"/>
        <w:tblCellMar>
          <w:top w:w="28" w:type="dxa"/>
          <w:left w:w="28" w:type="dxa"/>
          <w:bottom w:w="28" w:type="dxa"/>
          <w:right w:w="28" w:type="dxa"/>
        </w:tblCellMar>
      </w:tblPr>
      <w:tblGrid>
        <w:gridCol w:w="872"/>
        <w:gridCol w:w="767"/>
        <w:gridCol w:w="768"/>
        <w:gridCol w:w="355"/>
        <w:gridCol w:w="230"/>
        <w:gridCol w:w="442"/>
        <w:gridCol w:w="157"/>
        <w:gridCol w:w="157"/>
        <w:gridCol w:w="157"/>
        <w:gridCol w:w="304"/>
        <w:gridCol w:w="230"/>
        <w:gridCol w:w="442"/>
        <w:gridCol w:w="109"/>
        <w:gridCol w:w="109"/>
        <w:gridCol w:w="109"/>
        <w:gridCol w:w="188"/>
        <w:gridCol w:w="188"/>
        <w:gridCol w:w="461"/>
        <w:gridCol w:w="109"/>
        <w:gridCol w:w="109"/>
        <w:gridCol w:w="109"/>
        <w:gridCol w:w="354"/>
        <w:gridCol w:w="223"/>
        <w:gridCol w:w="502"/>
        <w:gridCol w:w="154"/>
        <w:gridCol w:w="154"/>
        <w:gridCol w:w="154"/>
        <w:gridCol w:w="298"/>
        <w:gridCol w:w="223"/>
        <w:gridCol w:w="439"/>
        <w:gridCol w:w="109"/>
        <w:gridCol w:w="109"/>
        <w:gridCol w:w="109"/>
        <w:gridCol w:w="240"/>
        <w:gridCol w:w="241"/>
        <w:gridCol w:w="524"/>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color w:val="000000"/>
                <w:sz w:val="24"/>
              </w:rPr>
            </w:pPr>
            <w:r>
              <w:rPr>
                <w:rFonts w:ascii="Arial;sans-serif" w:hAnsi="Arial;sans-serif"/>
                <w:b/>
                <w:color w:val="000000"/>
                <w:sz w:val="24"/>
              </w:rPr>
              <w:t>AERONAUTICS SYSTEMS</w:t>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t>
            </w:r>
          </w:p>
        </w:tc>
      </w:tr>
      <w:tr>
        <w:trPr/>
        <w:tc>
          <w:tcPr>
            <w:tcW w:w="2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3,575</w:t>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10,377</w:t>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377</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1,044</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w:t>
            </w: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40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 rate</w:t>
            </w:r>
          </w:p>
        </w:tc>
        <w:tc>
          <w:tcPr>
            <w:tcW w:w="58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10.5</w:t>
            </w:r>
            <w:r>
              <w:rPr>
                <w:color w:val="000000"/>
              </w:rPr>
              <w:t> </w:t>
            </w:r>
          </w:p>
        </w:tc>
        <w:tc>
          <w:tcPr>
            <w:tcW w:w="4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4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9.7 </w:t>
            </w:r>
          </w:p>
        </w:tc>
        <w:tc>
          <w:tcPr>
            <w:tcW w:w="4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10.1</w:t>
            </w:r>
            <w:r>
              <w:rPr>
                <w:color w:val="000000"/>
              </w:rPr>
              <w:t> </w:t>
            </w:r>
          </w:p>
        </w:tc>
        <w:tc>
          <w:tcPr>
            <w:tcW w:w="5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46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4.9 </w:t>
            </w:r>
          </w:p>
        </w:tc>
        <w:tc>
          <w:tcPr>
            <w:tcW w:w="4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Sales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 xml:space="preserve">Third quarter 2026 sales increased $433 million, or 14 percent, primarily due to a $195 million increase on F-35 driven by the timing of material costs on production lots and increased sustainment volume, higher B-21 sales and an increase in B-2 sustainment volume. </w:t>
      </w: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Operating Income</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operating income increased $72 million, or 24 percent, due to higher sales and a higher operating margin rate. Operating margin rate increased to 10.5 percent from 9.7 percent primarily due to higher net contract margin adjustments, including on certain mature production and sustainment programs.</w:t>
      </w:r>
    </w:p>
    <w:tbl>
      <w:tblPr>
        <w:tblW w:w="10205" w:type="dxa"/>
        <w:jc w:val="left"/>
        <w:tblInd w:w="0" w:type="dxa"/>
        <w:tblLayout w:type="fixed"/>
        <w:tblCellMar>
          <w:top w:w="28" w:type="dxa"/>
          <w:left w:w="28" w:type="dxa"/>
          <w:bottom w:w="28" w:type="dxa"/>
          <w:right w:w="28" w:type="dxa"/>
        </w:tblCellMar>
      </w:tblPr>
      <w:tblGrid>
        <w:gridCol w:w="732"/>
        <w:gridCol w:w="642"/>
        <w:gridCol w:w="644"/>
        <w:gridCol w:w="257"/>
        <w:gridCol w:w="587"/>
        <w:gridCol w:w="330"/>
        <w:gridCol w:w="132"/>
        <w:gridCol w:w="132"/>
        <w:gridCol w:w="132"/>
        <w:gridCol w:w="257"/>
        <w:gridCol w:w="587"/>
        <w:gridCol w:w="330"/>
        <w:gridCol w:w="109"/>
        <w:gridCol w:w="109"/>
        <w:gridCol w:w="109"/>
        <w:gridCol w:w="188"/>
        <w:gridCol w:w="188"/>
        <w:gridCol w:w="461"/>
        <w:gridCol w:w="109"/>
        <w:gridCol w:w="109"/>
        <w:gridCol w:w="109"/>
        <w:gridCol w:w="252"/>
        <w:gridCol w:w="575"/>
        <w:gridCol w:w="323"/>
        <w:gridCol w:w="130"/>
        <w:gridCol w:w="130"/>
        <w:gridCol w:w="130"/>
        <w:gridCol w:w="252"/>
        <w:gridCol w:w="575"/>
        <w:gridCol w:w="323"/>
        <w:gridCol w:w="109"/>
        <w:gridCol w:w="109"/>
        <w:gridCol w:w="109"/>
        <w:gridCol w:w="203"/>
        <w:gridCol w:w="203"/>
        <w:gridCol w:w="529"/>
      </w:tblGrid>
      <w:tr>
        <w:trPr/>
        <w:tc>
          <w:tcPr>
            <w:tcW w:w="73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color w:val="000000"/>
                <w:sz w:val="24"/>
              </w:rPr>
            </w:pPr>
            <w:r>
              <w:rPr>
                <w:rFonts w:ascii="Arial;sans-serif" w:hAnsi="Arial;sans-serif"/>
                <w:b/>
                <w:color w:val="000000"/>
                <w:sz w:val="24"/>
              </w:rPr>
              <w:t>DEFENSE SYSTEMS</w:t>
            </w:r>
          </w:p>
        </w:tc>
        <w:tc>
          <w:tcPr>
            <w:tcW w:w="2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t>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2,307</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6,299</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Training services sales</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Organic sales</w:t>
            </w:r>
            <w:r>
              <w:rPr>
                <w:rFonts w:ascii="Arial;sans-serif" w:hAnsi="Arial;sans-serif"/>
                <w:b w:val="false"/>
                <w:color w:val="000000"/>
                <w:sz w:val="13"/>
              </w:rPr>
              <w:t>1</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2,307</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6,299</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income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590</w:t>
            </w: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Operating margin rate</w:t>
            </w:r>
          </w:p>
        </w:tc>
        <w:tc>
          <w:tcPr>
            <w:tcW w:w="84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10.8</w:t>
            </w:r>
            <w:r>
              <w:rPr>
                <w:color w:val="000000"/>
              </w:rPr>
              <w:t> </w:t>
            </w:r>
          </w:p>
        </w:tc>
        <w:tc>
          <w:tcPr>
            <w:tcW w:w="33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11.4 </w:t>
            </w:r>
          </w:p>
        </w:tc>
        <w:tc>
          <w:tcPr>
            <w:tcW w:w="33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9.4</w:t>
            </w:r>
            <w:r>
              <w:rPr>
                <w:color w:val="000000"/>
              </w:rPr>
              <w:t> </w:t>
            </w:r>
          </w:p>
        </w:tc>
        <w:tc>
          <w:tcPr>
            <w:tcW w:w="32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11.4 </w:t>
            </w:r>
          </w:p>
        </w:tc>
        <w:tc>
          <w:tcPr>
            <w:tcW w:w="32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Sales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sales increased $248 million, or 12 percent, primarily due to a $180 million increase on Sentinel as the program continues to ramp, higher volume on the Guided Multiple Launch Rocket System Extended Range (GMLRS ER) program due to the timing of awards, and higher volume on various tactical solid rocket motor programs. These increases were partially offset by lower volume on armament programs, primarily on certain military ammunition programs.</w:t>
      </w: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Operating Income</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operating income increased $16 million, or 7 percent, primarily due to higher sales, partially offset by a lower operating margin rate. Operating margin rate decreased to 10.8 percent from 11.4 percent, primarily due to changes in contract mix toward more cost-type content.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96315"/>
                <wp:effectExtent l="0" t="0" r="0" b="0"/>
                <wp:wrapNone/>
                <wp:docPr id="8" name="Frame7"/>
                <a:graphic xmlns:a="http://schemas.openxmlformats.org/drawingml/2006/main">
                  <a:graphicData uri="http://schemas.microsoft.com/office/word/2010/wordprocessingShape">
                    <wps:wsp>
                      <wps:cNvSpPr txBox="1"/>
                      <wps:spPr>
                        <a:xfrm>
                          <a:off x="0" y="0"/>
                          <a:ext cx="6480175" cy="996315"/>
                        </a:xfrm>
                        <a:prstGeom prst="rect"/>
                        <a:solidFill>
                          <a:srgbClr val="FFFFFF"/>
                        </a:solidFill>
                      </wps:spPr>
                      <wps:txb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45pt;mso-wrap-distance-left:0pt;mso-wrap-distance-right:0pt;mso-wrap-distance-top:0pt;mso-wrap-distance-bottom:0pt;margin-top:0pt;mso-position-vertical:top;mso-position-vertical-relative:text;margin-left:0pt;mso-position-horizontal:left;mso-position-horizontal-relative:text">
                <v:textbo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867"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09"/>
        <w:gridCol w:w="109"/>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5</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23"/>
        <w:gridCol w:w="635"/>
        <w:gridCol w:w="636"/>
        <w:gridCol w:w="395"/>
        <w:gridCol w:w="230"/>
        <w:gridCol w:w="499"/>
        <w:gridCol w:w="189"/>
        <w:gridCol w:w="189"/>
        <w:gridCol w:w="189"/>
        <w:gridCol w:w="390"/>
        <w:gridCol w:w="230"/>
        <w:gridCol w:w="499"/>
        <w:gridCol w:w="109"/>
        <w:gridCol w:w="109"/>
        <w:gridCol w:w="109"/>
        <w:gridCol w:w="175"/>
        <w:gridCol w:w="175"/>
        <w:gridCol w:w="461"/>
        <w:gridCol w:w="109"/>
        <w:gridCol w:w="109"/>
        <w:gridCol w:w="109"/>
        <w:gridCol w:w="388"/>
        <w:gridCol w:w="223"/>
        <w:gridCol w:w="489"/>
        <w:gridCol w:w="184"/>
        <w:gridCol w:w="184"/>
        <w:gridCol w:w="184"/>
        <w:gridCol w:w="383"/>
        <w:gridCol w:w="223"/>
        <w:gridCol w:w="489"/>
        <w:gridCol w:w="109"/>
        <w:gridCol w:w="109"/>
        <w:gridCol w:w="109"/>
        <w:gridCol w:w="169"/>
        <w:gridCol w:w="169"/>
        <w:gridCol w:w="52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color w:val="000000"/>
                <w:sz w:val="24"/>
              </w:rPr>
            </w:pPr>
            <w:r>
              <w:rPr>
                <w:rFonts w:ascii="Arial;sans-serif" w:hAnsi="Arial;sans-serif"/>
                <w:b/>
                <w:color w:val="000000"/>
                <w:sz w:val="24"/>
              </w:rPr>
              <w:t>MISSION SYSTEMS</w:t>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3,155</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9,266</w:t>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500</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1,434</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Operating margin rate</w:t>
            </w:r>
          </w:p>
        </w:tc>
        <w:tc>
          <w:tcPr>
            <w:tcW w:w="62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15.8</w:t>
            </w:r>
            <w:r>
              <w:rPr>
                <w:color w:val="000000"/>
              </w:rPr>
              <w:t> </w:t>
            </w:r>
          </w:p>
        </w:tc>
        <w:tc>
          <w:tcPr>
            <w:tcW w:w="4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56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16.7 </w:t>
            </w:r>
          </w:p>
        </w:tc>
        <w:tc>
          <w:tcPr>
            <w:tcW w:w="4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15.5</w:t>
            </w:r>
            <w:r>
              <w:rPr>
                <w:color w:val="000000"/>
              </w:rPr>
              <w:t> </w:t>
            </w:r>
          </w:p>
        </w:tc>
        <w:tc>
          <w:tcPr>
            <w:tcW w:w="4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55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14.5 </w:t>
            </w:r>
          </w:p>
        </w:tc>
        <w:tc>
          <w:tcPr>
            <w:tcW w:w="4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Sales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sales increased $62 million, or 2 percent, primarily due to ramp-up on restricted airborne radar programs and higher volume on marine systems programs. These increases were partially offset by lower volume on restricted advanced microelectronics programs.</w:t>
      </w: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Operating Income</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operating income decreased $15 million, or 3 percent, primarily due to a lower operating margin rate, partially offset by higher sales. Third quarter 2026 operating margin rate of 15.8 percent reflects strong program performance on marine systems and restricted airborne radar programs. Operating margin rate decreased from 16.7 percent in the third quarter of 2025 due, in part, to a prior year $68 million favorable EAC adjustment in the restricted advanced microelectronics portfolio.</w:t>
      </w:r>
    </w:p>
    <w:tbl>
      <w:tblPr>
        <w:tblW w:w="10205" w:type="dxa"/>
        <w:jc w:val="left"/>
        <w:tblInd w:w="0" w:type="dxa"/>
        <w:tblLayout w:type="fixed"/>
        <w:tblCellMar>
          <w:top w:w="28" w:type="dxa"/>
          <w:left w:w="28" w:type="dxa"/>
          <w:bottom w:w="28" w:type="dxa"/>
          <w:right w:w="28" w:type="dxa"/>
        </w:tblCellMar>
      </w:tblPr>
      <w:tblGrid>
        <w:gridCol w:w="700"/>
        <w:gridCol w:w="615"/>
        <w:gridCol w:w="617"/>
        <w:gridCol w:w="401"/>
        <w:gridCol w:w="230"/>
        <w:gridCol w:w="508"/>
        <w:gridCol w:w="194"/>
        <w:gridCol w:w="194"/>
        <w:gridCol w:w="194"/>
        <w:gridCol w:w="397"/>
        <w:gridCol w:w="230"/>
        <w:gridCol w:w="508"/>
        <w:gridCol w:w="109"/>
        <w:gridCol w:w="109"/>
        <w:gridCol w:w="109"/>
        <w:gridCol w:w="175"/>
        <w:gridCol w:w="175"/>
        <w:gridCol w:w="461"/>
        <w:gridCol w:w="109"/>
        <w:gridCol w:w="109"/>
        <w:gridCol w:w="109"/>
        <w:gridCol w:w="366"/>
        <w:gridCol w:w="223"/>
        <w:gridCol w:w="498"/>
        <w:gridCol w:w="189"/>
        <w:gridCol w:w="189"/>
        <w:gridCol w:w="189"/>
        <w:gridCol w:w="389"/>
        <w:gridCol w:w="223"/>
        <w:gridCol w:w="498"/>
        <w:gridCol w:w="109"/>
        <w:gridCol w:w="109"/>
        <w:gridCol w:w="109"/>
        <w:gridCol w:w="169"/>
        <w:gridCol w:w="169"/>
        <w:gridCol w:w="523"/>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1932"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color w:val="000000"/>
                <w:sz w:val="24"/>
              </w:rPr>
            </w:pPr>
            <w:r>
              <w:rPr>
                <w:rFonts w:ascii="Arial;sans-serif" w:hAnsi="Arial;sans-serif"/>
                <w:b/>
                <w:color w:val="000000"/>
                <w:sz w:val="24"/>
              </w:rPr>
              <w:t>SPACE SYSTEMS</w:t>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t>
            </w:r>
          </w:p>
        </w:tc>
      </w:tr>
      <w:tr>
        <w:trPr/>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2,749</w:t>
            </w:r>
          </w:p>
        </w:tc>
        <w:tc>
          <w:tcPr>
            <w:tcW w:w="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7,982</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312</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783</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93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Operating margin rate</w:t>
            </w:r>
          </w:p>
        </w:tc>
        <w:tc>
          <w:tcPr>
            <w:tcW w:w="6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11.3</w:t>
            </w:r>
            <w:r>
              <w:rPr>
                <w:color w:val="000000"/>
              </w:rPr>
              <w:t>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58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11.0 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9.8</w:t>
            </w:r>
            <w:r>
              <w:rPr>
                <w:color w:val="000000"/>
              </w:rPr>
              <w:t> </w:t>
            </w:r>
          </w:p>
        </w:tc>
        <w:tc>
          <w:tcPr>
            <w:tcW w:w="4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56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10.9 </w:t>
            </w:r>
          </w:p>
        </w:tc>
        <w:tc>
          <w:tcPr>
            <w:tcW w:w="4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Sales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sales increased $51 million, or 2 percent, primarily due to ramp-up of programs in the restricted space portfolio, partially offset by $136 million of lower sales on Commercial Resupply Service missions due to launch timing.</w:t>
      </w: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Operating Income</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Third quarter 2026 operating income increased $14 million, or 5 percent, due to a higher operating margin rate and higher sales. Operating margin rate increased to 11.3 percent from 11.0 percent, primarily due to changes in contract mix toward more fixed-price content.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96315"/>
                <wp:effectExtent l="0" t="0" r="0" b="0"/>
                <wp:wrapNone/>
                <wp:docPr id="9" name="Frame8"/>
                <a:graphic xmlns:a="http://schemas.openxmlformats.org/drawingml/2006/main">
                  <a:graphicData uri="http://schemas.microsoft.com/office/word/2010/wordprocessingShape">
                    <wps:wsp>
                      <wps:cNvSpPr txBox="1"/>
                      <wps:spPr>
                        <a:xfrm>
                          <a:off x="0" y="0"/>
                          <a:ext cx="6480175" cy="996315"/>
                        </a:xfrm>
                        <a:prstGeom prst="rect"/>
                        <a:solidFill>
                          <a:srgbClr val="FFFFFF"/>
                        </a:solidFill>
                      </wps:spPr>
                      <wps:txb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45pt;mso-wrap-distance-left:0pt;mso-wrap-distance-right:0pt;mso-wrap-distance-top:0pt;mso-wrap-distance-bottom:0pt;margin-top:0pt;mso-position-vertical:top;mso-position-vertical-relative:text;margin-left:0pt;mso-position-horizontal:left;mso-position-horizontal-relative:text">
                <v:textbox>
                  <w:txbxContent>
                    <w:tbl>
                      <w:tblPr>
                        <w:tblW w:w="5519" w:type="dxa"/>
                        <w:jc w:val="left"/>
                        <w:tblInd w:w="0" w:type="dxa"/>
                        <w:tblLayout w:type="fixed"/>
                        <w:tblCellMar>
                          <w:top w:w="28" w:type="dxa"/>
                          <w:left w:w="28" w:type="dxa"/>
                          <w:bottom w:w="28" w:type="dxa"/>
                          <w:right w:w="28" w:type="dxa"/>
                        </w:tblCellMar>
                      </w:tblPr>
                      <w:tblGrid>
                        <w:gridCol w:w="657"/>
                        <w:gridCol w:w="578"/>
                        <w:gridCol w:w="578"/>
                        <w:gridCol w:w="578"/>
                        <w:gridCol w:w="578"/>
                        <w:gridCol w:w="578"/>
                        <w:gridCol w:w="578"/>
                        <w:gridCol w:w="578"/>
                        <w:gridCol w:w="8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Non-GAAP measure - see definitions at the end of this earnings release.</w:t>
                            </w:r>
                          </w:p>
                        </w:tc>
                      </w:tr>
                      <w:tr>
                        <w:trPr/>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867"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09"/>
        <w:gridCol w:w="109"/>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6</w:t>
            </w:r>
          </w:p>
        </w:tc>
      </w:tr>
    </w:tbl>
    <w:p>
      <w:pPr>
        <w:pStyle w:val="TextBody"/>
        <w:bidi w:val="0"/>
        <w:spacing w:before="0" w:after="0"/>
        <w:jc w:val="center"/>
        <w:rPr/>
      </w:pPr>
      <w:r>
        <w:rPr/>
      </w:r>
    </w:p>
    <w:p>
      <w:pPr>
        <w:pStyle w:val="TextBody"/>
        <w:bidi w:val="0"/>
        <w:spacing w:lineRule="auto" w:line="288" w:before="0" w:after="100"/>
        <w:jc w:val="left"/>
        <w:rPr>
          <w:rFonts w:ascii="Arial;sans-serif" w:hAnsi="Arial;sans-serif"/>
          <w:b/>
          <w:color w:val="000000"/>
          <w:sz w:val="24"/>
          <w:u w:val="single"/>
        </w:rPr>
      </w:pPr>
      <w:r>
        <w:rPr>
          <w:rFonts w:ascii="Arial;sans-serif" w:hAnsi="Arial;sans-serif"/>
          <w:b/>
          <w:color w:val="000000"/>
          <w:sz w:val="24"/>
          <w:u w:val="single"/>
        </w:rPr>
        <w:t>Guidance</w:t>
      </w:r>
    </w:p>
    <w:p>
      <w:pPr>
        <w:pStyle w:val="TextBody"/>
        <w:bidi w:val="0"/>
        <w:spacing w:lineRule="auto" w:line="288" w:before="0" w:after="100"/>
        <w:jc w:val="left"/>
        <w:rPr/>
      </w:pPr>
      <w:r>
        <w:rPr>
          <w:color w:val="000000"/>
        </w:rPr>
        <w:t>    </w:t>
      </w:r>
      <w:r>
        <w:rPr>
          <w:rFonts w:ascii="Arial;sans-serif" w:hAnsi="Arial;sans-serif"/>
          <w:b w:val="false"/>
          <w:color w:val="000000"/>
          <w:sz w:val="24"/>
        </w:rPr>
        <w:t>Financial guidance, as well as outlook, trends, expectations and other forward-looking statements provided by the company for 2026 and beyond, reflect the company's judgment based on the information available to the company at the time of this release. The company’s financial guidance and outlook for 2026 and beyond reflect what the company currently anticipates will be the impacts on the company from, among other factors, the global macroeconomic, security, and political/budget environments, including the impacts from inflationary pressures and labor and supply chain challenges; changes in the threat environment; changes in government budget, appropriations and procurement priorities and processes; changes in the regulatory environment, including trade policy; and changes in support for our programs. We are not assuming, and the company’s financial guidance and outlook for 2026 and beyond do not reflect impacts on the company from, a prolonged government shutdown, or application of spending limits or other spending cuts. However, the company cannot predict how these factors will evolve or what impacts they will have, and there can be no assurance that the company’s current expectations or underlying assumptions are correct. These factors can affect the company’s ability to achieve guidance or meet expectations.</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For additional factors that may impact the company’s ability to achieve guidance or meet expectations, please see the “Forward-Looking Statements” section in this release and our Form 10-Q.</w:t>
      </w:r>
    </w:p>
    <w:tbl>
      <w:tblPr>
        <w:tblW w:w="6094" w:type="dxa"/>
        <w:jc w:val="center"/>
        <w:tblInd w:w="0" w:type="dxa"/>
        <w:tblLayout w:type="fixed"/>
        <w:tblCellMar>
          <w:top w:w="28" w:type="dxa"/>
          <w:left w:w="28" w:type="dxa"/>
          <w:bottom w:w="28" w:type="dxa"/>
          <w:right w:w="28" w:type="dxa"/>
        </w:tblCellMar>
      </w:tblPr>
      <w:tblGrid>
        <w:gridCol w:w="1421"/>
        <w:gridCol w:w="1250"/>
        <w:gridCol w:w="1259"/>
        <w:gridCol w:w="669"/>
        <w:gridCol w:w="669"/>
        <w:gridCol w:w="672"/>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940" w:type="dxa"/>
            <w:gridSpan w:val="6"/>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2026 Guidance</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top w:val="single" w:sz="12" w:space="0" w:color="000000"/>
              <w:left w:val="single" w:sz="12"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 in millions, except per share amounts)</w:t>
            </w:r>
          </w:p>
        </w:tc>
        <w:tc>
          <w:tcPr>
            <w:tcW w:w="2010" w:type="dxa"/>
            <w:gridSpan w:val="3"/>
            <w:tcBorders>
              <w:top w:val="single" w:sz="12" w:space="0" w:color="000000"/>
              <w:left w:val="single" w:sz="8" w:space="0" w:color="000000"/>
              <w:right w:val="single" w:sz="12"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10/20/2026</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restart"/>
            <w:tcBorders>
              <w:left w:val="single" w:sz="12"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Sales</w:t>
            </w:r>
          </w:p>
        </w:tc>
        <w:tc>
          <w:tcPr>
            <w:tcW w:w="2010" w:type="dxa"/>
            <w:gridSpan w:val="3"/>
            <w:vMerge w:val="restart"/>
            <w:tcBorders>
              <w:top w:val="single" w:sz="8" w:space="0" w:color="000000"/>
              <w:left w:val="single" w:sz="8"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$43,750 — $44,250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continue"/>
            <w:tcBorders>
              <w:left w:val="single" w:sz="12" w:space="0" w:color="000000"/>
              <w:right w:val="single" w:sz="8" w:space="0" w:color="000000"/>
            </w:tcBorders>
            <w:tcMar>
              <w:top w:w="0" w:type="dxa"/>
              <w:bottom w:w="0" w:type="dxa"/>
            </w:tcMar>
            <w:vAlign w:val="center"/>
          </w:tcPr>
          <w:p>
            <w:pPr>
              <w:pStyle w:val="Normal"/>
              <w:bidi w:val="0"/>
              <w:jc w:val="left"/>
              <w:rPr/>
            </w:pPr>
            <w:r>
              <w:rPr/>
            </w:r>
          </w:p>
        </w:tc>
        <w:tc>
          <w:tcPr>
            <w:tcW w:w="2010" w:type="dxa"/>
            <w:gridSpan w:val="3"/>
            <w:vMerge w:val="continue"/>
            <w:tcBorders>
              <w:top w:val="single" w:sz="8" w:space="0" w:color="000000"/>
              <w:left w:val="single" w:sz="8" w:space="0" w:color="000000"/>
              <w:right w:val="single" w:sz="12" w:space="0" w:color="000000"/>
            </w:tcBorders>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vMerge w:val="restart"/>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2"/>
              </w:rPr>
              <w:t>Segment operating income</w:t>
            </w:r>
            <w:r>
              <w:rPr>
                <w:rFonts w:ascii="Arial;sans-serif" w:hAnsi="Arial;sans-serif"/>
                <w:b/>
                <w:color w:val="000000"/>
                <w:sz w:val="14"/>
              </w:rPr>
              <w:t>1</w:t>
            </w:r>
          </w:p>
        </w:tc>
        <w:tc>
          <w:tcPr>
            <w:tcW w:w="2010" w:type="dxa"/>
            <w:gridSpan w:val="3"/>
            <w:tcBorders>
              <w:top w:val="single" w:sz="4" w:space="0" w:color="000000"/>
              <w:left w:val="single" w:sz="8"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$4,940 — $5,040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continue"/>
            <w:tcBorders>
              <w:top w:val="single" w:sz="4" w:space="0" w:color="000000"/>
              <w:left w:val="single" w:sz="12" w:space="0" w:color="000000"/>
            </w:tcBorders>
            <w:tcMar>
              <w:top w:w="30" w:type="dxa"/>
              <w:bottom w:w="0" w:type="dxa"/>
              <w:right w:w="0" w:type="dxa"/>
            </w:tcMar>
            <w:vAlign w:val="center"/>
          </w:tcPr>
          <w:p>
            <w:pPr>
              <w:pStyle w:val="Normal"/>
              <w:bidi w:val="0"/>
              <w:jc w:val="left"/>
              <w:rPr/>
            </w:pPr>
            <w:r>
              <w:rPr/>
            </w:r>
          </w:p>
        </w:tc>
        <w:tc>
          <w:tcPr>
            <w:tcW w:w="2010" w:type="dxa"/>
            <w:gridSpan w:val="3"/>
            <w:tcBorders>
              <w:left w:val="single" w:sz="8" w:space="0" w:color="000000"/>
              <w:right w:val="single" w:sz="12"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$4,850 — $5,000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restart"/>
            <w:tcBorders>
              <w:top w:val="single" w:sz="4" w:space="0" w:color="000000"/>
              <w:left w:val="single" w:sz="12"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2"/>
              </w:rPr>
              <w:t>MTM-adjusted EPS</w:t>
            </w:r>
            <w:r>
              <w:rPr>
                <w:rFonts w:ascii="Arial;sans-serif" w:hAnsi="Arial;sans-serif"/>
                <w:b/>
                <w:color w:val="000000"/>
                <w:sz w:val="14"/>
              </w:rPr>
              <w:t>1</w:t>
            </w:r>
          </w:p>
        </w:tc>
        <w:tc>
          <w:tcPr>
            <w:tcW w:w="2010" w:type="dxa"/>
            <w:gridSpan w:val="3"/>
            <w:tcBorders>
              <w:top w:val="single" w:sz="4" w:space="0" w:color="000000"/>
              <w:left w:val="single" w:sz="8"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$29.35 — $29.75</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continue"/>
            <w:tcBorders>
              <w:top w:val="single" w:sz="4" w:space="0" w:color="000000"/>
              <w:left w:val="single" w:sz="12" w:space="0" w:color="000000"/>
            </w:tcBorders>
            <w:tcMar>
              <w:top w:w="30" w:type="dxa"/>
              <w:bottom w:w="0" w:type="dxa"/>
              <w:right w:w="0" w:type="dxa"/>
            </w:tcMar>
            <w:vAlign w:val="center"/>
          </w:tcPr>
          <w:p>
            <w:pPr>
              <w:pStyle w:val="Normal"/>
              <w:bidi w:val="0"/>
              <w:jc w:val="left"/>
              <w:rPr/>
            </w:pPr>
            <w:r>
              <w:rPr/>
            </w:r>
          </w:p>
        </w:tc>
        <w:tc>
          <w:tcPr>
            <w:tcW w:w="2010" w:type="dxa"/>
            <w:gridSpan w:val="3"/>
            <w:tcBorders>
              <w:left w:val="single" w:sz="8" w:space="0" w:color="000000"/>
              <w:right w:val="single" w:sz="12"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$28.60 — $29.10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restart"/>
            <w:tcBorders>
              <w:top w:val="single" w:sz="4" w:space="0" w:color="000000"/>
              <w:left w:val="single" w:sz="12" w:space="0" w:color="000000"/>
              <w:bottom w:val="single" w:sz="12" w:space="0" w:color="000000"/>
              <w:right w:val="single" w:sz="8" w:space="0" w:color="000000"/>
            </w:tcBorders>
            <w:tcMar>
              <w:top w:w="30" w:type="dxa"/>
              <w:bottom w:w="30" w:type="dxa"/>
            </w:tcMar>
            <w:vAlign w:val="center"/>
          </w:tcPr>
          <w:p>
            <w:pPr>
              <w:pStyle w:val="TableContents"/>
              <w:bidi w:val="0"/>
              <w:spacing w:lineRule="auto" w:line="240" w:before="0" w:after="0"/>
              <w:jc w:val="left"/>
              <w:rPr/>
            </w:pPr>
            <w:r>
              <w:rPr>
                <w:rFonts w:ascii="Arial;sans-serif" w:hAnsi="Arial;sans-serif"/>
                <w:b/>
                <w:color w:val="000000"/>
                <w:sz w:val="22"/>
              </w:rPr>
              <w:t>Adjusted free cash flow</w:t>
            </w:r>
            <w:r>
              <w:rPr>
                <w:rFonts w:ascii="Arial;sans-serif" w:hAnsi="Arial;sans-serif"/>
                <w:b/>
                <w:color w:val="000000"/>
                <w:sz w:val="14"/>
              </w:rPr>
              <w:t>1</w:t>
            </w:r>
          </w:p>
        </w:tc>
        <w:tc>
          <w:tcPr>
            <w:tcW w:w="2010" w:type="dxa"/>
            <w:gridSpan w:val="3"/>
            <w:vMerge w:val="restart"/>
            <w:tcBorders>
              <w:top w:val="single" w:sz="4" w:space="0" w:color="000000"/>
              <w:left w:val="single" w:sz="8" w:space="0" w:color="000000"/>
              <w:bottom w:val="single" w:sz="12" w:space="0" w:color="000000"/>
              <w:right w:val="single" w:sz="12"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$3,100 — $3,500</w:t>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vMerge w:val="continue"/>
            <w:tcBorders>
              <w:top w:val="single" w:sz="4" w:space="0" w:color="000000"/>
              <w:left w:val="single" w:sz="12" w:space="0" w:color="000000"/>
              <w:bottom w:val="single" w:sz="12" w:space="0" w:color="000000"/>
              <w:right w:val="single" w:sz="8" w:space="0" w:color="000000"/>
            </w:tcBorders>
            <w:tcMar>
              <w:top w:w="30" w:type="dxa"/>
              <w:bottom w:w="30" w:type="dxa"/>
            </w:tcMar>
            <w:vAlign w:val="center"/>
          </w:tcPr>
          <w:p>
            <w:pPr>
              <w:pStyle w:val="Normal"/>
              <w:bidi w:val="0"/>
              <w:jc w:val="left"/>
              <w:rPr/>
            </w:pPr>
            <w:r>
              <w:rPr/>
            </w:r>
          </w:p>
        </w:tc>
        <w:tc>
          <w:tcPr>
            <w:tcW w:w="2010" w:type="dxa"/>
            <w:gridSpan w:val="3"/>
            <w:vMerge w:val="continue"/>
            <w:tcBorders>
              <w:top w:val="single" w:sz="4" w:space="0" w:color="000000"/>
              <w:left w:val="single" w:sz="8" w:space="0" w:color="000000"/>
              <w:bottom w:val="single" w:sz="12" w:space="0" w:color="000000"/>
              <w:right w:val="single" w:sz="12" w:space="0" w:color="000000"/>
            </w:tcBorders>
            <w:tcMar>
              <w:top w:w="3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164" w:type="dxa"/>
            <w:gridSpan w:val="4"/>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tbl>
      <w:tblPr>
        <w:tblW w:w="6033" w:type="dxa"/>
        <w:jc w:val="center"/>
        <w:tblInd w:w="0" w:type="dxa"/>
        <w:tblLayout w:type="fixed"/>
        <w:tblCellMar>
          <w:top w:w="28" w:type="dxa"/>
          <w:left w:w="28" w:type="dxa"/>
          <w:bottom w:w="28" w:type="dxa"/>
          <w:right w:w="28" w:type="dxa"/>
        </w:tblCellMar>
      </w:tblPr>
      <w:tblGrid>
        <w:gridCol w:w="1036"/>
        <w:gridCol w:w="913"/>
        <w:gridCol w:w="915"/>
        <w:gridCol w:w="535"/>
        <w:gridCol w:w="535"/>
        <w:gridCol w:w="535"/>
        <w:gridCol w:w="469"/>
        <w:gridCol w:w="469"/>
        <w:gridCol w:w="472"/>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879" w:type="dxa"/>
            <w:gridSpan w:val="9"/>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2026 Segment Guidance</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tcBorders>
              <w:top w:val="single" w:sz="12" w:space="0" w:color="000000"/>
              <w:left w:val="single" w:sz="12"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3015" w:type="dxa"/>
            <w:gridSpan w:val="6"/>
            <w:tcBorders>
              <w:top w:val="single" w:sz="12" w:space="0" w:color="000000"/>
              <w:right w:val="single" w:sz="12" w:space="0" w:color="000000"/>
            </w:tcBorders>
            <w:tcMar>
              <w:top w:w="30" w:type="dxa"/>
              <w:left w:w="0" w:type="dxa"/>
              <w:bottom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10/20/2026</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tcBorders>
              <w:left w:val="single" w:sz="1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Sales ($B)</w:t>
            </w:r>
          </w:p>
        </w:tc>
        <w:tc>
          <w:tcPr>
            <w:tcW w:w="1410" w:type="dxa"/>
            <w:gridSpan w:val="3"/>
            <w:tcBorders>
              <w:top w:val="single" w:sz="4" w:space="0" w:color="000000"/>
              <w:right w:val="single" w:sz="12"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OM Rate %</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restart"/>
            <w:tcBorders>
              <w:left w:val="single" w:sz="12" w:space="0" w:color="000000"/>
              <w:bottom w:val="single" w:sz="4"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Aeronautics Systems</w:t>
            </w:r>
          </w:p>
        </w:tc>
        <w:tc>
          <w:tcPr>
            <w:tcW w:w="1605"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~$14</w:t>
            </w:r>
          </w:p>
        </w:tc>
        <w:tc>
          <w:tcPr>
            <w:tcW w:w="1410" w:type="dxa"/>
            <w:gridSpan w:val="3"/>
            <w:tcBorders>
              <w:top w:val="single" w:sz="8" w:space="0" w:color="000000"/>
              <w:left w:val="single" w:sz="4"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High 9%</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left w:val="single" w:sz="12" w:space="0" w:color="000000"/>
              <w:bottom w:val="single" w:sz="4" w:space="0" w:color="000000"/>
              <w:right w:val="single" w:sz="8" w:space="0" w:color="000000"/>
            </w:tcBorders>
            <w:tcMar>
              <w:top w:w="0" w:type="dxa"/>
              <w:bottom w:w="30" w:type="dxa"/>
            </w:tcMar>
            <w:vAlign w:val="center"/>
          </w:tcPr>
          <w:p>
            <w:pPr>
              <w:pStyle w:val="Normal"/>
              <w:bidi w:val="0"/>
              <w:jc w:val="left"/>
              <w:rPr/>
            </w:pPr>
            <w:r>
              <w:rPr/>
            </w:r>
          </w:p>
        </w:tc>
        <w:tc>
          <w:tcPr>
            <w:tcW w:w="1605"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410" w:type="dxa"/>
            <w:gridSpan w:val="3"/>
            <w:tcBorders>
              <w:left w:val="single" w:sz="4" w:space="0" w:color="000000"/>
              <w:right w:val="single" w:sz="12"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Mid to High 9%</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restart"/>
            <w:tcBorders>
              <w:left w:val="single" w:sz="12" w:space="0" w:color="000000"/>
              <w:bottom w:val="single" w:sz="4"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Defense Systems</w:t>
            </w:r>
          </w:p>
        </w:tc>
        <w:tc>
          <w:tcPr>
            <w:tcW w:w="1605" w:type="dxa"/>
            <w:gridSpan w:val="3"/>
            <w:vMerge w:val="restart"/>
            <w:tcBorders>
              <w:top w:val="single" w:sz="4" w:space="0" w:color="000000"/>
              <w:left w:val="single" w:sz="8"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Mid to High $8</w:t>
            </w:r>
          </w:p>
        </w:tc>
        <w:tc>
          <w:tcPr>
            <w:tcW w:w="1410" w:type="dxa"/>
            <w:gridSpan w:val="3"/>
            <w:vMerge w:val="restart"/>
            <w:tcBorders>
              <w:top w:val="single" w:sz="4" w:space="0" w:color="000000"/>
              <w:left w:val="single" w:sz="4"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~10%</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left w:val="single" w:sz="12" w:space="0" w:color="000000"/>
              <w:bottom w:val="single" w:sz="4" w:space="0" w:color="000000"/>
              <w:right w:val="single" w:sz="8" w:space="0" w:color="000000"/>
            </w:tcBorders>
            <w:tcMar>
              <w:top w:w="0" w:type="dxa"/>
              <w:bottom w:w="30" w:type="dxa"/>
            </w:tcMar>
            <w:vAlign w:val="center"/>
          </w:tcPr>
          <w:p>
            <w:pPr>
              <w:pStyle w:val="Normal"/>
              <w:bidi w:val="0"/>
              <w:jc w:val="left"/>
              <w:rPr/>
            </w:pPr>
            <w:r>
              <w:rPr/>
            </w:r>
          </w:p>
        </w:tc>
        <w:tc>
          <w:tcPr>
            <w:tcW w:w="1605" w:type="dxa"/>
            <w:gridSpan w:val="3"/>
            <w:vMerge w:val="continue"/>
            <w:tcBorders>
              <w:top w:val="single" w:sz="4" w:space="0" w:color="000000"/>
              <w:left w:val="single" w:sz="8" w:space="0" w:color="000000"/>
              <w:right w:val="single" w:sz="4" w:space="0" w:color="000000"/>
            </w:tcBorders>
            <w:tcMar>
              <w:top w:w="30" w:type="dxa"/>
              <w:bottom w:w="0" w:type="dxa"/>
            </w:tcMar>
            <w:vAlign w:val="center"/>
          </w:tcPr>
          <w:p>
            <w:pPr>
              <w:pStyle w:val="Normal"/>
              <w:bidi w:val="0"/>
              <w:jc w:val="left"/>
              <w:rPr/>
            </w:pPr>
            <w:r>
              <w:rPr/>
            </w:r>
          </w:p>
        </w:tc>
        <w:tc>
          <w:tcPr>
            <w:tcW w:w="1410" w:type="dxa"/>
            <w:gridSpan w:val="3"/>
            <w:vMerge w:val="continue"/>
            <w:tcBorders>
              <w:top w:val="single" w:sz="4" w:space="0" w:color="000000"/>
              <w:left w:val="single" w:sz="4" w:space="0" w:color="000000"/>
              <w:right w:val="single" w:sz="12" w:space="0" w:color="000000"/>
            </w:tcBorders>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vMerge w:val="restart"/>
            <w:tcBorders>
              <w:left w:val="single" w:sz="12" w:space="0" w:color="000000"/>
              <w:bottom w:val="single" w:sz="4"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Mission Systems</w:t>
            </w:r>
          </w:p>
        </w:tc>
        <w:tc>
          <w:tcPr>
            <w:tcW w:w="1605" w:type="dxa"/>
            <w:gridSpan w:val="3"/>
            <w:vMerge w:val="restart"/>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High $12</w:t>
            </w:r>
          </w:p>
        </w:tc>
        <w:tc>
          <w:tcPr>
            <w:tcW w:w="1410" w:type="dxa"/>
            <w:gridSpan w:val="3"/>
            <w:tcBorders>
              <w:top w:val="single" w:sz="4" w:space="0" w:color="000000"/>
              <w:left w:val="single" w:sz="4" w:space="0" w:color="000000"/>
              <w:right w:val="single" w:sz="12"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22"/>
              </w:rPr>
              <w:t>Mid 15%</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left w:val="single" w:sz="12" w:space="0" w:color="000000"/>
              <w:bottom w:val="single" w:sz="4" w:space="0" w:color="000000"/>
              <w:right w:val="single" w:sz="8" w:space="0" w:color="000000"/>
            </w:tcBorders>
            <w:tcMar>
              <w:top w:w="0" w:type="dxa"/>
              <w:bottom w:w="30" w:type="dxa"/>
            </w:tcMar>
            <w:vAlign w:val="center"/>
          </w:tcPr>
          <w:p>
            <w:pPr>
              <w:pStyle w:val="Normal"/>
              <w:bidi w:val="0"/>
              <w:jc w:val="left"/>
              <w:rPr/>
            </w:pPr>
            <w:r>
              <w:rPr/>
            </w:r>
          </w:p>
        </w:tc>
        <w:tc>
          <w:tcPr>
            <w:tcW w:w="1605" w:type="dxa"/>
            <w:gridSpan w:val="3"/>
            <w:vMerge w:val="continue"/>
            <w:tcBorders>
              <w:top w:val="single" w:sz="4" w:space="0" w:color="000000"/>
              <w:left w:val="single" w:sz="8" w:space="0" w:color="000000"/>
            </w:tcBorders>
            <w:tcMar>
              <w:top w:w="30" w:type="dxa"/>
              <w:bottom w:w="0" w:type="dxa"/>
              <w:right w:w="0" w:type="dxa"/>
            </w:tcMar>
            <w:vAlign w:val="center"/>
          </w:tcPr>
          <w:p>
            <w:pPr>
              <w:pStyle w:val="Normal"/>
              <w:bidi w:val="0"/>
              <w:jc w:val="left"/>
              <w:rPr/>
            </w:pPr>
            <w:r>
              <w:rPr/>
            </w:r>
          </w:p>
        </w:tc>
        <w:tc>
          <w:tcPr>
            <w:tcW w:w="1410" w:type="dxa"/>
            <w:gridSpan w:val="3"/>
            <w:tcBorders>
              <w:left w:val="single" w:sz="4" w:space="0" w:color="000000"/>
              <w:right w:val="single" w:sz="12"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Prior: ~15%</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restart"/>
            <w:tcBorders>
              <w:left w:val="single" w:sz="12" w:space="0" w:color="000000"/>
              <w:bottom w:val="single" w:sz="4"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Space Systems</w:t>
            </w:r>
          </w:p>
        </w:tc>
        <w:tc>
          <w:tcPr>
            <w:tcW w:w="1605" w:type="dxa"/>
            <w:gridSpan w:val="3"/>
            <w:vMerge w:val="restart"/>
            <w:tcBorders>
              <w:top w:val="single" w:sz="4" w:space="0" w:color="000000"/>
              <w:left w:val="single" w:sz="8"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~$11</w:t>
            </w:r>
          </w:p>
        </w:tc>
        <w:tc>
          <w:tcPr>
            <w:tcW w:w="1410" w:type="dxa"/>
            <w:gridSpan w:val="3"/>
            <w:vMerge w:val="restart"/>
            <w:tcBorders>
              <w:top w:val="single" w:sz="4" w:space="0" w:color="000000"/>
              <w:left w:val="single" w:sz="4"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Low 10%</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left w:val="single" w:sz="12" w:space="0" w:color="000000"/>
              <w:bottom w:val="single" w:sz="4" w:space="0" w:color="000000"/>
              <w:right w:val="single" w:sz="8" w:space="0" w:color="000000"/>
            </w:tcBorders>
            <w:tcMar>
              <w:top w:w="0" w:type="dxa"/>
              <w:bottom w:w="30" w:type="dxa"/>
            </w:tcMar>
            <w:vAlign w:val="center"/>
          </w:tcPr>
          <w:p>
            <w:pPr>
              <w:pStyle w:val="Normal"/>
              <w:bidi w:val="0"/>
              <w:jc w:val="left"/>
              <w:rPr/>
            </w:pPr>
            <w:r>
              <w:rPr/>
            </w:r>
          </w:p>
        </w:tc>
        <w:tc>
          <w:tcPr>
            <w:tcW w:w="1605" w:type="dxa"/>
            <w:gridSpan w:val="3"/>
            <w:vMerge w:val="continue"/>
            <w:tcBorders>
              <w:top w:val="single" w:sz="4" w:space="0" w:color="000000"/>
              <w:left w:val="single" w:sz="8"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410" w:type="dxa"/>
            <w:gridSpan w:val="3"/>
            <w:vMerge w:val="continue"/>
            <w:tcBorders>
              <w:top w:val="single" w:sz="4" w:space="0" w:color="000000"/>
              <w:left w:val="single" w:sz="4" w:space="0" w:color="000000"/>
              <w:right w:val="single" w:sz="12" w:space="0" w:color="000000"/>
            </w:tcBorders>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vMerge w:val="restart"/>
            <w:tcBorders>
              <w:left w:val="single" w:sz="12" w:space="0" w:color="000000"/>
              <w:bottom w:val="single" w:sz="12" w:space="0" w:color="000000"/>
              <w:right w:val="single" w:sz="8" w:space="0" w:color="000000"/>
            </w:tcBorders>
            <w:tcMar>
              <w:top w:w="0" w:type="dxa"/>
              <w:bottom w:w="3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Intersegment Eliminations</w:t>
            </w:r>
          </w:p>
        </w:tc>
        <w:tc>
          <w:tcPr>
            <w:tcW w:w="1605" w:type="dxa"/>
            <w:gridSpan w:val="3"/>
            <w:vMerge w:val="restart"/>
            <w:tcBorders>
              <w:left w:val="single" w:sz="8" w:space="0" w:color="000000"/>
              <w:bottom w:val="single" w:sz="12"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~($2.7)</w:t>
            </w:r>
          </w:p>
        </w:tc>
        <w:tc>
          <w:tcPr>
            <w:tcW w:w="1410" w:type="dxa"/>
            <w:gridSpan w:val="3"/>
            <w:vMerge w:val="restart"/>
            <w:tcBorders>
              <w:top w:val="single" w:sz="4" w:space="0" w:color="000000"/>
              <w:left w:val="single" w:sz="4" w:space="0" w:color="000000"/>
              <w:bottom w:val="single" w:sz="12" w:space="0" w:color="000000"/>
              <w:right w:val="single" w:sz="12"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Mid 13%</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vMerge w:val="continue"/>
            <w:tcBorders>
              <w:left w:val="single" w:sz="12" w:space="0" w:color="000000"/>
              <w:bottom w:val="single" w:sz="12" w:space="0" w:color="000000"/>
              <w:right w:val="single" w:sz="8" w:space="0" w:color="000000"/>
            </w:tcBorders>
            <w:tcMar>
              <w:top w:w="0" w:type="dxa"/>
              <w:bottom w:w="30" w:type="dxa"/>
            </w:tcMar>
            <w:vAlign w:val="center"/>
          </w:tcPr>
          <w:p>
            <w:pPr>
              <w:pStyle w:val="Normal"/>
              <w:bidi w:val="0"/>
              <w:jc w:val="left"/>
              <w:rPr/>
            </w:pPr>
            <w:r>
              <w:rPr/>
            </w:r>
          </w:p>
        </w:tc>
        <w:tc>
          <w:tcPr>
            <w:tcW w:w="1605" w:type="dxa"/>
            <w:gridSpan w:val="3"/>
            <w:vMerge w:val="continue"/>
            <w:tcBorders>
              <w:left w:val="single" w:sz="8" w:space="0" w:color="000000"/>
              <w:bottom w:val="single" w:sz="12" w:space="0" w:color="000000"/>
              <w:right w:val="single" w:sz="4" w:space="0" w:color="000000"/>
            </w:tcBorders>
            <w:tcMar>
              <w:top w:w="0" w:type="dxa"/>
              <w:bottom w:w="30" w:type="dxa"/>
            </w:tcMar>
            <w:vAlign w:val="center"/>
          </w:tcPr>
          <w:p>
            <w:pPr>
              <w:pStyle w:val="Normal"/>
              <w:bidi w:val="0"/>
              <w:jc w:val="left"/>
              <w:rPr/>
            </w:pPr>
            <w:r>
              <w:rPr/>
            </w:r>
          </w:p>
        </w:tc>
        <w:tc>
          <w:tcPr>
            <w:tcW w:w="1410" w:type="dxa"/>
            <w:gridSpan w:val="3"/>
            <w:vMerge w:val="continue"/>
            <w:tcBorders>
              <w:top w:val="single" w:sz="4" w:space="0" w:color="000000"/>
              <w:left w:val="single" w:sz="4" w:space="0" w:color="000000"/>
              <w:bottom w:val="single" w:sz="12" w:space="0" w:color="000000"/>
              <w:right w:val="single" w:sz="12" w:space="0" w:color="000000"/>
            </w:tcBorders>
            <w:tcMar>
              <w:top w:w="3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976" w:type="dxa"/>
        <w:jc w:val="left"/>
        <w:tblInd w:w="0" w:type="dxa"/>
        <w:tblLayout w:type="fixed"/>
        <w:tblCellMar>
          <w:top w:w="28" w:type="dxa"/>
          <w:left w:w="28" w:type="dxa"/>
          <w:bottom w:w="28" w:type="dxa"/>
          <w:right w:w="28" w:type="dxa"/>
        </w:tblCellMar>
      </w:tblPr>
      <w:tblGrid>
        <w:gridCol w:w="124"/>
        <w:gridCol w:w="109"/>
        <w:gridCol w:w="109"/>
        <w:gridCol w:w="720"/>
        <w:gridCol w:w="720"/>
        <w:gridCol w:w="720"/>
        <w:gridCol w:w="720"/>
        <w:gridCol w:w="720"/>
        <w:gridCol w:w="10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9"/>
              </w:rPr>
            </w:pPr>
            <w:r>
              <w:rPr>
                <w:rFonts w:ascii="Arial;sans-serif" w:hAnsi="Arial;sans-serif"/>
                <w:b w:val="false"/>
                <w:color w:val="000000"/>
                <w:sz w:val="9"/>
              </w:rPr>
              <w:t>1</w:t>
            </w:r>
          </w:p>
        </w:tc>
        <w:tc>
          <w:tcPr>
            <w:tcW w:w="4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Non-GAAP measure - see definitions at the end of this earnings release.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28700"/>
                <wp:effectExtent l="0" t="0" r="0" b="0"/>
                <wp:wrapNone/>
                <wp:docPr id="10" name="Frame9"/>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867"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09"/>
        <w:gridCol w:w="109"/>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7</w:t>
            </w:r>
          </w:p>
        </w:tc>
      </w:tr>
    </w:tbl>
    <w:p>
      <w:pPr>
        <w:pStyle w:val="TextBody"/>
        <w:bidi w:val="0"/>
        <w:spacing w:before="0" w:after="0"/>
        <w:jc w:val="center"/>
        <w:rPr/>
      </w:pPr>
      <w:r>
        <w:rPr/>
      </w:r>
    </w:p>
    <w:p>
      <w:pPr>
        <w:pStyle w:val="TextBody"/>
        <w:bidi w:val="0"/>
        <w:spacing w:lineRule="auto" w:line="288" w:before="100" w:after="100"/>
        <w:jc w:val="left"/>
        <w:rPr>
          <w:rFonts w:ascii="Arial;sans-serif" w:hAnsi="Arial;sans-serif"/>
          <w:b/>
          <w:color w:val="000000"/>
          <w:sz w:val="24"/>
          <w:u w:val="single"/>
        </w:rPr>
      </w:pPr>
      <w:r>
        <w:rPr>
          <w:rFonts w:ascii="Arial;sans-serif" w:hAnsi="Arial;sans-serif"/>
          <w:b/>
          <w:color w:val="000000"/>
          <w:sz w:val="24"/>
          <w:u w:val="single"/>
        </w:rPr>
        <w:t>About Northrop Grumman</w:t>
      </w:r>
    </w:p>
    <w:p>
      <w:pPr>
        <w:pStyle w:val="TextBody"/>
        <w:bidi w:val="0"/>
        <w:spacing w:lineRule="auto" w:line="288" w:before="0" w:after="100"/>
        <w:ind w:left="0" w:right="0" w:firstLine="360"/>
        <w:jc w:val="left"/>
        <w:rPr/>
      </w:pPr>
      <w:r>
        <w:rPr>
          <w:rFonts w:ascii="Arial;sans-serif" w:hAnsi="Arial;sans-serif"/>
          <w:b w:val="false"/>
          <w:color w:val="000000"/>
          <w:sz w:val="24"/>
        </w:rPr>
        <w:t xml:space="preserve">Northrop Grumman will webcast its earnings conference call at 9:30 a.m. Eastern Time on October 20, 2026. A live audio broadcast of the conference call will be available on the investor relations page of the company’s website at </w:t>
      </w:r>
      <w:r>
        <w:rPr>
          <w:rFonts w:ascii="Arial;sans-serif" w:hAnsi="Arial;sans-serif"/>
          <w:b w:val="false"/>
          <w:color w:val="000000"/>
          <w:sz w:val="24"/>
          <w:u w:val="single"/>
        </w:rPr>
        <w:t>www.northropgrumman.com</w:t>
      </w:r>
      <w:r>
        <w:rPr>
          <w:rFonts w:ascii="Arial;sans-serif" w:hAnsi="Arial;sans-serif"/>
          <w:b w:val="false"/>
          <w:color w:val="000000"/>
          <w:sz w:val="24"/>
        </w:rPr>
        <w:t>.</w:t>
      </w:r>
    </w:p>
    <w:p>
      <w:pPr>
        <w:pStyle w:val="TextBody"/>
        <w:bidi w:val="0"/>
        <w:spacing w:lineRule="auto" w:line="288" w:before="0" w:after="100"/>
        <w:ind w:left="0" w:right="0" w:firstLine="360"/>
        <w:jc w:val="left"/>
        <w:rPr>
          <w:rFonts w:ascii="Arial;sans-serif" w:hAnsi="Arial;sans-serif"/>
          <w:b w:val="false"/>
          <w:color w:val="000000"/>
          <w:sz w:val="24"/>
        </w:rPr>
      </w:pPr>
      <w:r>
        <w:rPr>
          <w:rFonts w:ascii="Arial;sans-serif" w:hAnsi="Arial;sans-serif"/>
          <w:b w:val="false"/>
          <w:color w:val="000000"/>
          <w:sz w:val="24"/>
        </w:rPr>
        <w:t>Northrop Grumman is a leading global aerospace and defense technology company. Our pioneering solutions equip our customers with the capabilities they need to connect and protect the world, and push the boundaries of human exploration across the universe. Driven by a shared purpose to solve our customers’ toughest problems, our employees define possible every day.</w: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t>
      </w:r>
    </w:p>
    <w:p>
      <w:pPr>
        <w:pStyle w:val="TextBody"/>
        <w:bidi w:val="0"/>
        <w:spacing w:before="0" w:after="0"/>
        <w:jc w:val="center"/>
        <w:rPr/>
      </w:pPr>
      <w:r>
        <w:rPr/>
      </w:r>
    </w:p>
    <w:p>
      <w:pPr>
        <w:pStyle w:val="TextBody"/>
        <w:bidi w:val="0"/>
        <w:spacing w:lineRule="auto" w:line="288" w:before="0" w:after="100"/>
        <w:jc w:val="left"/>
        <w:rPr>
          <w:rFonts w:ascii="Arial;sans-serif" w:hAnsi="Arial;sans-serif"/>
          <w:b/>
          <w:color w:val="000000"/>
          <w:sz w:val="24"/>
          <w:u w:val="single"/>
        </w:rPr>
      </w:pPr>
      <w:r>
        <w:rPr>
          <w:rFonts w:ascii="Arial;sans-serif" w:hAnsi="Arial;sans-serif"/>
          <w:b/>
          <w:color w:val="000000"/>
          <w:sz w:val="24"/>
          <w:u w:val="single"/>
        </w:rPr>
        <w:t>Forward-Looking Statements and Projections</w:t>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This earnings release and the information we are incorporating by reference, and statements to be made on the earnings conference call, contain or may contain statements that constitute “forward-looking statements” within the meaning of the Private Securities Litigation Reform Act of 1995. Words such as “will,” “expect,” “anticipate,” “intend,” “may,” “could,” “should,” “plan,” “strategy,” “project,” “forecast,” “achieve,” “believe,” “estimate,” “guidance,” “outlook,” “trends,” “goals,” “confident,” “targeting,” “on track” and similar expressions generally identify these forward-looking statements.</w:t>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Forward-looking statements include, among other things, statements relating to our future financial condition, results of operations and/or cash flows, including financial guidance, outlook, trends, expectations and other forward-looking statements for 2026 and beyond.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the Form 10-K for the year ended December 31, 2025, and from time to time in our other filings with the Securities and Exchange Commission (SEC). They include:</w:t>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Industry and Economic Risks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our dependence on the U.S. government for a substantial portion of our business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significant delays or reductions in payments as a result of or related to a breach of the debt ceiling or a prolonged government shutdown</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 xml:space="preserve">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changes in trade policies and/or other macroeconomic factors, and risks related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28700"/>
                <wp:effectExtent l="0" t="0" r="0" b="0"/>
                <wp:wrapNone/>
                <wp:docPr id="11" name="Frame10"/>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867"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09"/>
        <w:gridCol w:w="109"/>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8</w:t>
            </w:r>
          </w:p>
        </w:tc>
      </w:tr>
    </w:tbl>
    <w:p>
      <w:pPr>
        <w:pStyle w:val="TextBody"/>
        <w:bidi w:val="0"/>
        <w:spacing w:before="0" w:after="0"/>
        <w:jc w:val="center"/>
        <w:rPr/>
      </w:pPr>
      <w:r>
        <w:rPr/>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to management’s judgments and assumptions in estimating and/or projecting contract revenue and performance which may be inaccurate</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increased competition within our markets and bid protests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continued pressures from macroeconomic trends, including on costs, schedules, performance and ability to meet expectations</w:t>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Legal and Regulatory Risks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investigations, claims, disputes, enforcement actions, litigation (including criminal, civil and administrative) and/or other legal proceedings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changes in procurement and other laws, SEC, U.S. Department of War (DoW) and other rules and regulations, including changes through executive orders, contract terms and practices applicable to our industry, findings by the U.S. government as to our compliance with such requirements, more aggressive enforcement of such requirements and changes in our customers’ business practices and preferences globally</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the improper conduct of employees, agents, subcontractors, suppliers, business partners or joint ventures in which we participate, including the impact on our reputation and our ability to do business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environmental matters, unforeseen environmental costs and government and third-party claims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unanticipated changes in our tax provisions or exposure to additional tax liabilities</w:t>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Business and Operational Risks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cyber and other security threats or disruptions faced by us, our customers or our suppliers and other partners, including threats or disruptions from the use of artificial intelligence models capable of exploiting vulnerabilities to conduct or enhance cyber attacks, and changes in related regulations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the performance and viability of our subcontractors and suppliers and the availability and pricing of raw materials, critical minerals and metals, chemicals, parts and components, particularly with inflationary pressures, increased costs, pricing changes, shortages in labor and financial resources, supply chain disruptions, and extended material lead times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our ability to attract and retain a qualified and talented workforce with the necessary security clearances to meet our performance obligations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our exposure to additional risks as a result of our international business, including risks related to global security and strategic alliances, geopolitical and economic factors, misconduct, suppliers, laws and regulations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our ability to innovate, develop new products and technologies, progress and benefit from digital transformation and maintain technologies to meet the needs of our customers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natural disasters, epidemics, pandemics and similar outbreaks and other significant disruptions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products and services we provide related to hazardous and high risk operations, including the production and use of such products, which subject us to various environmental, regulatory, financial, reputational and other risks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our ability appropriately to protect and exploit intellectual property rights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28700"/>
                <wp:effectExtent l="0" t="0" r="0" b="0"/>
                <wp:wrapNone/>
                <wp:docPr id="12" name="Frame11"/>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867"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09"/>
        <w:gridCol w:w="109"/>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9</w:t>
            </w:r>
          </w:p>
        </w:tc>
      </w:tr>
    </w:tbl>
    <w:p>
      <w:pPr>
        <w:pStyle w:val="TextBody"/>
        <w:bidi w:val="0"/>
        <w:spacing w:before="0" w:after="0"/>
        <w:jc w:val="center"/>
        <w:rPr/>
      </w:pPr>
      <w:r>
        <w:rPr/>
      </w:r>
    </w:p>
    <w:p>
      <w:pPr>
        <w:pStyle w:val="TextBody"/>
        <w:bidi w:val="0"/>
        <w:spacing w:lineRule="auto" w:line="288" w:before="0" w:after="100"/>
        <w:jc w:val="left"/>
        <w:rPr>
          <w:rFonts w:ascii="Arial;sans-serif" w:hAnsi="Arial;sans-serif"/>
          <w:b w:val="false"/>
          <w:color w:val="000000"/>
          <w:sz w:val="24"/>
        </w:rPr>
      </w:pPr>
      <w:r>
        <w:rPr>
          <w:rFonts w:ascii="Arial;sans-serif" w:hAnsi="Arial;sans-serif"/>
          <w:b w:val="false"/>
          <w:color w:val="000000"/>
          <w:sz w:val="24"/>
        </w:rPr>
        <w:t>General and Other Risk Factors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the adequacy and availability of, and ability to obtain, insurance coverage, customer indemnifications or other liability protections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4"/>
        </w:rPr>
        <w:t>changes in business conditions that could impact business investments and/or recorded goodwill or the value of other long-lived assets, and other potential future liabilities</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You are urged to consider the limitations on, and risks associated with, forward-looking statements and not unduly rely on the accuracy of forward-looking statements. These forward-looking statements speak only as of the date this earnings release is first issued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t>This release and the attachments also contain non-GAAP financial measures. A reconciliation to the nearest GAAP measure and a discussion of the company’s use of these measures are included in this release or the attachments.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28700"/>
                <wp:effectExtent l="0" t="0" r="0" b="0"/>
                <wp:wrapNone/>
                <wp:docPr id="13" name="Frame12"/>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916"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23"/>
        <w:gridCol w:w="123"/>
        <w:gridCol w:w="175"/>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10</w:t>
            </w:r>
          </w:p>
        </w:tc>
      </w:tr>
    </w:tbl>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SCHEDULE 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NORTHROP GRUMMAN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EARNINGS AND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68"/>
        <w:gridCol w:w="1088"/>
        <w:gridCol w:w="1095"/>
        <w:gridCol w:w="262"/>
        <w:gridCol w:w="803"/>
        <w:gridCol w:w="135"/>
        <w:gridCol w:w="135"/>
        <w:gridCol w:w="135"/>
        <w:gridCol w:w="135"/>
        <w:gridCol w:w="262"/>
        <w:gridCol w:w="803"/>
        <w:gridCol w:w="135"/>
        <w:gridCol w:w="109"/>
        <w:gridCol w:w="109"/>
        <w:gridCol w:w="109"/>
        <w:gridCol w:w="242"/>
        <w:gridCol w:w="862"/>
        <w:gridCol w:w="124"/>
        <w:gridCol w:w="124"/>
        <w:gridCol w:w="124"/>
        <w:gridCol w:w="124"/>
        <w:gridCol w:w="242"/>
        <w:gridCol w:w="862"/>
        <w:gridCol w:w="124"/>
        <w:gridCol w:w="109"/>
        <w:gridCol w:w="109"/>
        <w:gridCol w:w="109"/>
        <w:gridCol w:w="167"/>
      </w:tblGrid>
      <w:tr>
        <w:trPr/>
        <w:tc>
          <w:tcPr>
            <w:tcW w:w="15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 except per share amounts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9,098</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25,864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2,024</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6,015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11,122</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31,879</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costs and expenses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7,198</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20,786</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1,572</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4,660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1,083</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3,079</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costs and expenses</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9,853</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28,525</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business</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1,269</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FAS pension benefit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499</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1,298</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3,496</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 and foreign income tax expense</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1,124</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3,093</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earnings per share</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7.91</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21.77</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in millions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142.1</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7.89</w:t>
            </w:r>
            <w:r>
              <w:rPr>
                <w:color w:val="000000"/>
              </w:rPr>
              <w:t> </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7.67 </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21.72</w:t>
            </w:r>
            <w:r>
              <w:rPr>
                <w:color w:val="000000"/>
              </w:rPr>
              <w:t> </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19.12 </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diluted shares outstanding, in millions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(from above)</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1,124</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cumulative translation adjustment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other, net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2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1,126</w:t>
            </w:r>
            <w:r>
              <w:rPr>
                <w:color w:val="000000"/>
              </w:rPr>
              <w:t> </w:t>
            </w:r>
          </w:p>
        </w:tc>
        <w:tc>
          <w:tcPr>
            <w:tcW w:w="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3,087</w:t>
            </w:r>
            <w:r>
              <w:rPr>
                <w:color w:val="000000"/>
              </w:rPr>
              <w:t>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2,784 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28700"/>
                <wp:effectExtent l="0" t="0" r="0" b="0"/>
                <wp:wrapNone/>
                <wp:docPr id="14" name="Frame13"/>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916"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23"/>
        <w:gridCol w:w="123"/>
        <w:gridCol w:w="175"/>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11</w:t>
            </w:r>
          </w:p>
        </w:tc>
      </w:tr>
    </w:tbl>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SCHEDULE 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NORTHROP GRUMMAN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FINANCIAL POSITION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44"/>
        <w:gridCol w:w="2086"/>
        <w:gridCol w:w="2094"/>
        <w:gridCol w:w="302"/>
        <w:gridCol w:w="1083"/>
        <w:gridCol w:w="158"/>
        <w:gridCol w:w="109"/>
        <w:gridCol w:w="109"/>
        <w:gridCol w:w="109"/>
        <w:gridCol w:w="285"/>
        <w:gridCol w:w="1014"/>
        <w:gridCol w:w="212"/>
      </w:tblGrid>
      <w:tr>
        <w:trPr/>
        <w:tc>
          <w:tcPr>
            <w:tcW w:w="2644"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 except par value</w:t>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6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Unbilled receivables, net</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7,899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Inventoried costs, net</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1,361</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1,893</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16,977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Property, plant and equipment, net of accumulated depreciation of $10,306 for 2026 and $9,648 for 2025</w:t>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10,461</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10,972 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2,182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17,440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postretirement benefit plan assets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3,447</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52,497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51,377 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3,281</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employee compensation</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2,039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 payments and billings in excess of costs incurred</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3,838</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4,595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13,753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Long-term debt, net of current portion of $764 for 2026 and $534 for 2025</w:t>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14,433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15,162 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postretirement benefit plan liabilities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1,076</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33,814</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34,703 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Shareholders’ equity</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$1 par value; 10,000,000 shares authorized; no shares issued and outstanding</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$1 par value; 800,000,000 shares authorized; issued and outstanding: 2026—142,064,132 and 2025—141,997,194</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 capital</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18,610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shareholders’ equity</w:t>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18,683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16,674 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shareholders’ equity</w:t>
            </w:r>
          </w:p>
        </w:tc>
        <w:tc>
          <w:tcPr>
            <w:tcW w:w="3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52,497</w:t>
            </w:r>
            <w:r>
              <w:rPr>
                <w:color w:val="000000"/>
              </w:rPr>
              <w:t> </w:t>
            </w:r>
          </w:p>
        </w:tc>
        <w:tc>
          <w:tcPr>
            <w:tcW w:w="1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51,377 </w:t>
            </w:r>
          </w:p>
        </w:tc>
        <w:tc>
          <w:tcPr>
            <w:tcW w:w="2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28700"/>
                <wp:effectExtent l="0" t="0" r="0" b="0"/>
                <wp:wrapNone/>
                <wp:docPr id="15" name="Frame14"/>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916"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23"/>
        <w:gridCol w:w="123"/>
        <w:gridCol w:w="175"/>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12</w:t>
            </w:r>
          </w:p>
        </w:tc>
      </w:tr>
    </w:tbl>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SCHEDULE 3</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NORTHROP GRUMMAN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485" w:type="dxa"/>
        <w:jc w:val="center"/>
        <w:tblInd w:w="0" w:type="dxa"/>
        <w:tblLayout w:type="fixed"/>
        <w:tblCellMar>
          <w:top w:w="28" w:type="dxa"/>
          <w:left w:w="28" w:type="dxa"/>
          <w:bottom w:w="28" w:type="dxa"/>
          <w:right w:w="28" w:type="dxa"/>
        </w:tblCellMar>
      </w:tblPr>
      <w:tblGrid>
        <w:gridCol w:w="2221"/>
        <w:gridCol w:w="1949"/>
        <w:gridCol w:w="1965"/>
        <w:gridCol w:w="288"/>
        <w:gridCol w:w="883"/>
        <w:gridCol w:w="149"/>
        <w:gridCol w:w="149"/>
        <w:gridCol w:w="149"/>
        <w:gridCol w:w="149"/>
        <w:gridCol w:w="288"/>
        <w:gridCol w:w="883"/>
        <w:gridCol w:w="149"/>
        <w:gridCol w:w="109"/>
        <w:gridCol w:w="154"/>
      </w:tblGrid>
      <w:tr>
        <w:trPr/>
        <w:tc>
          <w:tcPr>
            <w:tcW w:w="2221"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3,093</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to net cash provided by operating activities: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1,118</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651</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B-21 loss provision</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business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pension and OPB income</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OPB contributions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Unbilled receivables,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(1,177)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Inventoried costs, net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 payments and billings in excess of costs incurred</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activities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1,369</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equipment to a customer</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371</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investment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 of training services business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long-term debt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long-term debt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repurchases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employee taxes withheld from share-based awards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cash and cash equivalents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year</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4,403</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end of period</w:t>
            </w:r>
          </w:p>
        </w:tc>
        <w:tc>
          <w:tcPr>
            <w:tcW w:w="2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3,744</w:t>
            </w:r>
            <w:r>
              <w:rPr>
                <w:color w:val="000000"/>
              </w:rPr>
              <w:t> </w:t>
            </w:r>
          </w:p>
        </w:tc>
        <w:tc>
          <w:tcPr>
            <w:tcW w:w="1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1,957 </w:t>
            </w:r>
          </w:p>
        </w:tc>
        <w:tc>
          <w:tcPr>
            <w:tcW w:w="1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028700"/>
                <wp:effectExtent l="0" t="0" r="0" b="0"/>
                <wp:wrapNone/>
                <wp:docPr id="16" name="Frame15"/>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916"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23"/>
        <w:gridCol w:w="123"/>
        <w:gridCol w:w="175"/>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13</w:t>
            </w:r>
          </w:p>
        </w:tc>
      </w:tr>
    </w:tbl>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SCHEDULE 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NORTHROP GRUMMAN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TOTAL BACKLOG</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83"/>
        <w:gridCol w:w="599"/>
        <w:gridCol w:w="606"/>
        <w:gridCol w:w="109"/>
        <w:gridCol w:w="109"/>
        <w:gridCol w:w="109"/>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336"/>
        <w:gridCol w:w="1198"/>
        <w:gridCol w:w="173"/>
        <w:gridCol w:w="109"/>
        <w:gridCol w:w="109"/>
        <w:gridCol w:w="109"/>
        <w:gridCol w:w="327"/>
        <w:gridCol w:w="327"/>
        <w:gridCol w:w="1003"/>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Change in 2026</w:t>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Funded</w:t>
            </w:r>
            <w:r>
              <w:rPr>
                <w:rFonts w:ascii="Arial;sans-serif" w:hAnsi="Arial;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Total</w:t>
              <w:br/>
              <w:t>Backlog</w:t>
            </w:r>
            <w:r>
              <w:rPr>
                <w:rFonts w:ascii="Arial;sans-serif" w:hAnsi="Arial;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Total</w:t>
              <w:br/>
              <w:t>Backlog</w:t>
            </w:r>
            <w:r>
              <w:rPr>
                <w:rFonts w:ascii="Arial;sans-serif" w:hAnsi="Arial;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 Systems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23,052 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888"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backlog</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50,095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59,502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109,597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95,681 </w:t>
            </w:r>
          </w:p>
        </w:tc>
        <w:tc>
          <w:tcPr>
            <w:tcW w:w="1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Funded backlog represents firm orders for which funding is authorized and appropriated.</w:t>
            </w:r>
          </w:p>
        </w:tc>
      </w:tr>
      <w:tr>
        <w:trPr/>
        <w:tc>
          <w:tcPr>
            <w:tcW w:w="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backlog excludes unexercised contract options and indefinite delivery, indefinite quantity (IDIQ) contracts until the time the option or IDIQ task order is exercised or awarded.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028700"/>
                <wp:effectExtent l="0" t="0" r="0" b="0"/>
                <wp:wrapNone/>
                <wp:docPr id="17" name="Frame16"/>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916"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23"/>
        <w:gridCol w:w="123"/>
        <w:gridCol w:w="175"/>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14</w:t>
            </w:r>
          </w:p>
        </w:tc>
      </w:tr>
    </w:tbl>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SCHEDULE 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NORTHROP GRUMMAN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SUPPLEMENTAL PER SHARE INFORMATION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20"/>
        <w:gridCol w:w="1321"/>
        <w:gridCol w:w="1331"/>
        <w:gridCol w:w="258"/>
        <w:gridCol w:w="707"/>
        <w:gridCol w:w="133"/>
        <w:gridCol w:w="133"/>
        <w:gridCol w:w="133"/>
        <w:gridCol w:w="133"/>
        <w:gridCol w:w="258"/>
        <w:gridCol w:w="707"/>
        <w:gridCol w:w="133"/>
        <w:gridCol w:w="109"/>
        <w:gridCol w:w="109"/>
        <w:gridCol w:w="109"/>
        <w:gridCol w:w="254"/>
        <w:gridCol w:w="693"/>
        <w:gridCol w:w="131"/>
        <w:gridCol w:w="131"/>
        <w:gridCol w:w="131"/>
        <w:gridCol w:w="131"/>
        <w:gridCol w:w="254"/>
        <w:gridCol w:w="693"/>
        <w:gridCol w:w="131"/>
        <w:gridCol w:w="162"/>
      </w:tblGrid>
      <w:tr>
        <w:trPr/>
        <w:tc>
          <w:tcPr>
            <w:tcW w:w="192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30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in millions, except per share amounts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impact of total net FAS/CAS pension adjustment</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FAS/CAS operating adjustment</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FAS pension benefit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FAS/CAS pension adjustment</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182</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528</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effect</w:t>
            </w:r>
            <w:r>
              <w:rPr>
                <w:rFonts w:ascii="Arial;sans-serif" w:hAnsi="Arial;sans-serif"/>
                <w:b w:val="false"/>
                <w:color w:val="000000"/>
                <w:sz w:val="13"/>
              </w:rPr>
              <w:t>1</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After-tax impact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diluted shares outstanding, in millions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impact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0.96</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impact of intangible asset amortization and PP&amp;E step-up depreciation</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and PP&amp;E step-up depreciation</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effect</w:t>
            </w:r>
            <w:r>
              <w:rPr>
                <w:rFonts w:ascii="Arial;sans-serif" w:hAnsi="Arial;sans-serif"/>
                <w:b w:val="false"/>
                <w:color w:val="000000"/>
                <w:sz w:val="13"/>
              </w:rPr>
              <w:t>1</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After-tax impact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diluted shares outstanding, in millions</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142.4</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impact</w:t>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(0.07)</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(0.27)</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6762" w:type="dxa"/>
        <w:jc w:val="center"/>
        <w:tblInd w:w="0" w:type="dxa"/>
        <w:tblLayout w:type="fixed"/>
        <w:tblCellMar>
          <w:top w:w="28" w:type="dxa"/>
          <w:left w:w="28" w:type="dxa"/>
          <w:bottom w:w="28" w:type="dxa"/>
          <w:right w:w="28" w:type="dxa"/>
        </w:tblCellMar>
      </w:tblPr>
      <w:tblGrid>
        <w:gridCol w:w="124"/>
        <w:gridCol w:w="109"/>
        <w:gridCol w:w="109"/>
        <w:gridCol w:w="1000"/>
        <w:gridCol w:w="1000"/>
        <w:gridCol w:w="1000"/>
        <w:gridCol w:w="1000"/>
        <w:gridCol w:w="1000"/>
        <w:gridCol w:w="14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w:t>
            </w:r>
          </w:p>
        </w:tc>
        <w:tc>
          <w:tcPr>
            <w:tcW w:w="6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Based on a 21% federal statutory tax rate and a 5.25% blended state tax rate.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028700"/>
                <wp:effectExtent l="0" t="0" r="0" b="0"/>
                <wp:wrapNone/>
                <wp:docPr id="18" name="Frame17"/>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tbl>
      <w:tblPr>
        <w:tblW w:w="6916" w:type="dxa"/>
        <w:jc w:val="left"/>
        <w:tblInd w:w="0" w:type="dxa"/>
        <w:tblLayout w:type="fixed"/>
        <w:tblCellMar>
          <w:top w:w="28" w:type="dxa"/>
          <w:left w:w="28" w:type="dxa"/>
          <w:bottom w:w="28" w:type="dxa"/>
          <w:right w:w="28" w:type="dxa"/>
        </w:tblCellMar>
      </w:tblPr>
      <w:tblGrid>
        <w:gridCol w:w="1203"/>
        <w:gridCol w:w="1055"/>
        <w:gridCol w:w="1055"/>
        <w:gridCol w:w="1055"/>
        <w:gridCol w:w="1055"/>
        <w:gridCol w:w="1072"/>
        <w:gridCol w:w="123"/>
        <w:gridCol w:w="123"/>
        <w:gridCol w:w="175"/>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49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Northrop Grumman Reports Third Quarter 2026 Financial Results</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4"/>
              </w:rPr>
            </w:pPr>
            <w:r>
              <w:rPr>
                <w:rFonts w:ascii="Arial;sans-serif" w:hAnsi="Arial;sans-serif"/>
                <w:b w:val="false"/>
                <w:color w:val="000000"/>
                <w:sz w:val="24"/>
              </w:rPr>
              <w:t>15</w:t>
            </w:r>
          </w:p>
        </w:tc>
      </w:tr>
    </w:tbl>
    <w:p>
      <w:pPr>
        <w:pStyle w:val="TextBody"/>
        <w:bidi w:val="0"/>
        <w:spacing w:before="0" w:after="0"/>
        <w:jc w:val="center"/>
        <w:rPr/>
      </w:pPr>
      <w:r>
        <w:rPr/>
      </w:r>
    </w:p>
    <w:p>
      <w:pPr>
        <w:pStyle w:val="TextBody"/>
        <w:bidi w:val="0"/>
        <w:spacing w:lineRule="auto" w:line="288" w:before="0" w:after="100"/>
        <w:jc w:val="left"/>
        <w:rPr/>
      </w:pPr>
      <w:r>
        <w:rPr>
          <w:rFonts w:ascii="Arial;sans-serif" w:hAnsi="Arial;sans-serif"/>
          <w:b/>
          <w:color w:val="000000"/>
          <w:sz w:val="22"/>
          <w:u w:val="single"/>
        </w:rPr>
        <w:t>Non-GAAP Financial Measures Disclosure:</w:t>
      </w:r>
      <w:r>
        <w:rPr>
          <w:color w:val="000000"/>
        </w:rPr>
        <w:t xml:space="preserve"> </w:t>
      </w:r>
      <w:r>
        <w:rPr>
          <w:rFonts w:ascii="Arial;sans-serif" w:hAnsi="Arial;sans-serif"/>
          <w:b w:val="false"/>
          <w:color w:val="000000"/>
          <w:sz w:val="22"/>
        </w:rPr>
        <w:t>This earnings release contains non-GAAP (accounting principles generally accepted in the United States of America) financial measures, as defined by SEC Regulation G and indicated by a footnote in the text of the release. Definitions for the non-GAAP measures are provided below and reconciliations are provided in the body of the release, except that reconciliations of forward-looking non-GAAP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pension adjustment. Other companies may define these measures differently or may utilize different non-GAAP measures.</w:t>
      </w:r>
    </w:p>
    <w:p>
      <w:pPr>
        <w:pStyle w:val="TextBody"/>
        <w:bidi w:val="0"/>
        <w:spacing w:lineRule="auto" w:line="288" w:before="0" w:after="100"/>
        <w:jc w:val="left"/>
        <w:rPr/>
      </w:pPr>
      <w:r>
        <w:rPr>
          <w:rFonts w:ascii="Arial;sans-serif" w:hAnsi="Arial;sans-serif"/>
          <w:b/>
          <w:color w:val="000000"/>
          <w:sz w:val="22"/>
          <w:u w:val="single"/>
        </w:rPr>
        <w:t>MTM-adjusted EPS:</w:t>
      </w:r>
      <w:r>
        <w:rPr>
          <w:color w:val="000000"/>
        </w:rPr>
        <w:t xml:space="preserve"> </w:t>
      </w:r>
      <w:r>
        <w:rPr>
          <w:rFonts w:ascii="Arial;sans-serif" w:hAnsi="Arial;sans-serif"/>
          <w:b w:val="false"/>
          <w:color w:val="000000"/>
          <w:sz w:val="22"/>
        </w:rPr>
        <w:t>Diluted earnings per share excluding the per share impact of MTM benefit (expense) and related tax impacts. This measure may be useful to investors and other users of our financial statements as a supplemental measure in evaluating the company’s underlying financial performance by presenting the company’s diluted earnings per share results before the non-operational impact of pension and OPB actuarial gains and losses.</w:t>
      </w:r>
    </w:p>
    <w:p>
      <w:pPr>
        <w:pStyle w:val="TextBody"/>
        <w:bidi w:val="0"/>
        <w:spacing w:lineRule="auto" w:line="288" w:before="0" w:after="100"/>
        <w:jc w:val="left"/>
        <w:rPr/>
      </w:pPr>
      <w:r>
        <w:rPr>
          <w:rFonts w:ascii="Arial;sans-serif" w:hAnsi="Arial;sans-serif"/>
          <w:b/>
          <w:color w:val="000000"/>
          <w:sz w:val="22"/>
          <w:u w:val="single"/>
        </w:rPr>
        <w:t>Segment operating income and segment operating margin rate:</w:t>
      </w:r>
      <w:r>
        <w:rPr>
          <w:color w:val="000000"/>
        </w:rPr>
        <w:t xml:space="preserve"> </w:t>
      </w:r>
      <w:r>
        <w:rPr>
          <w:rFonts w:ascii="Arial;sans-serif" w:hAnsi="Arial;sans-serif"/>
          <w:b w:val="false"/>
          <w:color w:val="000000"/>
          <w:sz w:val="22"/>
        </w:rPr>
        <w:t>Segment operating income and segment operating margin rate (segment operating 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pStyle w:val="TextBody"/>
        <w:bidi w:val="0"/>
        <w:spacing w:lineRule="auto" w:line="288" w:before="0" w:after="100"/>
        <w:jc w:val="left"/>
        <w:rPr/>
      </w:pPr>
      <w:r>
        <w:rPr>
          <w:rFonts w:ascii="Arial;sans-serif" w:hAnsi="Arial;sans-serif"/>
          <w:b/>
          <w:color w:val="000000"/>
          <w:sz w:val="22"/>
          <w:u w:val="single"/>
        </w:rPr>
        <w:t>Organic sales:</w:t>
      </w:r>
      <w:r>
        <w:rPr>
          <w:color w:val="000000"/>
        </w:rPr>
        <w:t xml:space="preserve"> </w:t>
      </w:r>
      <w:r>
        <w:rPr>
          <w:rFonts w:ascii="Arial;sans-serif" w:hAnsi="Arial;sans-serif"/>
          <w:b w:val="false"/>
          <w:color w:val="000000"/>
          <w:sz w:val="22"/>
        </w:rPr>
        <w:t>Total sales excluding sales attributable to the company’s former training services business. This measure may be useful to investors and other users of our financial statements as a supplemental measure in evaluating the company’s underlying sales growth as well as in understanding our ongoing business and future sales trends by presenting the company’s sales adjusted for the impact of the divestiture.</w:t>
      </w:r>
    </w:p>
    <w:p>
      <w:pPr>
        <w:pStyle w:val="TextBody"/>
        <w:bidi w:val="0"/>
        <w:spacing w:lineRule="auto" w:line="288" w:before="0" w:after="100"/>
        <w:jc w:val="left"/>
        <w:rPr/>
      </w:pPr>
      <w:r>
        <w:rPr>
          <w:rFonts w:ascii="Arial;sans-serif" w:hAnsi="Arial;sans-serif"/>
          <w:b/>
          <w:color w:val="000000"/>
          <w:sz w:val="22"/>
          <w:u w:val="single"/>
        </w:rPr>
        <w:t>Adjusted free cash flow:</w:t>
      </w:r>
      <w:r>
        <w:rPr>
          <w:color w:val="000000"/>
        </w:rPr>
        <w:t xml:space="preserve"> </w:t>
      </w:r>
      <w:r>
        <w:rPr>
          <w:rFonts w:ascii="Arial;sans-serif" w:hAnsi="Arial;sans-serif"/>
          <w:b w:val="false"/>
          <w:color w:val="000000"/>
          <w:sz w:val="22"/>
        </w:rPr>
        <w:t>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if any, as such proceeds were generated in a customer sales transaction. It also includes the after-tax impact of discretionary pension contributions, if any,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 During the nine months ended September 30, 2026 and 2025, the company made no discretionary pension contributions.</w:t>
      </w:r>
    </w:p>
    <w:p>
      <w:pPr>
        <w:pStyle w:val="TextBody"/>
        <w:bidi w:val="0"/>
        <w:spacing w:before="0" w:after="100"/>
        <w:jc w:val="left"/>
        <w:rPr/>
      </w:pPr>
      <w:r>
        <w:rPr/>
      </w:r>
    </w:p>
    <w:p>
      <w:pPr>
        <w:pStyle w:val="TextBody"/>
        <w:bidi w:val="0"/>
        <w:spacing w:before="0" w:after="100"/>
        <w:jc w:val="center"/>
        <w:rPr/>
      </w:pPr>
      <w:r>
        <w:rPr/>
      </w:r>
    </w:p>
    <w:p>
      <w:pPr>
        <w:pStyle w:val="TextBody"/>
        <w:bidi w:val="0"/>
        <w:spacing w:lineRule="auto" w:line="288" w:before="0" w:after="100"/>
        <w:jc w:val="center"/>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028700"/>
                <wp:effectExtent l="0" t="0" r="0" b="0"/>
                <wp:wrapNone/>
                <wp:docPr id="19" name="Frame18"/>
                <a:graphic xmlns:a="http://schemas.openxmlformats.org/drawingml/2006/main">
                  <a:graphicData uri="http://schemas.microsoft.com/office/word/2010/wordprocessingShape">
                    <wps:wsp>
                      <wps:cNvSpPr txBox="1"/>
                      <wps:spPr>
                        <a:xfrm>
                          <a:off x="0" y="0"/>
                          <a:ext cx="6480175" cy="1028700"/>
                        </a:xfrm>
                        <a:prstGeom prst="rect"/>
                        <a:solidFill>
                          <a:srgbClr val="FFFFFF"/>
                        </a:solidFill>
                      </wps:spPr>
                      <wps:txb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r>
                                    <w:br w:type="page"/>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pt;mso-wrap-distance-left:0pt;mso-wrap-distance-right:0pt;mso-wrap-distance-top:0pt;mso-wrap-distance-bottom:0pt;margin-top:0pt;mso-position-vertical:top;mso-position-vertical-relative:text;margin-left:0pt;mso-position-horizontal:left;mso-position-horizontal-relative:text">
                <v:textbox>
                  <w:txbxContent>
                    <w:tbl>
                      <w:tblPr>
                        <w:tblW w:w="4303" w:type="dxa"/>
                        <w:jc w:val="left"/>
                        <w:tblInd w:w="0" w:type="dxa"/>
                        <w:tblLayout w:type="fixed"/>
                        <w:tblCellMar>
                          <w:top w:w="28" w:type="dxa"/>
                          <w:left w:w="28" w:type="dxa"/>
                          <w:bottom w:w="28" w:type="dxa"/>
                          <w:right w:w="28" w:type="dxa"/>
                        </w:tblCellMar>
                      </w:tblPr>
                      <w:tblGrid>
                        <w:gridCol w:w="511"/>
                        <w:gridCol w:w="450"/>
                        <w:gridCol w:w="450"/>
                        <w:gridCol w:w="450"/>
                        <w:gridCol w:w="450"/>
                        <w:gridCol w:w="450"/>
                        <w:gridCol w:w="450"/>
                        <w:gridCol w:w="450"/>
                        <w:gridCol w:w="642"/>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430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Northrop Grumman Corporation</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5605</Words>
  <Characters>31265</Characters>
  <CharactersWithSpaces>35997</CharactersWithSpaces>
  <Paragraphs>1338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