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78105</wp:posOffset>
            </wp:positionV>
            <wp:extent cx="2520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19685</wp:posOffset>
            </wp:positionV>
            <wp:extent cx="2520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2" w:lineRule="exact"/>
        <w:rPr>
          <w:sz w:val="24"/>
          <w:szCs w:val="24"/>
          <w:color w:val="auto"/>
        </w:rPr>
      </w:pPr>
    </w:p>
    <w:p>
      <w:pPr>
        <w:ind w:left="1380" w:right="2000" w:hanging="825"/>
        <w:spacing w:after="0" w:line="236" w:lineRule="auto"/>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QUARTERLY REPORT PURSUANT TO SECTION 13 OR 15(d) OF THE SECURITIES EXCHANGE ACT OF 1934</w:t>
      </w:r>
    </w:p>
    <w:p>
      <w:pPr>
        <w:spacing w:after="0" w:line="1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Quarterly Period Ended March 31, 2024</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or</w:t>
      </w:r>
    </w:p>
    <w:p>
      <w:pPr>
        <w:spacing w:after="0" w:line="111" w:lineRule="exact"/>
        <w:rPr>
          <w:sz w:val="24"/>
          <w:szCs w:val="24"/>
          <w:color w:val="auto"/>
        </w:rPr>
      </w:pPr>
    </w:p>
    <w:p>
      <w:pPr>
        <w:ind w:left="1380" w:right="1980" w:hanging="825"/>
        <w:spacing w:after="0" w:line="236" w:lineRule="auto"/>
        <w:tabs>
          <w:tab w:leader="none" w:pos="1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TRANSITION REPORT PURSUANT TO SECTION 13 OR 15(d) OF THE SECURITIES EXCHANGE ACT OF 1934</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1-16411</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NORTHROP GRUMMAN CORPORATION</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80-0640649</w:t>
            </w:r>
          </w:p>
        </w:tc>
      </w:tr>
      <w:tr>
        <w:trPr>
          <w:trHeight w:val="180"/>
        </w:trPr>
        <w:tc>
          <w:tcPr>
            <w:tcW w:w="1480" w:type="dxa"/>
            <w:vAlign w:val="bottom"/>
          </w:tcPr>
          <w:p>
            <w:pPr>
              <w:spacing w:after="0"/>
              <w:rPr>
                <w:sz w:val="15"/>
                <w:szCs w:val="15"/>
                <w:color w:val="auto"/>
              </w:rPr>
            </w:pPr>
          </w:p>
        </w:tc>
        <w:tc>
          <w:tcPr>
            <w:tcW w:w="5640" w:type="dxa"/>
            <w:vAlign w:val="bottom"/>
            <w:gridSpan w:val="2"/>
          </w:tcPr>
          <w:p>
            <w:pPr>
              <w:jc w:val="center"/>
              <w:ind w:right="311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140" w:type="dxa"/>
            <w:vAlign w:val="bottom"/>
          </w:tcPr>
          <w:p>
            <w:pPr>
              <w:jc w:val="center"/>
              <w:ind w:right="1310"/>
              <w:spacing w:after="0" w:line="18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1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7"/>
        </w:trPr>
        <w:tc>
          <w:tcPr>
            <w:tcW w:w="1480" w:type="dxa"/>
            <w:vAlign w:val="bottom"/>
          </w:tcPr>
          <w:p>
            <w:pPr>
              <w:spacing w:after="0"/>
              <w:rPr>
                <w:sz w:val="24"/>
                <w:szCs w:val="24"/>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rPr>
              <w:t>2980 Fairview Park Drive</w:t>
            </w:r>
          </w:p>
        </w:tc>
        <w:tc>
          <w:tcPr>
            <w:tcW w:w="4140" w:type="dxa"/>
            <w:vAlign w:val="bottom"/>
          </w:tcPr>
          <w:p>
            <w:pPr>
              <w:spacing w:after="0"/>
              <w:rPr>
                <w:sz w:val="24"/>
                <w:szCs w:val="24"/>
                <w:color w:val="auto"/>
              </w:rPr>
            </w:pPr>
          </w:p>
        </w:tc>
      </w:t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7"/>
              </w:rPr>
              <w:t>Falls Church, Virginia</w:t>
            </w:r>
          </w:p>
        </w:tc>
        <w:tc>
          <w:tcPr>
            <w:tcW w:w="414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22042</w:t>
            </w:r>
          </w:p>
        </w:tc>
      </w:tr>
      <w:tr>
        <w:trPr>
          <w:trHeight w:val="234"/>
        </w:trPr>
        <w:tc>
          <w:tcPr>
            <w:tcW w:w="7120" w:type="dxa"/>
            <w:vAlign w:val="bottom"/>
            <w:gridSpan w:val="3"/>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14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rPr>
              <w:t>(Zip Code)</w:t>
            </w:r>
          </w:p>
        </w:tc>
      </w:tr>
      <w:tr>
        <w:trPr>
          <w:trHeight w:val="279"/>
        </w:trPr>
        <w:tc>
          <w:tcPr>
            <w:tcW w:w="1480" w:type="dxa"/>
            <w:vAlign w:val="bottom"/>
          </w:tcPr>
          <w:p>
            <w:pPr>
              <w:spacing w:after="0"/>
              <w:rPr>
                <w:sz w:val="24"/>
                <w:szCs w:val="24"/>
                <w:color w:val="auto"/>
              </w:rPr>
            </w:pPr>
          </w:p>
        </w:tc>
        <w:tc>
          <w:tcPr>
            <w:tcW w:w="56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(703) 280-2900</w:t>
            </w:r>
          </w:p>
        </w:tc>
        <w:tc>
          <w:tcPr>
            <w:tcW w:w="414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9780" w:type="dxa"/>
            <w:vAlign w:val="bottom"/>
            <w:gridSpan w:val="3"/>
          </w:tcPr>
          <w:p>
            <w:pPr>
              <w:jc w:val="center"/>
              <w:ind w:right="14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10"/>
        </w:trPr>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121"/>
        </w:trPr>
        <w:tc>
          <w:tcPr>
            <w:tcW w:w="14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NOC</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17"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ind w:right="36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p>
      <w:pPr>
        <w:ind w:left="80"/>
        <w:spacing w:after="0" w:line="207" w:lineRule="exact"/>
        <w:tabs>
          <w:tab w:leader="none" w:pos="22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10" w:lineRule="exact"/>
        <w:rPr>
          <w:sz w:val="24"/>
          <w:szCs w:val="24"/>
          <w:color w:val="auto"/>
        </w:rPr>
      </w:pPr>
    </w:p>
    <w:p>
      <w:pPr>
        <w:ind w:left="80"/>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90" w:lineRule="exact"/>
        <w:rPr>
          <w:sz w:val="24"/>
          <w:szCs w:val="24"/>
          <w:color w:val="auto"/>
        </w:rPr>
      </w:pPr>
    </w:p>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8"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9" w:lineRule="exact"/>
        <w:rPr>
          <w:sz w:val="24"/>
          <w:szCs w:val="24"/>
          <w:color w:val="auto"/>
        </w:rPr>
      </w:pP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22, 2024, 147,989,969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20" w:type="dxa"/>
            <w:vAlign w:val="bottom"/>
            <w:gridSpan w:val="19"/>
          </w:tcPr>
          <w:p>
            <w:pPr>
              <w:jc w:val="center"/>
              <w:ind w:right="378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480" w:type="dxa"/>
            <w:vAlign w:val="bottom"/>
            <w:gridSpan w:val="5"/>
          </w:tcPr>
          <w:p>
            <w:pPr>
              <w:spacing w:after="0"/>
              <w:rPr>
                <w:sz w:val="18"/>
                <w:szCs w:val="18"/>
                <w:color w:val="auto"/>
              </w:rPr>
            </w:pPr>
          </w:p>
        </w:tc>
        <w:tc>
          <w:tcPr>
            <w:tcW w:w="3140" w:type="dxa"/>
            <w:vAlign w:val="bottom"/>
            <w:tcBorders>
              <w:top w:val="single" w:sz="8" w:color="0000FF"/>
            </w:tcBorders>
            <w:gridSpan w:val="16"/>
          </w:tcPr>
          <w:p>
            <w:pPr>
              <w:spacing w:after="0"/>
              <w:rPr>
                <w:sz w:val="18"/>
                <w:szCs w:val="18"/>
                <w:color w:val="auto"/>
              </w:rPr>
            </w:pPr>
          </w:p>
        </w:tc>
        <w:tc>
          <w:tcPr>
            <w:tcW w:w="3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and Comprehensive Income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Statements of Financial Position</w:t>
            </w:r>
          </w:p>
        </w:tc>
        <w:tc>
          <w:tcPr>
            <w:tcW w:w="3940" w:type="dxa"/>
            <w:vAlign w:val="bottom"/>
            <w:gridSpan w:val="5"/>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340" w:type="dxa"/>
            <w:vAlign w:val="bottom"/>
            <w:gridSpan w:val="9"/>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w:t>
            </w:r>
          </w:p>
        </w:tc>
        <w:tc>
          <w:tcPr>
            <w:tcW w:w="4260" w:type="dxa"/>
            <w:vAlign w:val="bottom"/>
            <w:gridSpan w:val="7"/>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26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tcBorders>
            <w:gridSpan w:val="2"/>
          </w:tcPr>
          <w:p>
            <w:pPr>
              <w:spacing w:after="0"/>
              <w:rPr>
                <w:sz w:val="18"/>
                <w:szCs w:val="18"/>
                <w:color w:val="auto"/>
              </w:rPr>
            </w:pPr>
          </w:p>
        </w:tc>
        <w:tc>
          <w:tcPr>
            <w:tcW w:w="1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1.</w:t>
            </w:r>
          </w:p>
        </w:tc>
        <w:tc>
          <w:tcPr>
            <w:tcW w:w="1540" w:type="dxa"/>
            <w:vAlign w:val="bottom"/>
            <w:tcBorders>
              <w:top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Basis of Presentation</w:t>
            </w:r>
          </w:p>
        </w:tc>
        <w:tc>
          <w:tcPr>
            <w:tcW w:w="1960" w:type="dxa"/>
            <w:vAlign w:val="bottom"/>
            <w:tcBorders>
              <w:top w:val="single" w:sz="8" w:color="0000FF"/>
            </w:tcBorders>
            <w:gridSpan w:val="14"/>
          </w:tcPr>
          <w:p>
            <w:pPr>
              <w:spacing w:after="0"/>
              <w:rPr>
                <w:sz w:val="18"/>
                <w:szCs w:val="18"/>
                <w:color w:val="auto"/>
              </w:rPr>
            </w:pPr>
          </w:p>
        </w:tc>
        <w:tc>
          <w:tcPr>
            <w:tcW w:w="5520" w:type="dxa"/>
            <w:vAlign w:val="bottom"/>
            <w:gridSpan w:val="11"/>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w:t>
            </w:r>
          </w:p>
        </w:tc>
        <w:tc>
          <w:tcPr>
            <w:tcW w:w="534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w w:val="99"/>
              </w:rPr>
              <w:t>Earnings Per Share, Share Repurchases and Dividends on Common Stock</w:t>
            </w:r>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w:t>
            </w:r>
          </w:p>
        </w:tc>
        <w:tc>
          <w:tcPr>
            <w:tcW w:w="16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w w:val="98"/>
              </w:rPr>
              <w:t>Inventoried Costs, Net</w:t>
            </w:r>
          </w:p>
        </w:tc>
        <w:tc>
          <w:tcPr>
            <w:tcW w:w="3680" w:type="dxa"/>
            <w:vAlign w:val="bottom"/>
            <w:gridSpan w:val="21"/>
          </w:tcPr>
          <w:p>
            <w:pPr>
              <w:spacing w:after="0"/>
              <w:rPr>
                <w:sz w:val="18"/>
                <w:szCs w:val="18"/>
                <w:color w:val="auto"/>
              </w:rPr>
            </w:pPr>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4.</w:t>
            </w:r>
          </w:p>
        </w:tc>
        <w:tc>
          <w:tcPr>
            <w:tcW w:w="16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Income Taxes</w:t>
            </w:r>
          </w:p>
        </w:tc>
        <w:tc>
          <w:tcPr>
            <w:tcW w:w="7360" w:type="dxa"/>
            <w:vAlign w:val="bottom"/>
            <w:gridSpan w:val="23"/>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5.</w:t>
            </w: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Fair Value of Financial Instruments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6.</w:t>
            </w: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Investigations, Claims and Litigation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11</w:t>
            </w: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7.</w:t>
            </w:r>
          </w:p>
        </w:tc>
        <w:tc>
          <w:tcPr>
            <w:tcW w:w="2420" w:type="dxa"/>
            <w:vAlign w:val="bottom"/>
            <w:tcBorders>
              <w:top w:val="single" w:sz="8" w:color="0000FF"/>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Commitments and Contingencies</w:t>
            </w:r>
          </w:p>
        </w:tc>
        <w:tc>
          <w:tcPr>
            <w:tcW w:w="260" w:type="dxa"/>
            <w:vAlign w:val="bottom"/>
            <w:tcBorders>
              <w:top w:val="single" w:sz="8" w:color="0000FF"/>
            </w:tcBorders>
            <w:gridSpan w:val="2"/>
          </w:tcPr>
          <w:p>
            <w:pPr>
              <w:spacing w:after="0"/>
              <w:rPr>
                <w:sz w:val="18"/>
                <w:szCs w:val="18"/>
                <w:color w:val="auto"/>
              </w:rPr>
            </w:pPr>
          </w:p>
        </w:tc>
        <w:tc>
          <w:tcPr>
            <w:tcW w:w="634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8.</w:t>
            </w: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Retirement Benefits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9.</w:t>
            </w:r>
          </w:p>
        </w:tc>
        <w:tc>
          <w:tcPr>
            <w:tcW w:w="4860" w:type="dxa"/>
            <w:vAlign w:val="bottom"/>
            <w:tcBorders>
              <w:bottom w:val="single" w:sz="8" w:color="0000FF"/>
            </w:tcBorders>
            <w:gridSpan w:val="27"/>
          </w:tcPr>
          <w:p>
            <w:pPr>
              <w:ind w:left="20"/>
              <w:spacing w:after="0"/>
              <w:rPr>
                <w:sz w:val="20"/>
                <w:szCs w:val="20"/>
                <w:color w:val="auto"/>
              </w:rPr>
            </w:pPr>
            <w:r>
              <w:rPr>
                <w:rFonts w:ascii="Times New Roman" w:cs="Times New Roman" w:eastAsia="Times New Roman" w:hAnsi="Times New Roman"/>
                <w:sz w:val="18"/>
                <w:szCs w:val="18"/>
                <w:color w:val="0000FF"/>
                <w:w w:val="99"/>
              </w:rPr>
              <w:t>Stock Compensation Plans and Other Compensation Arrangements</w:t>
            </w:r>
          </w:p>
        </w:tc>
        <w:tc>
          <w:tcPr>
            <w:tcW w:w="416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10. Segment Information</w:t>
            </w:r>
          </w:p>
        </w:tc>
        <w:tc>
          <w:tcPr>
            <w:tcW w:w="736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28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100" w:type="dxa"/>
            <w:vAlign w:val="bottom"/>
            <w:tcBorders>
              <w:top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rPr>
              <w:t>Overview</w:t>
            </w:r>
          </w:p>
        </w:tc>
        <w:tc>
          <w:tcPr>
            <w:tcW w:w="338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19</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Consolidated Operating Results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Segment Operating Results</w:t>
            </w:r>
          </w:p>
        </w:tc>
        <w:tc>
          <w:tcPr>
            <w:tcW w:w="722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Product and Service Analysis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3"/>
              </w:rPr>
              <w:t>Backlog</w:t>
            </w:r>
          </w:p>
        </w:tc>
        <w:tc>
          <w:tcPr>
            <w:tcW w:w="1540" w:type="dxa"/>
            <w:vAlign w:val="bottom"/>
            <w:tcBorders>
              <w:top w:val="single" w:sz="8" w:color="0000FF"/>
            </w:tcBorders>
            <w:gridSpan w:val="8"/>
          </w:tcPr>
          <w:p>
            <w:pPr>
              <w:spacing w:after="0"/>
              <w:rPr>
                <w:sz w:val="18"/>
                <w:szCs w:val="18"/>
                <w:color w:val="auto"/>
              </w:rPr>
            </w:pPr>
          </w:p>
        </w:tc>
        <w:tc>
          <w:tcPr>
            <w:tcW w:w="736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Liquidity and Capital Resources</w:t>
            </w:r>
          </w:p>
        </w:tc>
        <w:tc>
          <w:tcPr>
            <w:tcW w:w="7180" w:type="dxa"/>
            <w:vAlign w:val="bottom"/>
            <w:gridSpan w:val="2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Critical Accounting Policies, Estimates and Judgments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Accounting Standards Updates</w:t>
            </w:r>
          </w:p>
        </w:tc>
        <w:tc>
          <w:tcPr>
            <w:tcW w:w="556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Forward-Looking Statements and Projections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9"/>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480"/>
        </w:trPr>
        <w:tc>
          <w:tcPr>
            <w:tcW w:w="108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14"/>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9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4"/>
          </w:tcPr>
          <w:p>
            <w:pPr>
              <w:spacing w:after="0"/>
              <w:rPr>
                <w:sz w:val="18"/>
                <w:szCs w:val="18"/>
                <w:color w:val="auto"/>
              </w:rPr>
            </w:pPr>
          </w:p>
        </w:tc>
        <w:tc>
          <w:tcPr>
            <w:tcW w:w="8500" w:type="dxa"/>
            <w:vAlign w:val="bottom"/>
            <w:gridSpan w:val="2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200" w:type="dxa"/>
            <w:vAlign w:val="bottom"/>
            <w:tcBorders>
              <w:top w:val="single" w:sz="8" w:color="0000FF"/>
            </w:tcBorders>
            <w:gridSpan w:val="3"/>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9"/>
        </w:trPr>
        <w:tc>
          <w:tcPr>
            <w:tcW w:w="108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80"/>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53"/>
        </w:trPr>
        <w:tc>
          <w:tcPr>
            <w:tcW w:w="1080" w:type="dxa"/>
            <w:vAlign w:val="bottom"/>
          </w:tcPr>
          <w:p>
            <w:pPr>
              <w:spacing w:after="0"/>
              <w:rPr>
                <w:sz w:val="24"/>
                <w:szCs w:val="24"/>
                <w:color w:val="auto"/>
              </w:rPr>
            </w:pPr>
          </w:p>
        </w:tc>
        <w:tc>
          <w:tcPr>
            <w:tcW w:w="782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8"/>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8"/>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10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3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8,102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w:t>
            </w:r>
          </w:p>
        </w:tc>
      </w:tr>
      <w:tr>
        <w:trPr>
          <w:trHeight w:val="229"/>
        </w:trPr>
        <w:tc>
          <w:tcPr>
            <w:tcW w:w="890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2,031</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23"/>
        </w:trPr>
        <w:tc>
          <w:tcPr>
            <w:tcW w:w="8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10,133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9,301</w:t>
            </w:r>
          </w:p>
        </w:tc>
      </w:tr>
      <w:tr>
        <w:trPr>
          <w:trHeight w:val="223"/>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6,411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r>
      <w:tr>
        <w:trPr>
          <w:trHeight w:val="229"/>
        </w:trPr>
        <w:tc>
          <w:tcPr>
            <w:tcW w:w="8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1,589</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29"/>
        </w:trPr>
        <w:tc>
          <w:tcPr>
            <w:tcW w:w="89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23"/>
        </w:trPr>
        <w:tc>
          <w:tcPr>
            <w:tcW w:w="89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9,062</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w:t>
            </w:r>
          </w:p>
        </w:tc>
      </w:tr>
      <w:tr>
        <w:trPr>
          <w:trHeight w:val="223"/>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8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89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1,131</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9"/>
        </w:trPr>
        <w:tc>
          <w:tcPr>
            <w:tcW w:w="8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187</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89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03"/>
        </w:trPr>
        <w:tc>
          <w:tcPr>
            <w:tcW w:w="108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29"/>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3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7"/>
        </w:trPr>
        <w:tc>
          <w:tcPr>
            <w:tcW w:w="8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 in millions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149.3</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03"/>
        </w:trPr>
        <w:tc>
          <w:tcPr>
            <w:tcW w:w="1080" w:type="dxa"/>
            <w:vAlign w:val="bottom"/>
            <w:shd w:val="clear" w:color="auto" w:fill="CCEEFF"/>
          </w:tcPr>
          <w:p>
            <w:pPr>
              <w:spacing w:after="0"/>
              <w:rPr>
                <w:sz w:val="17"/>
                <w:szCs w:val="17"/>
                <w:color w:val="auto"/>
              </w:rPr>
            </w:pPr>
          </w:p>
        </w:tc>
        <w:tc>
          <w:tcPr>
            <w:tcW w:w="7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(from above)</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 in cumulative translation adjustment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90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other, net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9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508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FINANCIAL POSITION (Unaudited)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par value</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3,061</w:t>
            </w: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1,832</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6,450</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Inventoried costs,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1,370</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2,083</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14,796</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$8,149 for 2024 and $7,964 for 2023</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9,690</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1,763</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17,515</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290</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1,123</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2,641</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47,818</w:t>
            </w:r>
          </w:p>
        </w:tc>
        <w:tc>
          <w:tcPr>
            <w:tcW w:w="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46,544</w:t>
            </w:r>
          </w:p>
        </w:tc>
        <w:tc>
          <w:tcPr>
            <w:tcW w:w="0" w:type="dxa"/>
            <w:vAlign w:val="bottom"/>
          </w:tcPr>
          <w:p>
            <w:pPr>
              <w:spacing w:after="0"/>
              <w:rPr>
                <w:sz w:val="1"/>
                <w:szCs w:val="1"/>
                <w:color w:val="auto"/>
              </w:rPr>
            </w:pPr>
          </w:p>
        </w:tc>
      </w:tr>
      <w:tr>
        <w:trPr>
          <w:trHeight w:val="257"/>
        </w:trPr>
        <w:tc>
          <w:tcPr>
            <w:tcW w:w="7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2,580</w:t>
            </w:r>
          </w:p>
        </w:tc>
        <w:tc>
          <w:tcPr>
            <w:tcW w:w="6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1,701</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3,530</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5,321</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13,132</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 of $1,582 for 2024 and $70 for 2023</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14,742</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liabilities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1,250</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1,830</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2,641</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33,595</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0" w:type="dxa"/>
            <w:vAlign w:val="bottom"/>
          </w:tcPr>
          <w:p>
            <w:pPr>
              <w:spacing w:after="0"/>
              <w:rPr>
                <w:sz w:val="1"/>
                <w:szCs w:val="1"/>
                <w:color w:val="auto"/>
              </w:rPr>
            </w:pPr>
          </w:p>
        </w:tc>
      </w:tr>
      <w:tr>
        <w:trPr>
          <w:trHeight w:val="128"/>
        </w:trPr>
        <w:tc>
          <w:tcPr>
            <w:tcW w:w="7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7)</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$1 par value; 10,000,000 shares authorized; no shares issued and outstanding</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8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Common stock, $1 par value; 800,000,000 shares authorized; issued and outstanding: 2024—148,088,480</w:t>
            </w:r>
          </w:p>
        </w:tc>
        <w:tc>
          <w:tcPr>
            <w:tcW w:w="200" w:type="dxa"/>
            <w:vAlign w:val="bottom"/>
          </w:tcPr>
          <w:p>
            <w:pPr>
              <w:spacing w:after="0"/>
              <w:rPr>
                <w:sz w:val="16"/>
                <w:szCs w:val="16"/>
                <w:color w:val="auto"/>
              </w:rPr>
            </w:pPr>
          </w:p>
        </w:tc>
        <w:tc>
          <w:tcPr>
            <w:tcW w:w="15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2023—150,109,271</w:t>
            </w:r>
          </w:p>
        </w:tc>
        <w:tc>
          <w:tcPr>
            <w:tcW w:w="20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14,218</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14,223</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47,818</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46,544</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net cash used in 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299</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pension and OPB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Inventoried costs,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29"/>
        </w:trPr>
        <w:tc>
          <w:tcPr>
            <w:tcW w:w="8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37"/>
        </w:trPr>
        <w:tc>
          <w:tcPr>
            <w:tcW w:w="8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8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6"/>
        </w:trPr>
        <w:tc>
          <w:tcPr>
            <w:tcW w:w="8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issuance of long-term debt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2,495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dividends paid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employee taxes withheld from share-based awards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927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3,109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30"/>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3,061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352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p>
        </w:tc>
        <w:tc>
          <w:tcPr>
            <w:tcW w:w="23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89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14,773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w:t>
            </w:r>
          </w:p>
        </w:tc>
      </w:tr>
      <w:tr>
        <w:trPr>
          <w:trHeight w:val="230"/>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29"/>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944</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29"/>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declared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89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8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14,218</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15,135</w:t>
            </w:r>
          </w:p>
        </w:tc>
      </w:tr>
      <w:tr>
        <w:trPr>
          <w:trHeight w:val="223"/>
        </w:trPr>
        <w:tc>
          <w:tcPr>
            <w:tcW w:w="8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r>
      <w:tr>
        <w:trPr>
          <w:trHeight w:val="223"/>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89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8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14,223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w:t>
            </w:r>
          </w:p>
        </w:tc>
      </w:tr>
      <w:tr>
        <w:trPr>
          <w:trHeight w:val="236"/>
        </w:trPr>
        <w:tc>
          <w:tcPr>
            <w:tcW w:w="8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1.87</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Reporting</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 For classification of certain current assets and liabilities, we consider the duration of our customer contracts when defining our operating cycle, which is generally longer than one year.</w:t>
      </w:r>
    </w:p>
    <w:p>
      <w:pPr>
        <w:spacing w:after="0" w:line="4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Results reported in these financial statements are not necessarily indicative of results that may be expected for the entire year. These financial statements should be read in conjunction with the information contained in the company’s 2023 Annual Report on Form 10-K.</w:t>
      </w:r>
    </w:p>
    <w:p>
      <w:pPr>
        <w:spacing w:after="0" w:line="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Contract sales may include estimates of variable consideration, including cost or performance incentives (such as award and incentive fees), un-priced change orders, requests for equitable adjustment (REAs) and contract claims.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recognize changes in estimated contract sales or costs and the resulting changes in contract profit on a cumulative basis. Net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expense, is charged against income in the period the loss is identified.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B-21 Low-Rate Initial Production Options</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2015, the U.S. Air Force awarded Northrop Grumman the B-21 contract, which includes a base contract for engineering and manufacturing development (EMD) and five low-rate initial production (LRIP) options in varying quantities. The EMD phase of the program is largely cost type and began at contract award. The LRIP options are largely fixed price and are expected to continue to be awarded and executed through approximately the end of the decade. During the fourth quarter of 2023, we recognized a projected loss of $1.56 billion across the five LRIP options.</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we again reviewed our estimated profitability on the LRIP phase of the program and made no significant changes to the previously recognized loss. The company’s first quarter 2024 results reflect our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current best estimate of our cost to complete the LRIP options, as well as the outcome of ongoing discussions with our suppliers and our customer. If our estimated cost to complete the LRIP phase of the program changes or our assumptions regarding contract performance, quantities, or funding to mitigate the impact of macroeconomic disruptions are resolved more or less favorably than what we have estimated, our financial position, results of operations and/or cash flows could be materially affected. As of March 31, 2024, the remaining loss accrual is $1.5 billion, of which $994 million is included in Other current liabilities with the remainder included in Other non-current liabilities.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HALO Engineering Change Proposal</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At the request of the National Aeronautics and Space Administration (NASA), Space Systems submitted an engineering change proposal (ECP) during the fourth quarter of 2023 for scope increases and other aspects of the Habitation and Logistics Outpost (HALO) contract largely stemming from evolving Lunar Gateway architecture and mission requirements. The ECP addresses both work performed and work expected to be performed by the company resulting from scope changes previously approved by NASA, as well as changes NASA has requested the company to propose but has not yet directed the company to perform. The company has begun negotiating with NASA on these various changes and other aspects of the HALO contract.</w:t>
      </w:r>
    </w:p>
    <w:p>
      <w:pPr>
        <w:spacing w:after="0" w:line="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we again reviewed our estimated profitability on the HALO contract and made no significant changes. The company’s first quarter 2024 results reflect our current best estimate of the outcome of the ECP negotiations assuming the terms of the current contract; however, if the outcome is less favorable than what we have assumed, it could have an adverse effect on our financial position, results of operations and/or cash flows.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effect of aggregate net EAC adjustments: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8800" w:type="dxa"/>
            <w:vAlign w:val="bottom"/>
          </w:tcPr>
          <w:p>
            <w:pPr>
              <w:spacing w:after="0"/>
              <w:rPr>
                <w:sz w:val="22"/>
                <w:szCs w:val="22"/>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data</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88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per share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0.50</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r>
    </w:tbl>
    <w:p>
      <w:pPr>
        <w:spacing w:after="0" w:line="154"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5"/>
          <w:szCs w:val="15"/>
          <w:color w:val="auto"/>
        </w:rPr>
        <w:t>Based on a 21 percent federal statutory tax rate.</w:t>
      </w:r>
    </w:p>
    <w:p>
      <w:pPr>
        <w:spacing w:after="0" w:line="7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EAC adjustments on a single performance obligation can have a significant effect on the company’s financial statements. When such adjustments occur, we generally disclose the nature, underlying conditions and financial impact of the adjustments. No EAC adjustments on a single performance obligation had a significant impact on the financial statements during the three months ended March 31, 2024 or 2023.</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spacing w:after="0" w:line="6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Company backlog as of March 31, 2024 was $78.9 billion. Of our March 31, 2024 backlog, we expect to recognize approximately 40 percent as revenue over the next 12 months and 65 percent as revenue over the next 24 months, with the remainder to be recognized thereafter.</w:t>
      </w:r>
    </w:p>
    <w:p>
      <w:pPr>
        <w:spacing w:after="0" w:line="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January 2024, the company received a termination for convenience in our restricted Space business. The company reduced unfunded backlog by $1.6 billion during the first quarter of 2024 related to the termination.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recognized for the three months ended March 31, 2024 and 2023 that was included in the contract liability balances at the beginning of each year was $1.9 billion and $1.7 billion, respectively.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See Note 10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Non-cash investing activities include capital expenditures incurred but not yet paid of $63 million and $43 million as of March 31, 2024 and 2023,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periods presented, the company had no material related party transactions.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On November 27,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Among other new disclosure requirements, ASU 2023-07 requires companies to disclose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segment expenses that are regularly provided to the chief operating decision maker. ASU 2023-07 will be effective for annual periods beginning on January 1, 2024 and interim periods beginning on January 1, 2025. ASU 2023-07 must be applied retrospectively to all prior periods presented in the financial statements. We are continuing to evaluate the disclosure impact of ASU 2023-07; however, the standard will not have an impact on the company’s consolidated financial position, results of operations and/or cash flows.</w:t>
      </w:r>
    </w:p>
    <w:p>
      <w:pPr>
        <w:spacing w:after="0" w:line="66"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 xml:space="preserve">On December 14,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continuing to evaluate the disclosure impact of ASU 2023-09; however, the standard will not have an impact on the company’s consolidated financial position, results of operations and/or cash flows.</w:t>
      </w:r>
    </w:p>
    <w:p>
      <w:pPr>
        <w:spacing w:after="0" w:line="36"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On March 6, 2024, the SEC issued its final climate disclosure rule, which requires registrants to include climate-related disclosures in registration statements and annual reports. The final rule requires registrants to provide information about the financial statement impacts of severe weather events and other natural conditions. The final rule also requires certain disclosures related to risk management and governance over climate-related risks, material climate targets and goals, and material Scope 1 and Scope 2 greenhouse gas emissions. The requirements would be phased in beginning with fiscal year 2025. On April 4, 2024, the SEC voluntarily stayed the final rule pending the completion of judicial review of cases pending in the Eighth Circuit. We are continuing to evaluate the disclosure impact of the final rule.</w:t>
      </w:r>
    </w:p>
    <w:p>
      <w:pPr>
        <w:spacing w:after="0" w:line="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Other accounting standards updates adopted and/or issued, but not effective until after March 31, 2024, are not expected to have a material effect on the company’s consolidated financial position, results of operations and/or cash flows.</w:t>
      </w:r>
    </w:p>
    <w:p>
      <w:pPr>
        <w:spacing w:after="0" w:line="36" w:lineRule="exact"/>
        <w:rPr>
          <w:sz w:val="20"/>
          <w:szCs w:val="20"/>
          <w:color w:val="auto"/>
        </w:rPr>
      </w:pPr>
    </w:p>
    <w:p>
      <w:pPr>
        <w:ind w:right="3380"/>
        <w:spacing w:after="0" w:line="318" w:lineRule="auto"/>
        <w:rPr>
          <w:sz w:val="20"/>
          <w:szCs w:val="20"/>
          <w:color w:val="auto"/>
        </w:rPr>
      </w:pPr>
      <w:r>
        <w:rPr>
          <w:rFonts w:ascii="Times New Roman" w:cs="Times New Roman" w:eastAsia="Times New Roman" w:hAnsi="Times New Roman"/>
          <w:sz w:val="18"/>
          <w:szCs w:val="18"/>
          <w:b w:val="1"/>
          <w:bCs w:val="1"/>
          <w:color w:val="auto"/>
        </w:rPr>
        <w:t>2. EARNINGS PER SHARE, SHARE REPURCHASES AND DIVIDENDS ON COMMON STOCK Basic Earnings Per Share</w:t>
      </w:r>
    </w:p>
    <w:p>
      <w:pPr>
        <w:spacing w:after="0"/>
        <w:rPr>
          <w:sz w:val="20"/>
          <w:szCs w:val="20"/>
          <w:color w:val="auto"/>
        </w:rPr>
      </w:pPr>
      <w:r>
        <w:rPr>
          <w:rFonts w:ascii="Times New Roman" w:cs="Times New Roman" w:eastAsia="Times New Roman" w:hAnsi="Times New Roman"/>
          <w:sz w:val="18"/>
          <w:szCs w:val="18"/>
          <w:color w:val="auto"/>
        </w:rPr>
        <w:t>We calculate basic earnings per share by dividing net earnings by the weighted-average number of shares of common stock outstanding during each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p>
      <w:pPr>
        <w:spacing w:after="0" w:line="3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Diluted earnings per share include the dilutive effect of awards granted to employees under stock-based compensation plans. The dilutive effect of these securities totaled 0.4 million shares and 0.6 million shares for the three months ended March 31, 2024 and 2023,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On January 25, 2021, the company’s board of directors authorized a share repurchase program of up to $3.0 billion of the company’s common stock (the “2021 Repurchase Program”). Repurchases under the 2021 Repurchase Program commenced in October 2021 and were completed in April 2023.</w:t>
      </w:r>
    </w:p>
    <w:p>
      <w:pPr>
        <w:spacing w:after="0" w:line="4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January 24, 2022, the company’s board of directors authorized a new share repurchase program of up to an additional $2.0 billion in share repurchases of the company’s common stock (the “2022 Repurchase Program”). Repurchases under the 2022 Repurchase Program commenced in April 2023 and were completed in February 2024.</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December 6, 2023, the company’s board of directors authorized a new share repurchase program of up to an additional $2.5 billion in share repurchases of the company’s common stock (the “2023 Repurchase Program”). Repurchases under the 2023 Repurchase Program commenced in February 2024 upon completion of the 2022 Repurchase Program. As of March 31, 2024, repurchases under the 2023 Repurchase Program totaled $0.1 billion; $2.4 billion remained under this share repurchase authorization. By its terms, the 2023 Repurchase Program will expire when we have used all authorized funds for repurchases.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Share Repurchase Agreements</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the first quarter of 2023, the company entered into an accelerated share repurchase (ASR) agreement with Bank of America, N.A. (Bank of America) to repurchase $500 million of the company’s common stock as part of the 2021 and 2022 Repurchase Programs. Under the agreement, we made a payment of $500 million to Bank of America and received an initial delivery of 0.9 million shares valued at $400 million that were immediately canceled by the company. The remaining balance of $100 million was settled on April 27, 2023 with a final delivery of 0.2 million shares from Bank of America. The final average purchase price was $458.28 per share.</w:t>
      </w:r>
    </w:p>
    <w:p>
      <w:pPr>
        <w:spacing w:after="0" w:line="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During the first quarter of 2024, the company entered into an ASR agreement with Morgan Stanley &amp; Co. LLC (Morgan Stanley) to repurchase $1.0 billion of the company’s common stock as part of the 2022 Repurchase Program. Under the agreement, we made a payment of $1.0 billion to Morgan Stanley and received an initial delivery of 1.8 million shares valued at $800 million that were immediately canceled by the company. The remaining balance of</w:t>
      </w:r>
    </w:p>
    <w:p>
      <w:pPr>
        <w:spacing w:after="0" w:line="2"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$200 million is included as a reduction to Retained earnings on the unaudited condensed consolidated statement of financial position. The final number of shares to be repurchased will be based on the company’s daily volume-weighted average share price during the term of the agreement, less a discount. The ASR is expected to be completed in the second quarter of 2024.</w:t>
      </w:r>
    </w:p>
    <w:p>
      <w:pPr>
        <w:spacing w:after="0" w:line="6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share repurchases to date under the authorizations described above: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Shares Repurchased</w:t>
            </w: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6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rPr>
              <w:t>(in millions)</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rPr>
              <w:t>Amount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40" w:type="dxa"/>
            <w:vAlign w:val="bottom"/>
          </w:tcPr>
          <w:p>
            <w:pPr>
              <w:spacing w:after="0"/>
              <w:rPr>
                <w:sz w:val="23"/>
                <w:szCs w:val="23"/>
                <w:color w:val="auto"/>
              </w:rPr>
            </w:pPr>
          </w:p>
        </w:tc>
        <w:tc>
          <w:tcPr>
            <w:tcW w:w="1380" w:type="dxa"/>
            <w:vAlign w:val="bottom"/>
          </w:tcPr>
          <w:p>
            <w:pPr>
              <w:jc w:val="center"/>
              <w:ind w:right="291"/>
              <w:spacing w:after="0"/>
              <w:rPr>
                <w:sz w:val="20"/>
                <w:szCs w:val="20"/>
                <w:color w:val="auto"/>
              </w:rPr>
            </w:pPr>
            <w:r>
              <w:rPr>
                <w:rFonts w:ascii="Times New Roman" w:cs="Times New Roman" w:eastAsia="Times New Roman" w:hAnsi="Times New Roman"/>
                <w:sz w:val="18"/>
                <w:szCs w:val="18"/>
                <w:color w:val="auto"/>
                <w:w w:val="98"/>
              </w:rPr>
              <w:t>Average</w:t>
            </w:r>
          </w:p>
        </w:tc>
        <w:tc>
          <w:tcPr>
            <w:tcW w:w="1780" w:type="dxa"/>
            <w:vAlign w:val="bottom"/>
          </w:tcPr>
          <w:p>
            <w:pPr>
              <w:spacing w:after="0"/>
              <w:rPr>
                <w:sz w:val="23"/>
                <w:szCs w:val="23"/>
                <w:color w:val="auto"/>
              </w:rPr>
            </w:pPr>
          </w:p>
        </w:tc>
        <w:tc>
          <w:tcPr>
            <w:tcW w:w="2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0" w:type="dxa"/>
            <w:vAlign w:val="bottom"/>
          </w:tcPr>
          <w:p>
            <w:pPr>
              <w:spacing w:after="0"/>
              <w:rPr>
                <w:sz w:val="1"/>
                <w:szCs w:val="1"/>
                <w:color w:val="auto"/>
              </w:rPr>
            </w:pPr>
          </w:p>
        </w:tc>
      </w:tr>
      <w:tr>
        <w:trPr>
          <w:trHeight w:val="153"/>
        </w:trPr>
        <w:tc>
          <w:tcPr>
            <w:tcW w:w="2060" w:type="dxa"/>
            <w:vAlign w:val="bottom"/>
          </w:tcPr>
          <w:p>
            <w:pPr>
              <w:jc w:val="center"/>
              <w:ind w:left="11"/>
              <w:spacing w:after="0" w:line="149" w:lineRule="exact"/>
              <w:rPr>
                <w:sz w:val="20"/>
                <w:szCs w:val="20"/>
                <w:color w:val="auto"/>
              </w:rPr>
            </w:pPr>
            <w:r>
              <w:rPr>
                <w:rFonts w:ascii="Times New Roman" w:cs="Times New Roman" w:eastAsia="Times New Roman" w:hAnsi="Times New Roman"/>
                <w:sz w:val="17"/>
                <w:szCs w:val="17"/>
                <w:color w:val="auto"/>
              </w:rPr>
              <w:t>Repurchase Program</w:t>
            </w:r>
          </w:p>
        </w:tc>
        <w:tc>
          <w:tcPr>
            <w:tcW w:w="380" w:type="dxa"/>
            <w:vAlign w:val="bottom"/>
          </w:tcPr>
          <w:p>
            <w:pPr>
              <w:spacing w:after="0"/>
              <w:rPr>
                <w:sz w:val="12"/>
                <w:szCs w:val="12"/>
                <w:color w:val="auto"/>
              </w:rPr>
            </w:pPr>
          </w:p>
        </w:tc>
        <w:tc>
          <w:tcPr>
            <w:tcW w:w="1320" w:type="dxa"/>
            <w:vAlign w:val="bottom"/>
          </w:tcPr>
          <w:p>
            <w:pPr>
              <w:jc w:val="center"/>
              <w:ind w:right="231"/>
              <w:spacing w:after="0" w:line="149" w:lineRule="exact"/>
              <w:rPr>
                <w:sz w:val="20"/>
                <w:szCs w:val="20"/>
                <w:color w:val="auto"/>
              </w:rPr>
            </w:pPr>
            <w:r>
              <w:rPr>
                <w:rFonts w:ascii="Times New Roman" w:cs="Times New Roman" w:eastAsia="Times New Roman" w:hAnsi="Times New Roman"/>
                <w:sz w:val="17"/>
                <w:szCs w:val="17"/>
                <w:color w:val="auto"/>
              </w:rPr>
              <w:t>Authorized</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Shares Retired</w:t>
            </w:r>
          </w:p>
        </w:tc>
        <w:tc>
          <w:tcPr>
            <w:tcW w:w="240" w:type="dxa"/>
            <w:vAlign w:val="bottom"/>
          </w:tcPr>
          <w:p>
            <w:pPr>
              <w:spacing w:after="0"/>
              <w:rPr>
                <w:sz w:val="12"/>
                <w:szCs w:val="12"/>
                <w:color w:val="auto"/>
              </w:rPr>
            </w:pPr>
          </w:p>
        </w:tc>
        <w:tc>
          <w:tcPr>
            <w:tcW w:w="1380" w:type="dxa"/>
            <w:vAlign w:val="bottom"/>
          </w:tcPr>
          <w:p>
            <w:pPr>
              <w:jc w:val="center"/>
              <w:ind w:right="251"/>
              <w:spacing w:after="0" w:line="149" w:lineRule="exact"/>
              <w:rPr>
                <w:sz w:val="20"/>
                <w:szCs w:val="20"/>
                <w:color w:val="auto"/>
              </w:rPr>
            </w:pPr>
            <w:r>
              <w:rPr>
                <w:rFonts w:ascii="Times New Roman" w:cs="Times New Roman" w:eastAsia="Times New Roman" w:hAnsi="Times New Roman"/>
                <w:sz w:val="17"/>
                <w:szCs w:val="17"/>
                <w:color w:val="auto"/>
              </w:rPr>
              <w:t>Price</w:t>
            </w:r>
          </w:p>
        </w:tc>
        <w:tc>
          <w:tcPr>
            <w:tcW w:w="1780" w:type="dxa"/>
            <w:vAlign w:val="bottom"/>
          </w:tcPr>
          <w:p>
            <w:pPr>
              <w:spacing w:after="0"/>
              <w:rPr>
                <w:sz w:val="12"/>
                <w:szCs w:val="12"/>
                <w:color w:val="auto"/>
              </w:rPr>
            </w:pPr>
          </w:p>
        </w:tc>
        <w:tc>
          <w:tcPr>
            <w:tcW w:w="242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rPr>
              <w:t>Authorization Date</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8"/>
              </w:rPr>
              <w:t>(in millions)</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251"/>
              <w:spacing w:after="0" w:line="250" w:lineRule="exact"/>
              <w:rPr>
                <w:sz w:val="20"/>
                <w:szCs w:val="20"/>
                <w:color w:val="auto"/>
              </w:rPr>
            </w:pPr>
            <w:r>
              <w:rPr>
                <w:rFonts w:ascii="Times New Roman" w:cs="Times New Roman" w:eastAsia="Times New Roman" w:hAnsi="Times New Roman"/>
                <w:sz w:val="18"/>
                <w:szCs w:val="18"/>
                <w:color w:val="auto"/>
                <w:w w:val="91"/>
              </w:rPr>
              <w:t>Per Share</w:t>
            </w:r>
            <w:r>
              <w:rPr>
                <w:rFonts w:ascii="Times New Roman" w:cs="Times New Roman" w:eastAsia="Times New Roman" w:hAnsi="Times New Roman"/>
                <w:sz w:val="23"/>
                <w:szCs w:val="23"/>
                <w:color w:val="auto"/>
                <w:w w:val="91"/>
                <w:vertAlign w:val="superscript"/>
              </w:rPr>
              <w:t>(1)(2)</w:t>
            </w:r>
          </w:p>
        </w:tc>
        <w:tc>
          <w:tcPr>
            <w:tcW w:w="17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Date Completed</w:t>
            </w:r>
          </w:p>
        </w:tc>
        <w:tc>
          <w:tcPr>
            <w:tcW w:w="16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2023</w:t>
            </w: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25, 2021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3,000</w:t>
            </w:r>
          </w:p>
        </w:tc>
        <w:tc>
          <w:tcPr>
            <w:tcW w:w="1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431.05</w:t>
            </w:r>
          </w:p>
        </w:tc>
        <w:tc>
          <w:tcPr>
            <w:tcW w:w="17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April 2023</w:t>
            </w:r>
          </w:p>
        </w:tc>
        <w:tc>
          <w:tcPr>
            <w:tcW w:w="16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24, 2022</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2,000</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9"/>
                <w:szCs w:val="19"/>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NM</w:t>
            </w: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February 2024</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6, 2023</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2,500</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462.77</w:t>
            </w:r>
          </w:p>
        </w:tc>
        <w:tc>
          <w:tcPr>
            <w:tcW w:w="17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0.1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80" w:right="440" w:hanging="172"/>
        <w:spacing w:after="0" w:line="238" w:lineRule="auto"/>
        <w:tabs>
          <w:tab w:leader="none" w:pos="168"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a part of the 2023 Repurchase Program, the board of directors approved that the purchases under this program, and the authorization under the 2022 program, be exclusive of brokerage commissions and other costs of execution, including taxes. Commissions paid are included for the 2021 Repurchase Program.</w:t>
      </w:r>
    </w:p>
    <w:p>
      <w:pPr>
        <w:spacing w:after="0" w:line="73" w:lineRule="exact"/>
        <w:rPr>
          <w:rFonts w:ascii="Times New Roman" w:cs="Times New Roman" w:eastAsia="Times New Roman" w:hAnsi="Times New Roman"/>
          <w:sz w:val="20"/>
          <w:szCs w:val="20"/>
          <w:color w:val="auto"/>
          <w:vertAlign w:val="superscript"/>
        </w:rPr>
      </w:pPr>
    </w:p>
    <w:p>
      <w:pPr>
        <w:ind w:left="180" w:right="20" w:hanging="172"/>
        <w:spacing w:after="0"/>
        <w:tabs>
          <w:tab w:leader="none" w:pos="168"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2022 Share Repurchase program completed in February 2024; however, it includes the $1.0 billion ASR for which the final delivery of shares is still outstanding. The final average share price for shares purchased under the 2022 Repurchase Program will be determined once the ASR has completed and all related shares have been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2023, the company increased the quarterly common stock dividend 8 percent to $1.87 per share from the previous amount of $1.73 per share.</w:t>
      </w:r>
    </w:p>
    <w:p>
      <w:pPr>
        <w:spacing w:after="0" w:line="149" w:lineRule="exact"/>
        <w:rPr>
          <w:sz w:val="20"/>
          <w:szCs w:val="20"/>
          <w:color w:val="auto"/>
        </w:rPr>
      </w:pPr>
    </w:p>
    <w:p>
      <w:pPr>
        <w:ind w:right="7880" w:firstLine="8"/>
        <w:spacing w:after="0" w:line="375" w:lineRule="auto"/>
        <w:tabs>
          <w:tab w:leader="none" w:pos="31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INVENTORIED COSTS, NET </w:t>
      </w:r>
      <w:r>
        <w:rPr>
          <w:rFonts w:ascii="Times New Roman" w:cs="Times New Roman" w:eastAsia="Times New Roman" w:hAnsi="Times New Roman"/>
          <w:sz w:val="18"/>
          <w:szCs w:val="18"/>
          <w:color w:val="auto"/>
        </w:rPr>
        <w:t>Inventoried costs, net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1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in process</w:t>
            </w:r>
          </w:p>
        </w:tc>
        <w:tc>
          <w:tcPr>
            <w:tcW w:w="2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862</w:t>
            </w:r>
          </w:p>
        </w:tc>
        <w:tc>
          <w:tcPr>
            <w:tcW w:w="7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inventory:</w:t>
            </w:r>
          </w:p>
        </w:tc>
        <w:tc>
          <w:tcPr>
            <w:tcW w:w="2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Raw materials</w:t>
            </w:r>
          </w:p>
        </w:tc>
        <w:tc>
          <w:tcPr>
            <w:tcW w:w="23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Work in process</w:t>
            </w:r>
          </w:p>
        </w:tc>
        <w:tc>
          <w:tcPr>
            <w:tcW w:w="234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49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Finished goods</w:t>
            </w:r>
          </w:p>
        </w:tc>
        <w:tc>
          <w:tcPr>
            <w:tcW w:w="2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product inventory</w:t>
            </w:r>
          </w:p>
        </w:tc>
        <w:tc>
          <w:tcPr>
            <w:tcW w:w="2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508</w:t>
            </w: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30"/>
        </w:trPr>
        <w:tc>
          <w:tcPr>
            <w:tcW w:w="4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Inventoried costs, net</w:t>
            </w:r>
          </w:p>
        </w:tc>
        <w:tc>
          <w:tcPr>
            <w:tcW w:w="2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1,370</w:t>
            </w:r>
          </w:p>
        </w:tc>
        <w:tc>
          <w:tcPr>
            <w:tcW w:w="76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473"/>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INCOME TAXES</w:t>
            </w:r>
          </w:p>
        </w:tc>
        <w:tc>
          <w:tcPr>
            <w:tcW w:w="2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1"/>
        </w:trPr>
        <w:tc>
          <w:tcPr>
            <w:tcW w:w="4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3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187</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2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16.5 %</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15.6 %</w:t>
            </w:r>
          </w:p>
        </w:tc>
      </w:tr>
    </w:tbl>
    <w:p>
      <w:pPr>
        <w:spacing w:after="0" w:line="15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first quarter 2024 effective tax rate (ETR) increased to 16.5 percent from 15.6 percent in the prior year period principally due to higher interest expense on unrecognized tax benefits. The first quarter 2024 ETR includes benefits of $44 million for research credits and $15 million for foreign derived intangible income (FDII), partially offset by $21 million of interest expense on unrecognized tax benefits. The first quarter 2023 ETR included benefits of $40 million for research credits and $15 million for FDII, partially offset by $13 million of interest expense on unrecognized tax benefits.</w:t>
      </w:r>
    </w:p>
    <w:p>
      <w:pPr>
        <w:spacing w:after="0" w:line="5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Taxes receivable, which are included in Prepaid expenses and other current assets in the unaudited condensed consolidated statements of financial position, were $1.3 billion as of March 31, 2024 and $1.5 billion as of December 31, 2023.</w:t>
      </w:r>
    </w:p>
    <w:p>
      <w:pPr>
        <w:spacing w:after="0" w:line="1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The company has recorded unrecognized tax benefits related to our methods of accounting associated with the timing of revenue recognition and related costs and the 2017 Tax Cuts and Jobs Act, which includes related final revenue recognition regulations issued in December 2020 under IRC Section 451(b) and procedural guidance issued in August 2021. As of March 31, 2024, we have approximately $2.1 billion in unrecognized tax benefits, including</w:t>
      </w:r>
    </w:p>
    <w:p>
      <w:pPr>
        <w:spacing w:after="0" w:line="1" w:lineRule="exact"/>
        <w:rPr>
          <w:sz w:val="20"/>
          <w:szCs w:val="20"/>
          <w:color w:val="auto"/>
        </w:rPr>
      </w:pPr>
    </w:p>
    <w:p>
      <w:pPr>
        <w:jc w:val="both"/>
        <w:ind w:right="120"/>
        <w:spacing w:after="0" w:line="239" w:lineRule="auto"/>
        <w:rPr>
          <w:sz w:val="20"/>
          <w:szCs w:val="20"/>
          <w:color w:val="auto"/>
        </w:rPr>
      </w:pPr>
      <w:r>
        <w:rPr>
          <w:rFonts w:ascii="Times New Roman" w:cs="Times New Roman" w:eastAsia="Times New Roman" w:hAnsi="Times New Roman"/>
          <w:sz w:val="18"/>
          <w:szCs w:val="18"/>
          <w:color w:val="auto"/>
        </w:rPr>
        <w:t>$872 million related to our position on IRC Section 451(b). If these matters, including our position on IRC Section 451(b), are unfavorably resolved, there could be a material impact on our future cash flows. It is reasonably possible that within the next 12 months our unrecognized tax benefits related to these matters may increase by approximately $90 million.</w:t>
      </w:r>
    </w:p>
    <w:p>
      <w:pPr>
        <w:spacing w:after="0" w:line="50" w:lineRule="exact"/>
        <w:rPr>
          <w:sz w:val="20"/>
          <w:szCs w:val="20"/>
          <w:color w:val="auto"/>
        </w:rPr>
      </w:pPr>
    </w:p>
    <w:p>
      <w:pPr>
        <w:jc w:val="both"/>
        <w:ind w:right="500"/>
        <w:spacing w:after="0" w:line="250" w:lineRule="auto"/>
        <w:rPr>
          <w:sz w:val="20"/>
          <w:szCs w:val="20"/>
          <w:color w:val="auto"/>
        </w:rPr>
      </w:pPr>
      <w:r>
        <w:rPr>
          <w:rFonts w:ascii="Times New Roman" w:cs="Times New Roman" w:eastAsia="Times New Roman" w:hAnsi="Times New Roman"/>
          <w:sz w:val="18"/>
          <w:szCs w:val="18"/>
          <w:color w:val="auto"/>
        </w:rPr>
        <w:t>Our current unrecognized tax benefits, which are included in Other current liabilities in the unaudited condensed consolidated statements of financial position, were $1.0 billion and $964 million as of March 31, 2024 and December 31, 2023, respectively, with the remainder of our unrecognized tax benefits included within Other non-current liabilities.</w:t>
      </w:r>
    </w:p>
    <w:p>
      <w:pPr>
        <w:spacing w:after="0" w:line="5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We file income tax returns in the U.S. federal jurisdiction and in various state and foreign jurisdictions. The Northrop Grumman 2018-2020 federal tax returns are currently under Internal Revenue Service (IRS) examination. During the second quarter of 2023, the company entered into an agreed Revenue Agent’s Report (“RAR”) for certain matters related to the company’s 2014-2017 federal income tax returns, resulting in a $90 million reduction to our unrecognized tax benefits and an immaterial impact to income tax expense. The matters not addressed by the agreed RAR related to the company’s 2014-2017 federal income tax returns and refund claims related to its 2007-2016 federal tax returns are currently under review by the IRS Appeals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3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issued Pillar Two model rules for a new global minimum tax of 15% effective January 1, 2024. While it is uncertain whether the United States will enact legislation to adopt Pillar Two, certain countries in which we operate have adopted legislation, and other countries are in the process of introducing legislation to implement Pillar Two. Pillar Two had no impact on our first quarter 2024 effective tax rate, and we do not currently expect Pillar Two to significantly impact our effective tax rate going forward.</w:t>
      </w:r>
    </w:p>
    <w:p>
      <w:pPr>
        <w:spacing w:after="0" w:line="13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holds a portfolio of marketable securities to partially fund non-qualified employee benefit plans. A portion of these securities are held in common/collective trust funds and are measured at fair value using net asset value (NAV) per share as a practical expedient; therefore, they are not categorized in the fair value hierarchy table below. Marketable securities are included in Other non-current assets in the unaudited condensed consolidated statements of financial position.</w:t>
      </w:r>
    </w:p>
    <w:p>
      <w:pPr>
        <w:spacing w:after="0" w:line="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derivative portfolio consists primarily of foreign currency forward contracts. Where model-derived valuations are appropriate, the company utilizes the income approach to determine the fair value using internal models based on observable market inputs.</w:t>
      </w:r>
    </w:p>
    <w:p>
      <w:pPr>
        <w:spacing w:after="0" w:line="4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financial assets and liabilities the company records at fair value on a recurring basis identified by the level of inputs used to determine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2</w:t>
            </w: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Marketable securities valued</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using NAV</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343</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notional value of the company’s foreign currency forward contracts at March 31, 2024 and December 31, 2023 was $273 million and $286 million, respectively. The portion of notional value designated as a cash flow hedge at March 31, 2024 and December 31, 2023 was $133 million and $162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fair values and related unrealized gains/losses at March 31, 2024 and December 31, 2023 were not material.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into or out of Level 3 of the fair value hierarchy during the three months ended March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cash and cash equivalents approximates fair value.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estimated fair value of long-term debt was $15.5 billion and $13.4 billion as of March 31, 2024 and December 31, 2023, respectively. We calculated the fair value of long-term debt using Level 2 inputs, based on interest rates available for debt with terms and maturities similar to the company’s existing debt arrangements. The current portion of long-term debt is recorded in Other current liabilities in the unaudited condensed consolidated statements of financial position.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Unsecured Senior Notes</w:t>
      </w:r>
    </w:p>
    <w:p>
      <w:pPr>
        <w:spacing w:after="0" w:line="2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In January 2024, the company issued $2.5 billion of unsecured senior notes for general corporate purposes, including debt repayment, share repurchases, and working capital, as follows:</w:t>
      </w:r>
    </w:p>
    <w:p>
      <w:pPr>
        <w:spacing w:after="0" w:line="6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4.60% senior notes due 2029 (the “2029 Notes”),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 million of 4.90% senior notes due 2034 (the “2034 Notes”),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billion of 5.20% senior notes due 2054 (the “2054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February 2023, the company issued $2.0 billion of unsecured senior notes for general corporate purposes, including debt repayment, share repurchases, and working capital, as follows:</w:t>
      </w:r>
    </w:p>
    <w:p>
      <w:pPr>
        <w:spacing w:after="0" w:line="4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4.70% senior notes due 2033 (the “2033 Notes”)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of 4.95% senior notes due 2053 (the “2053 Notes”).</w:t>
      </w:r>
    </w:p>
    <w:p>
      <w:pPr>
        <w:spacing w:after="0" w:line="1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refer to the 2029 Notes, 2033 Notes, 2034 Notes, 2053 Notes and 2054 Notes together, as the “notes.” Interest on the notes is payable semi-annually in arrears. The notes are generally subject to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INVESTIGATIONS, CLAIMS AND LITIGATION</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over 25 years, the company has worked closely with the United States Navy, the United States Environmental Protection Agency, the New York State Department of Environmental Conservation, the New York State Department of Health and other federal, state and local governmental authorities, to address environmental conditions allegedly resulting from historic operations at the former United States Navy and Grumman facilities in Bethpage, New York. We have incurred, and expect to continue to incur, as included in Note 7, substantial remediation costs related to these Bethpage environmental conditions, including potential costs relating to unanticipated developments such as new discoveries of potential contaminants. It is also possible that applicable remediation standards and other requirements to which we are subject may continue to change, and that our costs may increase materially. In 2022, we resolved several disputes and regulatory proceedings concerning the scope and allocation of remediation responsibilities and costs related to this site and we continue remediation consistent with agreements through which those disputes were resolved. The company continues to be involved in related disputes, none of which are material individually or in the aggregate. We are also a party to various individual lawsuits and a putative class action in the Eastern District of New York alleging personal injury and property damage related to the legacy Bethpage environmental conditions. The court has stayed the filed individual lawsuits, pending its decision on class certification. We are also a party, and may become a party, to other lawsuits brought by or against insurance carriers, and by other individual plaintiffs and/or putative classes, as well as other parties. We cannot at this time predict or reasonably estimate the potential cumulative outcomes or ranges of possible liability of these Bethpage lawsuits.</w:t>
      </w:r>
    </w:p>
    <w:p>
      <w:pPr>
        <w:spacing w:after="0" w:line="5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company received from the U.S. Department of Justice (DOJ) a criminal subpoena on December 9, 2022, and a civil investigative demand (CID) on February 2, 2023, both seeking information regarding financial and cost accounting and controls that appears focused on the interest rate assumptions the company used to determine our CAS pension expense, which we discuss in Note 7 below. The company is engaging with the government and responding to the requests. We cannot at this point predict the outcome of these matters.</w:t>
      </w:r>
    </w:p>
    <w:p>
      <w:pPr>
        <w:spacing w:after="0" w:line="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March 31, 2024, or its annual results of operations and/or cash flows.</w:t>
      </w:r>
    </w:p>
    <w:p>
      <w:pPr>
        <w:spacing w:after="0" w:line="1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Cost Claims and Contingencies</w:t>
      </w:r>
    </w:p>
    <w:p>
      <w:pPr>
        <w:spacing w:after="0" w:line="3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March 31, 2024, or its annual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2019, the Defense Contract Management Agency (DCMA) raised questions about an interest rate assumption used by the company to determine our CAS pension expense. On June 1, 2020, DCMA provided written notice that the assumptions the company used during the period 2013-2019 were potentially noncompliant with CAS. We submitted a formal response on July 31, 2020, which we believed demonstrates the appropriateness of the assumptions used. On November 24, 2020, DCMA replied to the company’s response, disagreeing with our position and requesting additional input, which we provided on February 22, 2021. We subsequently continued to exchange correspondence and engage with DCMA on this matter, including responding to requests for and providing additional information. On February 15, 2024, DCMA sent to the company a Contracting Officer’s determination of noncompliance with CAS, which is an interim, non-final determination, and the parties are engaged in ongoing discussions. As noted in Note 6 above, the company received from the DOJ a criminal subpoena on December 9, 2022 and a CID on February 2, 2023, both seeking information that appears related to the interest rate assumptions at issue in our discussions with DCMA. The company is engaging with the government and responding to the requests. We cannot at this point predict the outcome of these matters. The sensitivity to changes in interest rate assumptions makes it reasonably possible the outcome of the DCMA matter could have a material adverse effect on our financial position, results of operations and/or cash flows, although we are not currently able to estimate a range of any potential loss.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March 31, 2024 and December 31, 2023:</w:t>
      </w:r>
    </w:p>
    <w:tbl>
      <w:tblPr>
        <w:tblLayout w:type="fixed"/>
        <w:tblInd w:w="0" w:type="dxa"/>
        <w:tblCellMar>
          <w:top w:w="0" w:type="dxa"/>
          <w:left w:w="0" w:type="dxa"/>
          <w:bottom w:w="0" w:type="dxa"/>
          <w:right w:w="0" w:type="dxa"/>
        </w:tblCellMar>
      </w:tblPr>
      <w:tr>
        <w:trPr>
          <w:trHeight w:val="196"/>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Reasonably Possible Future Costs</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460" w:type="dxa"/>
            <w:vAlign w:val="bottom"/>
            <w:tcBorders>
              <w:bottom w:val="single" w:sz="8" w:color="auto"/>
            </w:tcBorders>
            <w:vMerge w:val="continue"/>
          </w:tcPr>
          <w:p>
            <w:pPr>
              <w:spacing w:after="0"/>
              <w:rPr>
                <w:sz w:val="20"/>
                <w:szCs w:val="20"/>
                <w:color w:val="auto"/>
              </w:rPr>
            </w:pPr>
          </w:p>
        </w:tc>
        <w:tc>
          <w:tcPr>
            <w:tcW w:w="3540" w:type="dxa"/>
            <w:vAlign w:val="bottom"/>
            <w:tcBorders>
              <w:bottom w:val="single" w:sz="8" w:color="auto"/>
            </w:tcBorders>
            <w:gridSpan w:val="2"/>
          </w:tcPr>
          <w:p>
            <w:pPr>
              <w:jc w:val="right"/>
              <w:ind w:right="30"/>
              <w:spacing w:after="0" w:line="237" w:lineRule="exact"/>
              <w:rPr>
                <w:sz w:val="20"/>
                <w:szCs w:val="20"/>
                <w:color w:val="auto"/>
              </w:rPr>
            </w:pPr>
            <w:r>
              <w:rPr>
                <w:rFonts w:ascii="Times New Roman" w:cs="Times New Roman" w:eastAsia="Times New Roman" w:hAnsi="Times New Roman"/>
                <w:sz w:val="18"/>
                <w:szCs w:val="18"/>
                <w:color w:val="auto"/>
              </w:rPr>
              <w:t>Accrued Costs</w:t>
            </w:r>
            <w:r>
              <w:rPr>
                <w:rFonts w:ascii="Times New Roman" w:cs="Times New Roman" w:eastAsia="Times New Roman" w:hAnsi="Times New Roman"/>
                <w:sz w:val="23"/>
                <w:szCs w:val="23"/>
                <w:color w:val="auto"/>
                <w:vertAlign w:val="superscript"/>
              </w:rPr>
              <w:t>(1)(2)</w:t>
            </w: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150"/>
              <w:spacing w:after="0" w:line="237" w:lineRule="exact"/>
              <w:rPr>
                <w:sz w:val="20"/>
                <w:szCs w:val="20"/>
                <w:color w:val="auto"/>
              </w:rPr>
            </w:pPr>
            <w:r>
              <w:rPr>
                <w:rFonts w:ascii="Times New Roman" w:cs="Times New Roman" w:eastAsia="Times New Roman" w:hAnsi="Times New Roman"/>
                <w:sz w:val="18"/>
                <w:szCs w:val="18"/>
                <w:color w:val="auto"/>
                <w:w w:val="99"/>
              </w:rPr>
              <w:t>in Excess of Accrued Costs</w:t>
            </w:r>
            <w:r>
              <w:rPr>
                <w:rFonts w:ascii="Times New Roman" w:cs="Times New Roman" w:eastAsia="Times New Roman" w:hAnsi="Times New Roman"/>
                <w:sz w:val="23"/>
                <w:szCs w:val="23"/>
                <w:color w:val="auto"/>
                <w:w w:val="99"/>
                <w:vertAlign w:val="superscript"/>
              </w:rPr>
              <w:t>(2)</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line="237" w:lineRule="exact"/>
              <w:rPr>
                <w:sz w:val="20"/>
                <w:szCs w:val="20"/>
                <w:color w:val="auto"/>
              </w:rPr>
            </w:pPr>
            <w:r>
              <w:rPr>
                <w:rFonts w:ascii="Times New Roman" w:cs="Times New Roman" w:eastAsia="Times New Roman" w:hAnsi="Times New Roman"/>
                <w:sz w:val="18"/>
                <w:szCs w:val="18"/>
                <w:color w:val="auto"/>
                <w:w w:val="96"/>
              </w:rPr>
              <w:t>Deferred Costs</w:t>
            </w:r>
            <w:r>
              <w:rPr>
                <w:rFonts w:ascii="Times New Roman" w:cs="Times New Roman" w:eastAsia="Times New Roman" w:hAnsi="Times New Roman"/>
                <w:sz w:val="23"/>
                <w:szCs w:val="23"/>
                <w:color w:val="auto"/>
                <w:w w:val="96"/>
                <w:vertAlign w:val="superscript"/>
              </w:rPr>
              <w:t>(3)</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587</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March 31, 2024, $226 million is recorded in Other current liabilities and $361 million is recorded in Other non-current liabilities.</w:t>
      </w:r>
    </w:p>
    <w:p>
      <w:pPr>
        <w:spacing w:after="0" w:line="73" w:lineRule="exact"/>
        <w:rPr>
          <w:rFonts w:ascii="Times New Roman" w:cs="Times New Roman" w:eastAsia="Times New Roman" w:hAnsi="Times New Roman"/>
          <w:sz w:val="19"/>
          <w:szCs w:val="19"/>
          <w:color w:val="auto"/>
          <w:vertAlign w:val="superscript"/>
        </w:rPr>
      </w:pPr>
    </w:p>
    <w:p>
      <w:pPr>
        <w:ind w:left="180" w:right="240" w:hanging="172"/>
        <w:spacing w:after="0" w:line="238" w:lineRule="auto"/>
        <w:tabs>
          <w:tab w:leader="none" w:pos="167"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73" w:lineRule="exact"/>
        <w:rPr>
          <w:rFonts w:ascii="Times New Roman" w:cs="Times New Roman" w:eastAsia="Times New Roman" w:hAnsi="Times New Roman"/>
          <w:sz w:val="20"/>
          <w:szCs w:val="20"/>
          <w:color w:val="auto"/>
          <w:vertAlign w:val="superscript"/>
        </w:rPr>
      </w:pPr>
    </w:p>
    <w:p>
      <w:pPr>
        <w:ind w:left="180" w:right="140" w:hanging="172"/>
        <w:spacing w:after="0" w:line="238" w:lineRule="auto"/>
        <w:tabs>
          <w:tab w:leader="none" w:pos="167"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March 31, 2024, $208 million is deferred in Prepaid expenses and other current assets and $312 million is deferred in Other non-current assets. These amounts are evaluated for recoverability on a routine basis.</w:t>
      </w:r>
    </w:p>
    <w:p>
      <w:pPr>
        <w:spacing w:after="0" w:line="6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Although management cannot predict whether (i) new information gained as our environmental remediation projects progress, (ii) changes in remediation standards or other requirements to which we are subject, or (iii) other changes in facts and circumstances will materially affect the estimated liability accrued, we do not anticipate that future remediation expenditures associated with our currently identified projects will have a material adverse effect on the company’s unaudited condensed consolidated financial position as of March 31, 2024, or its annual results of operations and/or cash flows.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Arrangements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March 31, 2024, there were $363 million of stand-by letters of credit and guarantees and $263 million of surety bonds outstanding.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31" w:lineRule="exact"/>
        <w:rPr>
          <w:sz w:val="20"/>
          <w:szCs w:val="20"/>
          <w:color w:val="auto"/>
        </w:rPr>
      </w:pPr>
    </w:p>
    <w:p>
      <w:pPr>
        <w:jc w:val="both"/>
        <w:ind w:right="300"/>
        <w:spacing w:after="0" w:line="260" w:lineRule="auto"/>
        <w:rPr>
          <w:sz w:val="20"/>
          <w:szCs w:val="20"/>
          <w:color w:val="auto"/>
        </w:rPr>
      </w:pPr>
      <w:r>
        <w:rPr>
          <w:rFonts w:ascii="Times New Roman" w:cs="Times New Roman" w:eastAsia="Times New Roman" w:hAnsi="Times New Roman"/>
          <w:sz w:val="18"/>
          <w:szCs w:val="18"/>
          <w:color w:val="auto"/>
        </w:rPr>
        <w:t>The company maintains a commercial paper program that serves as a source of short-term financing with capacity to issue unsecured commercial paper notes up to $2.5 billion. At March 31, 2024, there were no commercial paper borrowings outstanding.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31"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18"/>
          <w:szCs w:val="18"/>
          <w:color w:val="auto"/>
        </w:rPr>
        <w:t>The company maintains a five-year senior unsecured credit facility in an aggregate principal amount of $2.5 billion (the “2022 Credit Agreement”) that matures in August 2027 and is intended to support the company's commercial paper program and other general corporate purposes. Commercial paper borrowings reduce the amount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under the 2022 Credit Agreement. At March 31, 2024, there were no borrowings outstanding under this facility.</w:t>
      </w:r>
    </w:p>
    <w:p>
      <w:pPr>
        <w:spacing w:after="0" w:line="10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 to exceed 65 percent.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the company was in compliance with all covenants under its credit agreements.</w:t>
      </w:r>
    </w:p>
    <w:p>
      <w:pPr>
        <w:spacing w:after="0" w:line="1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RETIREMENT BENEFITS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to the company of its pension and other postretirement benefit (OPB) plans is shown in the following table:</w:t>
      </w:r>
    </w:p>
    <w:p>
      <w:pPr>
        <w:spacing w:after="0" w:line="50"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17145</wp:posOffset>
            </wp:positionV>
            <wp:extent cx="2425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Pension</w:t>
      </w:r>
    </w:p>
    <w:tbl>
      <w:tblPr>
        <w:tblLayout w:type="fixed"/>
        <w:tblInd w:w="0" w:type="dxa"/>
        <w:tblCellMar>
          <w:top w:w="0" w:type="dxa"/>
          <w:left w:w="0" w:type="dxa"/>
          <w:bottom w:w="0" w:type="dxa"/>
          <w:right w:w="0" w:type="dxa"/>
        </w:tblCellMar>
      </w:tblPr>
      <w:tr>
        <w:trPr>
          <w:trHeight w:val="228"/>
        </w:trPr>
        <w:tc>
          <w:tcPr>
            <w:tcW w:w="7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Benefits</w:t>
            </w: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OPB</w:t>
            </w:r>
          </w:p>
        </w:tc>
        <w:tc>
          <w:tcPr>
            <w:tcW w:w="680" w:type="dxa"/>
            <w:vAlign w:val="bottom"/>
            <w:tcBorders>
              <w:bottom w:val="single" w:sz="8" w:color="auto"/>
            </w:tcBorders>
          </w:tcPr>
          <w:p>
            <w:pPr>
              <w:spacing w:after="0"/>
              <w:rPr>
                <w:sz w:val="19"/>
                <w:szCs w:val="19"/>
                <w:color w:val="auto"/>
              </w:rPr>
            </w:pPr>
          </w:p>
        </w:tc>
      </w:tr>
      <w:tr>
        <w:trPr>
          <w:trHeight w:val="223"/>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4"/>
              </w:rPr>
              <w:t>2023</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(benefit)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381</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 (benefit)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Employer Contributions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made by the company to its retirement plans are as follows: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3"/>
        </w:trPr>
        <w:tc>
          <w:tcPr>
            <w:tcW w:w="8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3"/>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rPr>
              <w:t>Three Months Ended March</w:t>
            </w:r>
          </w:p>
        </w:tc>
      </w:tr>
      <w:tr>
        <w:trPr>
          <w:trHeight w:val="236"/>
        </w:trPr>
        <w:tc>
          <w:tcPr>
            <w:tcW w:w="8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31</w:t>
            </w:r>
          </w:p>
        </w:tc>
        <w:tc>
          <w:tcPr>
            <w:tcW w:w="840" w:type="dxa"/>
            <w:vAlign w:val="bottom"/>
            <w:tcBorders>
              <w:bottom w:val="single" w:sz="8" w:color="auto"/>
            </w:tcBorders>
          </w:tcPr>
          <w:p>
            <w:pPr>
              <w:spacing w:after="0"/>
              <w:rPr>
                <w:sz w:val="20"/>
                <w:szCs w:val="20"/>
                <w:color w:val="auto"/>
              </w:rPr>
            </w:pPr>
          </w:p>
        </w:tc>
      </w:tr>
      <w:tr>
        <w:trPr>
          <w:trHeight w:val="229"/>
        </w:trPr>
        <w:tc>
          <w:tcPr>
            <w:tcW w:w="8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OPB plans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bl>
    <w:p>
      <w:pPr>
        <w:spacing w:after="0" w:line="234" w:lineRule="exact"/>
        <w:rPr>
          <w:sz w:val="20"/>
          <w:szCs w:val="20"/>
          <w:color w:val="auto"/>
        </w:rPr>
      </w:pPr>
    </w:p>
    <w:p>
      <w:pPr>
        <w:ind w:right="3880"/>
        <w:spacing w:after="0" w:line="310" w:lineRule="auto"/>
        <w:rPr>
          <w:sz w:val="20"/>
          <w:szCs w:val="20"/>
          <w:color w:val="auto"/>
        </w:rPr>
      </w:pPr>
      <w:r>
        <w:rPr>
          <w:rFonts w:ascii="Times New Roman" w:cs="Times New Roman" w:eastAsia="Times New Roman" w:hAnsi="Times New Roman"/>
          <w:sz w:val="18"/>
          <w:szCs w:val="18"/>
          <w:b w:val="1"/>
          <w:bCs w:val="1"/>
          <w:color w:val="auto"/>
        </w:rPr>
        <w:t>9. STOCK COMPENSATION PLANS AND OTHER COMPENSATION ARRANGEMENTS Stock Awards</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RSRs granted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RPSRs granted</w:t>
            </w: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aggregate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RSRs typically vest on the third anniversary of the grant date, while RPSRs generally vest and pay out based on the achievement of certain performance metrics over a three-year period.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Awards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minimum and maximum aggregate payout amounts related to cash units (CUs) and cash performance units (CPUs) granted to employees in the periods presented: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aggregate payout amount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 aggregate payout amount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199</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bl>
    <w:p>
      <w:pPr>
        <w:spacing w:after="0" w:line="1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CUs typically vest and settle in cash on the third anniversary of the grant date, while CPUs generally vest and pay out in cash based on the achievement of certain performance metrics over a three-year period.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0"/>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sales and operating income by segment:</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7"/>
        </w:trPr>
        <w:tc>
          <w:tcPr>
            <w:tcW w:w="8800" w:type="dxa"/>
            <w:vAlign w:val="bottom"/>
          </w:tcPr>
          <w:p>
            <w:pPr>
              <w:spacing w:after="0"/>
              <w:rPr>
                <w:sz w:val="22"/>
                <w:szCs w:val="22"/>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 Systems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2,969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Defense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1,412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Mission Systems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2,659</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3,655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30"/>
        </w:trPr>
        <w:tc>
          <w:tcPr>
            <w:tcW w:w="8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10,133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Aeronautics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Defense Systems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Mission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Space Systems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8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1,104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8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1,071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8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1,131</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For financial statement purposes, we account for our employee pension plans in accordance with FAS. However, the cost of these plans is charged to our contracts in accordance with applicable Federal Acquisition Regulation (FAR) and U.S. Government Cost Accounting Standards (CAS) requirements. The FAS/CAS operating adjustment reflects the difference between CAS pension expense included as cost in segment operating income and the service cost component of FAS expense included in total operating income.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Unallocated corporate expense includes the portion of corporate costs not considered allowable or allocable under the applicable FAR and CAS requirements, and therefore not allocated to the segments, such as changes in deferred state income taxes and a portion of management and administration, legal, environmental, compensation, retiree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benefits, advertising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Customer Type</w:t>
            </w:r>
          </w:p>
        </w:tc>
        <w:tc>
          <w:tcPr>
            <w:tcW w:w="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720" w:type="dxa"/>
            <w:vAlign w:val="bottom"/>
            <w:tcBorders>
              <w:bottom w:val="single" w:sz="8" w:color="auto"/>
            </w:tcBorders>
          </w:tcPr>
          <w:p>
            <w:pPr>
              <w:spacing w:after="0"/>
              <w:rPr>
                <w:sz w:val="24"/>
                <w:szCs w:val="24"/>
                <w:color w:val="auto"/>
              </w:rPr>
            </w:pPr>
          </w:p>
        </w:tc>
      </w:tr>
      <w:tr>
        <w:trPr>
          <w:trHeight w:val="223"/>
        </w:trPr>
        <w:tc>
          <w:tcPr>
            <w:tcW w:w="7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tcBorders>
              <w:bottom w:val="single" w:sz="8" w:color="auto"/>
            </w:tcBorders>
          </w:tcPr>
          <w:p>
            <w:pPr>
              <w:spacing w:after="0"/>
              <w:rPr>
                <w:sz w:val="19"/>
                <w:szCs w:val="19"/>
                <w:color w:val="auto"/>
              </w:rPr>
            </w:pPr>
          </w:p>
        </w:tc>
      </w:tr>
      <w:tr>
        <w:trPr>
          <w:trHeight w:val="223"/>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31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29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0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85 %</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2,108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29"/>
        </w:trPr>
        <w:tc>
          <w:tcPr>
            <w:tcW w:w="70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381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331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3"/>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2,969</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2,515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0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930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66 %</w:t>
            </w:r>
          </w:p>
        </w:tc>
        <w:tc>
          <w:tcPr>
            <w:tcW w:w="32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803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9"/>
        </w:trPr>
        <w:tc>
          <w:tcPr>
            <w:tcW w:w="70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262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388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7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1,412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1,376</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0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1,912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32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1,935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30"/>
        </w:trPr>
        <w:tc>
          <w:tcPr>
            <w:tcW w:w="70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454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376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7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277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237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3"/>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2,659</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2,563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0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3,477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95 %</w:t>
            </w:r>
          </w:p>
        </w:tc>
        <w:tc>
          <w:tcPr>
            <w:tcW w:w="32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3,166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70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2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7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3,655</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3,350</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0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8,844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87 %</w:t>
            </w:r>
          </w:p>
        </w:tc>
        <w:tc>
          <w:tcPr>
            <w:tcW w:w="32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8,012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70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1,162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1,166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7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127</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7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10,133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9,301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5" w:lineRule="exact"/>
        <w:rPr>
          <w:sz w:val="20"/>
          <w:szCs w:val="20"/>
          <w:color w:val="auto"/>
        </w:rPr>
      </w:pPr>
    </w:p>
    <w:p>
      <w:pPr>
        <w:ind w:left="180" w:right="340" w:hanging="172"/>
        <w:spacing w:after="0" w:line="238" w:lineRule="auto"/>
        <w:tabs>
          <w:tab w:leader="none" w:pos="167"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73" w:lineRule="exact"/>
        <w:rPr>
          <w:rFonts w:ascii="Times New Roman" w:cs="Times New Roman" w:eastAsia="Times New Roman" w:hAnsi="Times New Roman"/>
          <w:sz w:val="20"/>
          <w:szCs w:val="20"/>
          <w:color w:val="auto"/>
          <w:vertAlign w:val="superscript"/>
        </w:rPr>
      </w:pPr>
    </w:p>
    <w:p>
      <w:pPr>
        <w:ind w:left="180" w:right="40" w:hanging="172"/>
        <w:spacing w:after="0" w:line="225" w:lineRule="auto"/>
        <w:tabs>
          <w:tab w:leader="none" w:pos="181"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55"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Percentages calculated based on total segment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4"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Contract Type</w:t>
            </w:r>
          </w:p>
        </w:tc>
        <w:tc>
          <w:tcPr>
            <w:tcW w:w="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720" w:type="dxa"/>
            <w:vAlign w:val="bottom"/>
            <w:tcBorders>
              <w:bottom w:val="single" w:sz="8" w:color="auto"/>
            </w:tcBorders>
          </w:tcPr>
          <w:p>
            <w:pPr>
              <w:spacing w:after="0"/>
              <w:rPr>
                <w:sz w:val="20"/>
                <w:szCs w:val="20"/>
                <w:color w:val="auto"/>
              </w:rPr>
            </w:pPr>
          </w:p>
        </w:tc>
      </w:tr>
      <w:tr>
        <w:trPr>
          <w:trHeight w:val="250"/>
        </w:trPr>
        <w:tc>
          <w:tcPr>
            <w:tcW w:w="70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tcBorders>
              <w:bottom w:val="single" w:sz="8" w:color="auto"/>
            </w:tcBorders>
          </w:tcPr>
          <w:p>
            <w:pPr>
              <w:spacing w:after="0"/>
              <w:rPr>
                <w:sz w:val="21"/>
                <w:szCs w:val="21"/>
                <w:color w:val="auto"/>
              </w:rPr>
            </w:pPr>
          </w:p>
        </w:tc>
      </w:tr>
      <w:tr>
        <w:trPr>
          <w:trHeight w:val="250"/>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63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27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1,313</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 xml:space="preserve">45 %  </w:t>
            </w:r>
            <w:r>
              <w:rPr>
                <w:rFonts w:ascii="Times New Roman" w:cs="Times New Roman" w:eastAsia="Times New Roman" w:hAnsi="Times New Roman"/>
                <w:sz w:val="18"/>
                <w:szCs w:val="18"/>
                <w:color w:val="auto"/>
              </w:rPr>
              <w:t>$</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1,231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1,597</w:t>
            </w:r>
          </w:p>
        </w:tc>
        <w:tc>
          <w:tcPr>
            <w:tcW w:w="114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55 %</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1,219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7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59</w:t>
            </w:r>
          </w:p>
        </w:tc>
        <w:tc>
          <w:tcPr>
            <w:tcW w:w="1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c>
          <w:tcPr>
            <w:tcW w:w="720" w:type="dxa"/>
            <w:vAlign w:val="bottom"/>
            <w:tcBorders>
              <w:bottom w:val="single" w:sz="8" w:color="auto"/>
            </w:tcBorders>
          </w:tcPr>
          <w:p>
            <w:pPr>
              <w:spacing w:after="0"/>
              <w:rPr>
                <w:sz w:val="19"/>
                <w:szCs w:val="19"/>
                <w:color w:val="auto"/>
              </w:rPr>
            </w:pPr>
          </w:p>
        </w:tc>
      </w:tr>
      <w:tr>
        <w:trPr>
          <w:trHeight w:val="223"/>
        </w:trPr>
        <w:tc>
          <w:tcPr>
            <w:tcW w:w="7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2,969</w:t>
            </w:r>
          </w:p>
        </w:tc>
        <w:tc>
          <w:tcPr>
            <w:tcW w:w="1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2,515</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360</w:t>
            </w:r>
          </w:p>
        </w:tc>
        <w:tc>
          <w:tcPr>
            <w:tcW w:w="114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30 %</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4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853</w:t>
            </w:r>
          </w:p>
        </w:tc>
        <w:tc>
          <w:tcPr>
            <w:tcW w:w="114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70 %</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784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9"/>
        </w:trPr>
        <w:tc>
          <w:tcPr>
            <w:tcW w:w="7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199</w:t>
            </w:r>
          </w:p>
        </w:tc>
        <w:tc>
          <w:tcPr>
            <w:tcW w:w="1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169</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1,412</w:t>
            </w:r>
          </w:p>
        </w:tc>
        <w:tc>
          <w:tcPr>
            <w:tcW w:w="1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1,376</w:t>
            </w:r>
          </w:p>
        </w:tc>
        <w:tc>
          <w:tcPr>
            <w:tcW w:w="720" w:type="dxa"/>
            <w:vAlign w:val="bottom"/>
            <w:tcBorders>
              <w:bottom w:val="single" w:sz="8" w:color="auto"/>
            </w:tcBorders>
          </w:tcPr>
          <w:p>
            <w:pPr>
              <w:spacing w:after="0"/>
              <w:rPr>
                <w:sz w:val="19"/>
                <w:szCs w:val="19"/>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4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1,067</w:t>
            </w:r>
          </w:p>
        </w:tc>
        <w:tc>
          <w:tcPr>
            <w:tcW w:w="114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45 %</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961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1,315</w:t>
            </w:r>
          </w:p>
        </w:tc>
        <w:tc>
          <w:tcPr>
            <w:tcW w:w="114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55 %</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1,365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9"/>
        </w:trPr>
        <w:tc>
          <w:tcPr>
            <w:tcW w:w="7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277</w:t>
            </w:r>
          </w:p>
        </w:tc>
        <w:tc>
          <w:tcPr>
            <w:tcW w:w="1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237</w:t>
            </w:r>
          </w:p>
        </w:tc>
        <w:tc>
          <w:tcPr>
            <w:tcW w:w="720" w:type="dxa"/>
            <w:vAlign w:val="bottom"/>
            <w:tcBorders>
              <w:bottom w:val="single" w:sz="8" w:color="auto"/>
            </w:tcBorders>
          </w:tcPr>
          <w:p>
            <w:pPr>
              <w:spacing w:after="0"/>
              <w:rPr>
                <w:sz w:val="19"/>
                <w:szCs w:val="19"/>
                <w:color w:val="auto"/>
              </w:rPr>
            </w:pPr>
          </w:p>
        </w:tc>
      </w:tr>
      <w:tr>
        <w:trPr>
          <w:trHeight w:val="223"/>
        </w:trPr>
        <w:tc>
          <w:tcPr>
            <w:tcW w:w="7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2,659</w:t>
            </w:r>
          </w:p>
        </w:tc>
        <w:tc>
          <w:tcPr>
            <w:tcW w:w="1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2,563</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2,457</w:t>
            </w:r>
          </w:p>
        </w:tc>
        <w:tc>
          <w:tcPr>
            <w:tcW w:w="114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68 %</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2,446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4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1,171</w:t>
            </w:r>
          </w:p>
        </w:tc>
        <w:tc>
          <w:tcPr>
            <w:tcW w:w="114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32 %</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872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7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w:t>
            </w:r>
          </w:p>
        </w:tc>
        <w:tc>
          <w:tcPr>
            <w:tcW w:w="1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3,655</w:t>
            </w:r>
          </w:p>
        </w:tc>
        <w:tc>
          <w:tcPr>
            <w:tcW w:w="1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3,350</w:t>
            </w:r>
          </w:p>
        </w:tc>
        <w:tc>
          <w:tcPr>
            <w:tcW w:w="720" w:type="dxa"/>
            <w:vAlign w:val="bottom"/>
            <w:tcBorders>
              <w:bottom w:val="single" w:sz="8" w:color="auto"/>
            </w:tcBorders>
          </w:tcPr>
          <w:p>
            <w:pPr>
              <w:spacing w:after="0"/>
              <w:rPr>
                <w:sz w:val="19"/>
                <w:szCs w:val="19"/>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4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5,197</w:t>
            </w:r>
          </w:p>
        </w:tc>
        <w:tc>
          <w:tcPr>
            <w:tcW w:w="114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51 %</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5,061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7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4,936</w:t>
            </w:r>
          </w:p>
        </w:tc>
        <w:tc>
          <w:tcPr>
            <w:tcW w:w="114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49 %</w:t>
            </w: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4,240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10,133</w:t>
            </w: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9,301</w:t>
            </w:r>
          </w:p>
        </w:tc>
        <w:tc>
          <w:tcPr>
            <w:tcW w:w="72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4"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Geographic Region</w:t>
            </w:r>
          </w:p>
        </w:tc>
        <w:tc>
          <w:tcPr>
            <w:tcW w:w="2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740" w:type="dxa"/>
            <w:vAlign w:val="bottom"/>
            <w:tcBorders>
              <w:bottom w:val="single" w:sz="8" w:color="auto"/>
            </w:tcBorders>
          </w:tcPr>
          <w:p>
            <w:pPr>
              <w:spacing w:after="0"/>
              <w:rPr>
                <w:sz w:val="20"/>
                <w:szCs w:val="20"/>
                <w:color w:val="auto"/>
              </w:rPr>
            </w:pPr>
          </w:p>
        </w:tc>
      </w:tr>
      <w:tr>
        <w:trPr>
          <w:trHeight w:val="223"/>
        </w:trPr>
        <w:tc>
          <w:tcPr>
            <w:tcW w:w="7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tcBorders>
              <w:bottom w:val="single" w:sz="8" w:color="auto"/>
            </w:tcBorders>
          </w:tcPr>
          <w:p>
            <w:pPr>
              <w:spacing w:after="0"/>
              <w:rPr>
                <w:sz w:val="19"/>
                <w:szCs w:val="19"/>
                <w:color w:val="auto"/>
              </w:rPr>
            </w:pPr>
          </w:p>
        </w:tc>
      </w:tr>
      <w:tr>
        <w:trPr>
          <w:trHeight w:val="250"/>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63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(2)</w:t>
            </w: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27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(2)</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2,529</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 xml:space="preserve">87 %  </w:t>
            </w:r>
            <w:r>
              <w:rPr>
                <w:rFonts w:ascii="Times New Roman" w:cs="Times New Roman" w:eastAsia="Times New Roman" w:hAnsi="Times New Roman"/>
                <w:sz w:val="18"/>
                <w:szCs w:val="18"/>
                <w:color w:val="auto"/>
              </w:rPr>
              <w:t>$</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2,119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149</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5 %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225</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8 %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7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59</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c>
          <w:tcPr>
            <w:tcW w:w="740" w:type="dxa"/>
            <w:vAlign w:val="bottom"/>
            <w:tcBorders>
              <w:bottom w:val="single" w:sz="8" w:color="auto"/>
            </w:tcBorders>
          </w:tcPr>
          <w:p>
            <w:pPr>
              <w:spacing w:after="0"/>
              <w:rPr>
                <w:sz w:val="19"/>
                <w:szCs w:val="19"/>
                <w:color w:val="auto"/>
              </w:rPr>
            </w:pPr>
          </w:p>
        </w:tc>
      </w:tr>
      <w:tr>
        <w:trPr>
          <w:trHeight w:val="223"/>
        </w:trPr>
        <w:tc>
          <w:tcPr>
            <w:tcW w:w="7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2,969</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2,515</w:t>
            </w:r>
          </w:p>
        </w:tc>
        <w:tc>
          <w:tcPr>
            <w:tcW w:w="740" w:type="dxa"/>
            <w:vAlign w:val="bottom"/>
            <w:tcBorders>
              <w:bottom w:val="single" w:sz="8" w:color="auto"/>
            </w:tcBorders>
            <w:shd w:val="clear" w:color="auto" w:fill="CCEEFF"/>
          </w:tcPr>
          <w:p>
            <w:pPr>
              <w:spacing w:after="0"/>
              <w:rPr>
                <w:sz w:val="19"/>
                <w:szCs w:val="19"/>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951</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78 %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819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4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71</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6 %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154</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13 %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71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37</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3 %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7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199</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169</w:t>
            </w:r>
          </w:p>
        </w:tc>
        <w:tc>
          <w:tcPr>
            <w:tcW w:w="740" w:type="dxa"/>
            <w:vAlign w:val="bottom"/>
            <w:tcBorders>
              <w:bottom w:val="single" w:sz="8" w:color="auto"/>
            </w:tcBorders>
            <w:shd w:val="clear" w:color="auto" w:fill="CCEEFF"/>
          </w:tcPr>
          <w:p>
            <w:pPr>
              <w:spacing w:after="0"/>
              <w:rPr>
                <w:sz w:val="19"/>
                <w:szCs w:val="19"/>
                <w:color w:val="auto"/>
              </w:rPr>
            </w:pPr>
          </w:p>
        </w:tc>
      </w:tr>
      <w:tr>
        <w:trPr>
          <w:trHeight w:val="223"/>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1,412</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1,376</w:t>
            </w:r>
          </w:p>
        </w:tc>
        <w:tc>
          <w:tcPr>
            <w:tcW w:w="740" w:type="dxa"/>
            <w:vAlign w:val="bottom"/>
            <w:tcBorders>
              <w:bottom w:val="single" w:sz="8" w:color="auto"/>
            </w:tcBorders>
          </w:tcPr>
          <w:p>
            <w:pPr>
              <w:spacing w:after="0"/>
              <w:rPr>
                <w:sz w:val="19"/>
                <w:szCs w:val="19"/>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1,928</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81 %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126</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5 %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255</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11 %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7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73</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3 %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7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277</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237</w:t>
            </w:r>
          </w:p>
        </w:tc>
        <w:tc>
          <w:tcPr>
            <w:tcW w:w="740" w:type="dxa"/>
            <w:vAlign w:val="bottom"/>
            <w:tcBorders>
              <w:bottom w:val="single" w:sz="8" w:color="auto"/>
            </w:tcBorders>
          </w:tcPr>
          <w:p>
            <w:pPr>
              <w:spacing w:after="0"/>
              <w:rPr>
                <w:sz w:val="19"/>
                <w:szCs w:val="19"/>
                <w:color w:val="auto"/>
              </w:rPr>
            </w:pPr>
          </w:p>
        </w:tc>
      </w:tr>
      <w:tr>
        <w:trPr>
          <w:trHeight w:val="223"/>
        </w:trPr>
        <w:tc>
          <w:tcPr>
            <w:tcW w:w="7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2,659</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2,563</w:t>
            </w:r>
          </w:p>
        </w:tc>
        <w:tc>
          <w:tcPr>
            <w:tcW w:w="740" w:type="dxa"/>
            <w:vAlign w:val="bottom"/>
            <w:tcBorders>
              <w:bottom w:val="single" w:sz="8" w:color="auto"/>
            </w:tcBorders>
            <w:shd w:val="clear" w:color="auto" w:fill="CCEEFF"/>
          </w:tcPr>
          <w:p>
            <w:pPr>
              <w:spacing w:after="0"/>
              <w:rPr>
                <w:sz w:val="19"/>
                <w:szCs w:val="19"/>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3,563</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98 %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3,247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4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42</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71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27</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tcBorders>
              <w:bottom w:val="single" w:sz="8" w:color="auto"/>
            </w:tcBorders>
            <w:shd w:val="clear" w:color="auto" w:fill="CCEEFF"/>
          </w:tcPr>
          <w:p>
            <w:pPr>
              <w:spacing w:after="0"/>
              <w:rPr>
                <w:sz w:val="19"/>
                <w:szCs w:val="19"/>
                <w:color w:val="auto"/>
              </w:rPr>
            </w:pPr>
          </w:p>
        </w:tc>
      </w:tr>
      <w:tr>
        <w:trPr>
          <w:trHeight w:val="223"/>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3,655</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3,350</w:t>
            </w:r>
          </w:p>
        </w:tc>
        <w:tc>
          <w:tcPr>
            <w:tcW w:w="740" w:type="dxa"/>
            <w:vAlign w:val="bottom"/>
            <w:tcBorders>
              <w:bottom w:val="single" w:sz="8" w:color="auto"/>
            </w:tcBorders>
          </w:tcPr>
          <w:p>
            <w:pPr>
              <w:spacing w:after="0"/>
              <w:rPr>
                <w:sz w:val="19"/>
                <w:szCs w:val="19"/>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8,971</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88 %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8,135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359</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4 %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376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676</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7 %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547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718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127</w:t>
            </w:r>
          </w:p>
        </w:tc>
        <w:tc>
          <w:tcPr>
            <w:tcW w:w="11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243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10,133</w:t>
            </w:r>
          </w:p>
        </w:tc>
        <w:tc>
          <w:tcPr>
            <w:tcW w:w="11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9,301</w:t>
            </w:r>
          </w:p>
        </w:tc>
        <w:tc>
          <w:tcPr>
            <w:tcW w:w="74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other is principally comprised of the Middle East.</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Information</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reviewed the accompanying condensed consolidated statement of financial position of Northrop Grumman Corporation and subsidiaries (the “Company”) as of March 31, 2024, and the related condensed consolidated statements of earnings and comprehensive income, cash flows, and changes in shareholders’ equity for the three-month periods ended March 31, 2024 and 2023,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statement of financial position of Northrop Grumman Corporation and subsidiaries as of December 31, 2023, and the related consolidated statements of earnings and comprehensive income, changes in shareholders’ equity, and cash flows for the year then ended (not presented herein); and in our report dated January 24, 2024, we expressed an unqualified opinion on those consolidated financial statements. In our opinion, the information set forth in the accompanying condensed consolidated statement of financial position as of December 31, 2023, is fairly stated, in all material respects, in relation to the audited consolidated statement of financial position from which it has been derived.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ectPr>
          <w:pgSz w:w="11900" w:h="16838" w:orient="portrait"/>
          <w:cols w:equalWidth="0" w:num="1">
            <w:col w:w="11220"/>
          </w:cols>
          <w:pgMar w:left="320" w:top="1089"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Deloitte &amp; Touche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2024</w:t>
      </w:r>
    </w:p>
    <w:p>
      <w:pPr>
        <w:spacing w:after="0" w:line="200" w:lineRule="exact"/>
        <w:rPr>
          <w:sz w:val="20"/>
          <w:szCs w:val="20"/>
          <w:color w:val="auto"/>
        </w:rPr>
      </w:pPr>
    </w:p>
    <w:p>
      <w:pPr>
        <w:sectPr>
          <w:pgSz w:w="11900" w:h="16838" w:orient="portrait"/>
          <w:cols w:equalWidth="0" w:num="2">
            <w:col w:w="200" w:space="540"/>
            <w:col w:w="10480"/>
          </w:cols>
          <w:pgMar w:left="320" w:top="108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ind w:right="3680"/>
        <w:spacing w:after="0" w:line="31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ind w:right="160"/>
        <w:spacing w:after="0" w:line="253" w:lineRule="auto"/>
        <w:rPr>
          <w:sz w:val="20"/>
          <w:szCs w:val="20"/>
          <w:color w:val="auto"/>
        </w:rPr>
      </w:pPr>
      <w:r>
        <w:rPr>
          <w:rFonts w:ascii="Times New Roman" w:cs="Times New Roman" w:eastAsia="Times New Roman" w:hAnsi="Times New Roman"/>
          <w:sz w:val="18"/>
          <w:szCs w:val="18"/>
          <w:color w:val="auto"/>
        </w:rPr>
        <w:t>Northrop Grumman Corporation (herein referred to as “Northrop Grumman,” the “company,” “we,” “us,” or “our”) is a leading global aerospace and defense technology company. We deliver a broad range of products, services and solutions to United States (U.S.) and international customers, and principally to the U.S Department of Defense (DoD) and intelligence community. Our broad portfolio is aligned to support national security priorities and our solutions equip our customers with capabilities they need to connect, protect and advance humanity.</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is a leading provider of space systems, advanced aircraft, missile defense, advanced weapons and long-range fires capabilities, mission systems, networking and communications, strategic deterrence systems, and breakthrough technologies, such as artificial intelligence, advanced computing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along with the financial statements included in this Form 10-Q, as well as “Management’s Discussion and Analysis of Financial Condition and Results of Operations,” “Liquidity and Capital Resources,” “Quantitative and Qualitative Disclosures About Market Risks” and “Risk Factors” in our 2023 Annual Report on Form 10-K, which provides additional information on our business, the environment in which we operate and our operating results.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Security Environment</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U.S. and its allies continue to face a global security environment of heightened tensions and instability, threats from state and non-state actors, including in particular major global powers, as well as terrorist organizations, increasing nuclear tensions, diverse regional security concerns and political instability. The market for defense products, services and solutions globally is driven by these complex and evolving security challenges, considered in the broader context of political and socioeconomic circumstances and priorities. Our operations and financial performance, as well as demand for our products and services, are impacted by global events, including violence and unrest. The same is true for our suppliers and other business partners.</w:t>
      </w:r>
    </w:p>
    <w:p>
      <w:pPr>
        <w:spacing w:after="0" w:line="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conflict in Ukraine has increased global tensions and instability, highlighted threats and increased global demand, as well as further disrupted global supply chains. We continue to not anticipate significant adverse financial impacts directly from the ongoing conflict. We have experienced, and, while difficult to predict, may continue to experience an increase in demand for certain of our goods and services directly and indirectly related to the conflict in Ukraine, either through direct sales or if the U.S. provides increased military assistance and support to Ukraine.</w:t>
      </w:r>
    </w:p>
    <w:p>
      <w:pPr>
        <w:spacing w:after="0" w:line="9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More recently, hostilities in the Middle East have further heightened global tensions and instability. At this time, it is unknown whether hostilities in this region will escalate into an even larger conflict. We do not have a significant business presence in the region, and therefore do not anticipate significant adverse financial impacts directly from the current conflict.</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More broadly, the ongoing conflicts in Ukraine and the Middle East and threats elsewhere, particularly in the Pacific region, have heightened tensions and highlighted security requirements globally, including in Europe, the Middle East and the Pacific region, as well as the U.S. These conflicts may result in increased demand for defense products and services from allies and partner nations, particularly in those areas. We are actively exploring both opportunities and risks associated with the broader global security environment.</w:t>
      </w:r>
    </w:p>
    <w:p>
      <w:pPr>
        <w:spacing w:after="0" w:line="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the current global security environment highlights the significant national security threats to the U.S. and its allies, and the need for strong deterrence and robust defense capabilities. We believe our capabilities, particularly in space, C4ISR, missile defense, battle management, advanced weapons, and survivable aircraft and mission systems should help our customers in the U.S. and globally defend against current and future threats and, as a result, continue to allow for long-term profitable business growth.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Environment</w:t>
      </w:r>
    </w:p>
    <w:p>
      <w:pPr>
        <w:spacing w:after="0" w:line="31"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18"/>
          <w:szCs w:val="18"/>
          <w:color w:val="auto"/>
        </w:rPr>
        <w:t>Over the past several years, the global economic environment has experienced extraordinary challenges, including inflationary pressures; widespread delays and disruptions in supply chains; business slowdowns or shutdowns; workforce challenges and labor shortfalls; and market volatility. The macroeconomic factors have contributed, and we expect will continue to contribute, to increased costs, delays, disruptions and other performance challenges, as well as increased competing demands for limited resources to address such increased costs and other challenges, for our company, our suppliers and partners, and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continue to work hard to mitigate challenges caused by the macroeconomic environment on our business, including by taking steps to support our suppliers and small businesses and enhancing our workforce through extensive hiring, development and retention efforts. Direct financial impacts on our business related to the broader macroeconomic environment have begun to subside; however, pockets of our business continued to be adversely affected by the macroeconomic environment during the first quarter of 2024. We cannot clearly predict how long these macroeconomic challenges will continue, how they will change over time, or what additional resources will be available, but we expect to see this challenging macroeconomic environment continue to adversely impact the global economy, our customers and suppliers, our industry and our company in 2024.</w:t>
      </w:r>
    </w:p>
    <w:p>
      <w:pPr>
        <w:spacing w:after="0" w:line="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increased interest rates, raising the cost of borrowing for governments, could further impact government spending priorities (in the U.S. and allied countries, in particular), including their demand for defense products. Economic tensions and changes in international trade policies, including higher tariffs on imported goods and materials and renegotiation of free trade agreements, could also further impact the global market for defense products, services and solutions.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Political, Budget and Regulatory Environment</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 U.S. continues to face an uncertain and evolving political, budget and regulatory environment. In particular, it is difficult to predict the specific course of future defense budgets. Current and future requirements related to the conflicts in Ukraine and Israel, threats in the Pacific regions and other security priorities, as well as global inflation, the national debt, and other domestic priorities, among other things, in the U.S. and globally, will continue to impact our customers’ budgets, spending and priorities, and our industry. The U.S. political environment, including the U.S. election cycle, may also impact defense budgets and priorities, issues related to the national debt, and government spending more broadly. We anticipate that issues related to budgetary priorities and defense spending levels, the debt ceiling, and the spending caps imposed by the Fiscal Responsibility Act of 2023 (FRA), particularly with respect to discretionary spending, will continue to be a subject of considerable debate, with a potentially significant impact on our programs and the company.</w:t>
      </w:r>
    </w:p>
    <w:p>
      <w:pPr>
        <w:spacing w:after="0" w:line="7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On March 11, 2024, the Administration released its budget request for FY 2025. The request included $895 billion for national security, $850 billion of which is for the DoD. On March 23, 2024, the President signed into law the Further Consolidated Appropriations Act for FY 2024, which provides funding for government agencies, including $825 billion for the DoD, through September 30, 2024. On April 24, 2024, the President signed into law bills providing $95 billion in supplemental funding for Ukraine, Israel and Indo-Pacific, to include funding for the restock of U.S. munitions and additional capacity.</w:t>
      </w:r>
    </w:p>
    <w:p>
      <w:pPr>
        <w:spacing w:after="0" w:line="4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political environment, federal budget, debt ceiling and regulatory environment are expected to continue to be the subject of considerable debate, especially in light of the ongoing conflicts and heightened global tensions, the inflationary environment and political tensions. The results of those debates could have material impacts on defense spending broadly and the company’s programs in particular. We anticipate that the broader macroeconomic environment, with ongoing inflationary pressures, pockets of labor challenges, and supply chain disruption, among other considerations, will continue to play a significant role in the outcome of these debates and, in turn, on our industry and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Ground-Based Strategic Deterrent (“GBSD” or “Sentinel”) Program Nunn-McCurdy Breach Review</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Due in part to the impact of macroeconomic factors, in January 2024 the customer provided congressional notification that the Sentinel program is currently under a Nunn-McCurdy breach review, which is required when total program cost estimates exceed certain defined thresholds. This notification, which has been driven primarily by increases in construction and procurement cost projections for the Production and Deployment phases, commenced the process to achieve recertification for continuance of the program and update its baseline cost estimates. We are currently executing under a cost-type contract for the Engineering and Manufacturing Development phase, and the Production and Deployment phases are yet to be priced and negotiated. We are continuing to partner with our customer to address this critical 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7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79"/>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35"/>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4"/>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51"/>
        </w:trPr>
        <w:tc>
          <w:tcPr>
            <w:tcW w:w="10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10,133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9,301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r>
      <w:tr>
        <w:trPr>
          <w:trHeight w:val="229"/>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9,062</w:t>
            </w:r>
          </w:p>
        </w:tc>
        <w:tc>
          <w:tcPr>
            <w:tcW w:w="3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8,354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r>
      <w:tr>
        <w:trPr>
          <w:trHeight w:val="230"/>
        </w:trPr>
        <w:tc>
          <w:tcPr>
            <w:tcW w:w="73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costs and expenses as a % of sales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89.4 %</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89.8 %</w:t>
            </w:r>
          </w:p>
        </w:tc>
        <w:tc>
          <w:tcPr>
            <w:tcW w:w="1200" w:type="dxa"/>
            <w:vAlign w:val="bottom"/>
            <w:tcBorders>
              <w:bottom w:val="single" w:sz="8" w:color="auto"/>
            </w:tcBorders>
            <w:shd w:val="clear" w:color="auto" w:fill="CCEEFF"/>
          </w:tcPr>
          <w:p>
            <w:pPr>
              <w:spacing w:after="0"/>
              <w:rPr>
                <w:sz w:val="19"/>
                <w:szCs w:val="19"/>
                <w:color w:val="auto"/>
              </w:rPr>
            </w:pPr>
          </w:p>
        </w:tc>
      </w:tr>
      <w:tr>
        <w:trPr>
          <w:trHeight w:val="22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1,071</w:t>
            </w:r>
          </w:p>
        </w:tc>
        <w:tc>
          <w:tcPr>
            <w:tcW w:w="3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r>
      <w:tr>
        <w:trPr>
          <w:trHeight w:val="229"/>
        </w:trPr>
        <w:tc>
          <w:tcPr>
            <w:tcW w:w="73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10.6 %</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1200" w:type="dxa"/>
            <w:vAlign w:val="bottom"/>
            <w:tcBorders>
              <w:bottom w:val="single" w:sz="8" w:color="auto"/>
            </w:tcBorders>
            <w:shd w:val="clear" w:color="auto" w:fill="CCEEFF"/>
          </w:tcPr>
          <w:p>
            <w:pPr>
              <w:spacing w:after="0"/>
              <w:rPr>
                <w:sz w:val="19"/>
                <w:szCs w:val="19"/>
                <w:color w:val="auto"/>
              </w:rPr>
            </w:pPr>
          </w:p>
        </w:tc>
      </w:tr>
      <w:tr>
        <w:trPr>
          <w:trHeight w:val="22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187</w:t>
            </w:r>
          </w:p>
        </w:tc>
        <w:tc>
          <w:tcPr>
            <w:tcW w:w="3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r>
      <w:tr>
        <w:trPr>
          <w:trHeight w:val="229"/>
        </w:trPr>
        <w:tc>
          <w:tcPr>
            <w:tcW w:w="73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16.5 %</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15.6 %</w:t>
            </w:r>
          </w:p>
        </w:tc>
        <w:tc>
          <w:tcPr>
            <w:tcW w:w="1200" w:type="dxa"/>
            <w:vAlign w:val="bottom"/>
            <w:tcBorders>
              <w:bottom w:val="single" w:sz="8" w:color="auto"/>
            </w:tcBorders>
            <w:shd w:val="clear" w:color="auto" w:fill="CCEEFF"/>
          </w:tcPr>
          <w:p>
            <w:pPr>
              <w:spacing w:after="0"/>
              <w:rPr>
                <w:sz w:val="19"/>
                <w:szCs w:val="19"/>
                <w:color w:val="auto"/>
              </w:rPr>
            </w:pPr>
          </w:p>
        </w:tc>
      </w:tr>
      <w:tr>
        <w:trPr>
          <w:trHeight w:val="223"/>
        </w:trPr>
        <w:tc>
          <w:tcPr>
            <w:tcW w:w="7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944</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842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r>
      <w:tr>
        <w:trPr>
          <w:trHeight w:val="230"/>
        </w:trPr>
        <w:tc>
          <w:tcPr>
            <w:tcW w:w="73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6.32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2024 sales increased $832 million, or 9 percent, due to higher sales at all four sectors, including 18 percent growth at Aeronautics Systems.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2024 sales reflect continued strong demand for our products and services.</w:t>
      </w:r>
    </w:p>
    <w:p>
      <w:pPr>
        <w:spacing w:after="0" w:line="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and “Product and Service Analysis” for product and service detail. See Note 10 to the financial statements for information regarding the company’s sales by customer type, contract type and geographic region for each of our segments.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Margin Rate</w:t>
      </w:r>
    </w:p>
    <w:p>
      <w:pPr>
        <w:spacing w:after="0" w:line="3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First quarter 2024 operating income increased $124 million, or 13 percent, and operating margin rate increased to 10.6 percent, primarily due to higher segment operating income and a benefit associated with the FAS/CAS operating adjustment.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2024 G&amp;A costs as a percentage of sales decreased to 10.5 percent from 11.2 percent in the prior year period primarily due to higher sales.</w:t>
      </w:r>
    </w:p>
    <w:p>
      <w:pPr>
        <w:spacing w:after="0" w:line="10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For information regarding product and service operating costs and expenses, see “Product and Service Analysis” below.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Foreign Income Taxes</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first quarter 2024 ETR increased to 16.5 percent from 15.6 percent in the prior year period principally due to higher interest expense on unrecognized tax benefits. See Note 4 to the financial statements for additional information.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First quarter 2024 net earnings increased $102 million, or 12 percent, primarily due to a 13 percent increase in operating income and a $36 million increase in the non-operating FAS pension benefit, partially offset by a higher effective tax rate.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p>
      <w:pPr>
        <w:spacing w:after="0" w:line="31"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First quarter 2024 diluted earnings per share increased 15 percent, reflecting higher net earnings and a 3 percent reduction in weighted-average diluted shares outstanding.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Aeronautics Systems, Defense Systems, Mission Systems and Space Systems.</w:t>
      </w:r>
    </w:p>
    <w:p>
      <w:pPr>
        <w:spacing w:after="0" w:line="6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Income and Margin Rate</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1,071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r>
      <w:tr>
        <w:trPr>
          <w:trHeight w:val="23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10.6 %</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1340" w:type="dxa"/>
            <w:vAlign w:val="bottom"/>
          </w:tcPr>
          <w:p>
            <w:pPr>
              <w:spacing w:after="0"/>
              <w:rPr>
                <w:sz w:val="19"/>
                <w:szCs w:val="19"/>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segment operating income: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 pension expense</w:t>
            </w:r>
          </w:p>
        </w:tc>
        <w:tc>
          <w:tcPr>
            <w:tcW w:w="1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(66)</w:t>
            </w:r>
          </w:p>
        </w:tc>
        <w:tc>
          <w:tcPr>
            <w:tcW w:w="32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74 %</w:t>
            </w:r>
          </w:p>
        </w:tc>
      </w:tr>
      <w:tr>
        <w:trPr>
          <w:trHeight w:val="230"/>
        </w:trPr>
        <w:tc>
          <w:tcPr>
            <w:tcW w:w="7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FAS pension service expense</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60</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1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3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 and PP&amp;E step-up depreciation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29"/>
        </w:trPr>
        <w:tc>
          <w:tcPr>
            <w:tcW w:w="7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unallocated corporate expense</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250 %</w:t>
            </w:r>
          </w:p>
        </w:tc>
      </w:tr>
      <w:tr>
        <w:trPr>
          <w:trHeight w:val="223"/>
        </w:trPr>
        <w:tc>
          <w:tcPr>
            <w:tcW w:w="7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39</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1,104</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r>
      <w:tr>
        <w:trPr>
          <w:trHeight w:val="237"/>
        </w:trPr>
        <w:tc>
          <w:tcPr>
            <w:tcW w:w="7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Segment operating margin rate</w:t>
            </w: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10.9 %</w:t>
            </w:r>
          </w:p>
        </w:tc>
        <w:tc>
          <w:tcPr>
            <w:tcW w:w="3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10.8 %</w:t>
            </w:r>
          </w:p>
        </w:tc>
        <w:tc>
          <w:tcPr>
            <w:tcW w:w="1340" w:type="dxa"/>
            <w:vAlign w:val="bottom"/>
            <w:tcBorders>
              <w:bottom w:val="single" w:sz="8" w:color="auto"/>
            </w:tcBorders>
            <w:shd w:val="clear" w:color="auto" w:fill="CCEEFF"/>
          </w:tcPr>
          <w:p>
            <w:pPr>
              <w:spacing w:after="0"/>
              <w:rPr>
                <w:sz w:val="20"/>
                <w:szCs w:val="20"/>
                <w:color w:val="auto"/>
              </w:rPr>
            </w:pPr>
          </w:p>
        </w:tc>
      </w:tr>
    </w:tbl>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First quarter 2024 segment operating income increased $102 million, or 10 percent, primarily due to higher sales. Segment operating margin rate increased to 10.9 percent and reflects higher operating margin rates at Aeronautics Systems, Defense Systems and Mission Systems, partially offset by a lower operating margin rate at Space Systems.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FAS/CAS Operating Adjustment</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First quarter 2024 FAS/CAS operating adjustment reflects higher CAS pension expense largely driven by plan asset returns in prior years and changes in certain CAS actuarial assumptions as of December 31, 2023.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Unallocated Corporate Expense</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increase in unallocated corporate expense is primarily due to changes in deferred state taxes largely related to the deferral of research credits under IRC Section 174.</w:t>
      </w:r>
    </w:p>
    <w:p>
      <w:pPr>
        <w:spacing w:after="0" w:line="58"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EAC Adjustments </w:t>
      </w:r>
      <w:r>
        <w:rPr>
          <w:rFonts w:ascii="Times New Roman" w:cs="Times New Roman" w:eastAsia="Times New Roman" w:hAnsi="Times New Roman"/>
          <w:sz w:val="18"/>
          <w:szCs w:val="18"/>
          <w:color w:val="auto"/>
        </w:rPr>
        <w:t>- We record changes in estimated contract earnings at completion (net EAC adjustments) using the cumulative catch-up method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Net EAC adjustments can have a significant effect on segment operating income; the aggregate amounts are presented in the table below:</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960" w:type="dxa"/>
            <w:vAlign w:val="bottom"/>
          </w:tcPr>
          <w:p>
            <w:pPr>
              <w:spacing w:after="0"/>
              <w:rPr>
                <w:sz w:val="18"/>
                <w:szCs w:val="18"/>
                <w:color w:val="auto"/>
              </w:rPr>
            </w:pPr>
          </w:p>
        </w:tc>
        <w:tc>
          <w:tcPr>
            <w:tcW w:w="22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w:t>
            </w:r>
          </w:p>
        </w:tc>
      </w:tr>
      <w:tr>
        <w:trPr>
          <w:trHeight w:val="234"/>
        </w:trPr>
        <w:tc>
          <w:tcPr>
            <w:tcW w:w="8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31</w:t>
            </w:r>
          </w:p>
        </w:tc>
        <w:tc>
          <w:tcPr>
            <w:tcW w:w="820" w:type="dxa"/>
            <w:vAlign w:val="bottom"/>
            <w:tcBorders>
              <w:bottom w:val="single" w:sz="8" w:color="auto"/>
            </w:tcBorders>
          </w:tcPr>
          <w:p>
            <w:pPr>
              <w:spacing w:after="0"/>
              <w:rPr>
                <w:sz w:val="20"/>
                <w:szCs w:val="20"/>
                <w:color w:val="auto"/>
              </w:rPr>
            </w:pPr>
          </w:p>
        </w:tc>
      </w:tr>
      <w:tr>
        <w:trPr>
          <w:trHeight w:val="223"/>
        </w:trPr>
        <w:tc>
          <w:tcPr>
            <w:tcW w:w="8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EAC adjustments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30"/>
        </w:trPr>
        <w:tc>
          <w:tcPr>
            <w:tcW w:w="8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Unfavorable EAC adjustments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(268)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8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EAC adjustments by segment are presented in the table below:</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92"/>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22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w:t>
            </w:r>
          </w:p>
        </w:tc>
      </w:tr>
      <w:tr>
        <w:trPr>
          <w:trHeight w:val="234"/>
        </w:trPr>
        <w:tc>
          <w:tcPr>
            <w:tcW w:w="2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8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2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2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20" w:type="dxa"/>
            <w:vAlign w:val="bottom"/>
          </w:tcPr>
          <w:p>
            <w:pPr>
              <w:spacing w:after="0"/>
              <w:rPr>
                <w:sz w:val="19"/>
                <w:szCs w:val="19"/>
                <w:color w:val="auto"/>
              </w:rPr>
            </w:pPr>
          </w:p>
        </w:tc>
        <w:tc>
          <w:tcPr>
            <w:tcW w:w="8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20"/>
                <w:szCs w:val="20"/>
                <w:color w:val="auto"/>
              </w:rPr>
            </w:pPr>
          </w:p>
        </w:tc>
        <w:tc>
          <w:tcPr>
            <w:tcW w:w="8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17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12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5"/>
        </w:trPr>
        <w:tc>
          <w:tcPr>
            <w:tcW w:w="7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2,969</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18 %</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297</w:t>
            </w:r>
          </w:p>
        </w:tc>
        <w:tc>
          <w:tcPr>
            <w:tcW w:w="3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10.0 %</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9.4 %</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First quarter 2024 sales increased $454 million, or 18 percent, primarily due to higher volume on restricted programs, a $114 million increase on the F-35 program driven by higher volume on sustainment and production contracts, and higher volume on the E-2, Triton and Global Hawk programs. The increases on F-35 and restricted programs are due, in part, to material timing in the first quarter.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First quarter 2024 operating income increased $60 million, or 25 percent, due to higher sales and a higher operating margin rate. Operating margin rate increased to 10.0 percent from 9.4 percent principally due to higher net EAC adjustments largely driven by improved performance and cost efficiencies on certain production programs, including F-35 and F/A-18, which more than offset sales growth on a low margin restricted program.</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12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4"/>
        </w:trPr>
        <w:tc>
          <w:tcPr>
            <w:tcW w:w="7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1,412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177</w:t>
            </w:r>
          </w:p>
        </w:tc>
        <w:tc>
          <w:tcPr>
            <w:tcW w:w="3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12.5 %</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11.6 %</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First quarter 2024 sales increased $36 million, or 3 percent, primarily due to ramp-up on the Stand-in Attack Weapon (SiAW) program and higher volume on Guided Multiple Launch Rocket Systems (GMLRS) and certain military ammunition and cannon systems programs, partially offset by lower volume due to the completion of an international training program.</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First quarter 2024 operating income increased $17 million, or 11 percent, due to a higher operating margin rate and higher sales. Operating margin rate increased to 12.5 percent from 11.6 percent principally due to improved performance driven by changes in contract mix and cost efficiencies.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12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4"/>
        </w:trPr>
        <w:tc>
          <w:tcPr>
            <w:tcW w:w="7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2,659</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378</w:t>
            </w:r>
          </w:p>
        </w:tc>
        <w:tc>
          <w:tcPr>
            <w:tcW w:w="3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14.2 %</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14.0 %</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First quarter 2024 sales increased $96 million, or 4 percent, primarily due to higher restricted sales on advanced microelectronics programs, partially offset by lower sales on the Scalable Agile Beam Radar (SABR) program.</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jc w:val="both"/>
        <w:ind w:right="420"/>
        <w:spacing w:after="0" w:line="255" w:lineRule="auto"/>
        <w:rPr>
          <w:sz w:val="20"/>
          <w:szCs w:val="20"/>
          <w:color w:val="auto"/>
        </w:rPr>
      </w:pPr>
      <w:r>
        <w:rPr>
          <w:rFonts w:ascii="Times New Roman" w:cs="Times New Roman" w:eastAsia="Times New Roman" w:hAnsi="Times New Roman"/>
          <w:sz w:val="18"/>
          <w:szCs w:val="18"/>
          <w:color w:val="auto"/>
        </w:rPr>
        <w:t>First quarter 2024 operating income increased $18 million, or 5 percent, due to higher sales and a higher operating margin rate. Operating margin rate increased to 14.2 percent from 14.0 percent, primarily due to sales growth on higher margin advanced microelectronics programs and a prior year loss related to an unconsolidated joint venture. These benefits were partially offset by lower net EAC adjustments on certain radar production programs.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12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4"/>
        </w:trPr>
        <w:tc>
          <w:tcPr>
            <w:tcW w:w="7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3,655</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3,350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332</w:t>
            </w:r>
          </w:p>
        </w:tc>
        <w:tc>
          <w:tcPr>
            <w:tcW w:w="3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9.1 %</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9.3 %</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First quarter 2024 sales increased $305 million, or 9 percent, primarily due to a $117 million increase on the Space Development Agency (SDA) Tranche 2 Transport Layer (T2TL) programs and higher volume on restricted programs, Commercial Resupply Services (CRS) missions, hypersonics programs and the Glide Phase Interceptor (GPI) program. These increases were partially offset by lower volume on the Ground-based Midcourse Defense (GMD)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First quarter 2024 operating income increased $19 million, or 6 percent, due to higher sales, partially offset by a lower operating margin rate. Operating margin rate decreased to 9.1 percent from 9.3 percent principally due to a prior year benefit from the sale of a license to a customer, partially offset by an improvement in net EAC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SERVICE ANALYSIS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product and service sales and operating costs and expenses by segment: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69"/>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Operating Costs</w:t>
            </w:r>
          </w:p>
        </w:tc>
        <w:tc>
          <w:tcPr>
            <w:tcW w:w="0" w:type="dxa"/>
            <w:vAlign w:val="bottom"/>
          </w:tcPr>
          <w:p>
            <w:pPr>
              <w:spacing w:after="0"/>
              <w:rPr>
                <w:sz w:val="1"/>
                <w:szCs w:val="1"/>
                <w:color w:val="auto"/>
              </w:rPr>
            </w:pPr>
          </w:p>
        </w:tc>
      </w:tr>
      <w:tr>
        <w:trPr>
          <w:trHeight w:val="176"/>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260" w:type="dxa"/>
            <w:vAlign w:val="bottom"/>
          </w:tcPr>
          <w:p>
            <w:pPr>
              <w:spacing w:after="0"/>
              <w:rPr>
                <w:sz w:val="15"/>
                <w:szCs w:val="15"/>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00" w:type="dxa"/>
            <w:vAlign w:val="bottom"/>
          </w:tcPr>
          <w:p>
            <w:pPr>
              <w:spacing w:after="0"/>
              <w:rPr>
                <w:sz w:val="15"/>
                <w:szCs w:val="15"/>
                <w:color w:val="auto"/>
              </w:rPr>
            </w:pPr>
          </w:p>
        </w:tc>
        <w:tc>
          <w:tcPr>
            <w:tcW w:w="9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and Expenses</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2,035</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Aeronautics Systems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2,969</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2,672</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9"/>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Defense Systems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1,412</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1,861</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Mission Systems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2,659</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2,281</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3,211</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30"/>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Space Systems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3,655</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Totals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Product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7,243</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Service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2,031</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1,786</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Segment</w:t>
            </w:r>
            <w:r>
              <w:rPr>
                <w:rFonts w:ascii="Times New Roman" w:cs="Times New Roman" w:eastAsia="Times New Roman" w:hAnsi="Times New Roman"/>
                <w:sz w:val="23"/>
                <w:szCs w:val="23"/>
                <w:b w:val="1"/>
                <w:bCs w:val="1"/>
                <w:color w:val="auto"/>
                <w:vertAlign w:val="superscript"/>
              </w:rPr>
              <w:t>(1)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10,133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9,029</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9,301</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 reconciliation of segment operating income to total operating income is included in “Segment Operating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 and Costs</w:t>
      </w:r>
    </w:p>
    <w:p>
      <w:pPr>
        <w:spacing w:after="0" w:line="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First quarter 2024 product sales increased $831 million, or 11 percent, primarily due to an increase in product sales at all four sectors. The increase was principally driven by higher volume on restricted programs, F-35 and E-2 at Aeronautics Systems, growth on SDA T2TL and restricted programs at Space Systems, higher volume on the SiAW and GMLRS programs at Defense Systems, and higher restricted sales at Mission Systems.</w:t>
      </w:r>
    </w:p>
    <w:p>
      <w:pPr>
        <w:spacing w:after="0" w:line="51" w:lineRule="exact"/>
        <w:rPr>
          <w:sz w:val="20"/>
          <w:szCs w:val="20"/>
          <w:color w:val="auto"/>
        </w:rPr>
      </w:pPr>
    </w:p>
    <w:p>
      <w:pPr>
        <w:ind w:right="2020"/>
        <w:spacing w:after="0" w:line="308" w:lineRule="auto"/>
        <w:rPr>
          <w:sz w:val="20"/>
          <w:szCs w:val="20"/>
          <w:color w:val="auto"/>
        </w:rPr>
      </w:pPr>
      <w:r>
        <w:rPr>
          <w:rFonts w:ascii="Times New Roman" w:cs="Times New Roman" w:eastAsia="Times New Roman" w:hAnsi="Times New Roman"/>
          <w:sz w:val="18"/>
          <w:szCs w:val="18"/>
          <w:color w:val="auto"/>
        </w:rPr>
        <w:t xml:space="preserve">First quarter 2024 product costs increased $733 million, or 11 percent, consistent with the higher product sales described above. </w:t>
      </w:r>
      <w:r>
        <w:rPr>
          <w:rFonts w:ascii="Times New Roman" w:cs="Times New Roman" w:eastAsia="Times New Roman" w:hAnsi="Times New Roman"/>
          <w:sz w:val="18"/>
          <w:szCs w:val="18"/>
          <w:b w:val="1"/>
          <w:bCs w:val="1"/>
          <w:color w:val="auto"/>
        </w:rPr>
        <w:t>Service Sales and Costs</w:t>
      </w:r>
    </w:p>
    <w:p>
      <w:pPr>
        <w:ind w:right="260"/>
        <w:spacing w:after="0" w:line="255" w:lineRule="auto"/>
        <w:rPr>
          <w:sz w:val="20"/>
          <w:szCs w:val="20"/>
          <w:color w:val="auto"/>
        </w:rPr>
      </w:pPr>
      <w:r>
        <w:rPr>
          <w:rFonts w:ascii="Times New Roman" w:cs="Times New Roman" w:eastAsia="Times New Roman" w:hAnsi="Times New Roman"/>
          <w:sz w:val="18"/>
          <w:szCs w:val="18"/>
          <w:color w:val="auto"/>
        </w:rPr>
        <w:t>First quarter 2024 service sales were comparable to the prior year period and reflect an increase in service sales at Aeronautics Systems driven by higher volume on restricted programs and the Global Hawk program, partially offset by a decrease in service sales at Defense Systems principally due to the completion of an international training program.</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2024 service costs were comparable to the prior year period, consistent with the service sales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consisted of the following as of March 31, 2024 and December 31,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2023</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90"/>
              <w:spacing w:after="0" w:line="174"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190"/>
              <w:spacing w:after="0" w:line="174" w:lineRule="exact"/>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Pr>
          <w:p>
            <w:pPr>
              <w:spacing w:after="0"/>
              <w:rPr>
                <w:sz w:val="15"/>
                <w:szCs w:val="15"/>
                <w:color w:val="auto"/>
              </w:rPr>
            </w:pPr>
          </w:p>
        </w:tc>
        <w:tc>
          <w:tcPr>
            <w:tcW w:w="1340" w:type="dxa"/>
            <w:vAlign w:val="bottom"/>
          </w:tcPr>
          <w:p>
            <w:pPr>
              <w:jc w:val="right"/>
              <w:ind w:right="110"/>
              <w:spacing w:after="0" w:line="174" w:lineRule="exact"/>
              <w:rPr>
                <w:sz w:val="20"/>
                <w:szCs w:val="20"/>
                <w:color w:val="auto"/>
              </w:rPr>
            </w:pPr>
            <w:r>
              <w:rPr>
                <w:rFonts w:ascii="Times New Roman" w:cs="Times New Roman" w:eastAsia="Times New Roman" w:hAnsi="Times New Roman"/>
                <w:sz w:val="18"/>
                <w:szCs w:val="18"/>
                <w:color w:val="auto"/>
              </w:rPr>
              <w:t>% Change in</w:t>
            </w:r>
          </w:p>
        </w:tc>
        <w:tc>
          <w:tcPr>
            <w:tcW w:w="0" w:type="dxa"/>
            <w:vAlign w:val="bottom"/>
          </w:tcPr>
          <w:p>
            <w:pPr>
              <w:spacing w:after="0"/>
              <w:rPr>
                <w:sz w:val="1"/>
                <w:szCs w:val="1"/>
                <w:color w:val="auto"/>
              </w:rPr>
            </w:pPr>
          </w:p>
        </w:tc>
      </w:tr>
      <w:tr>
        <w:trPr>
          <w:trHeight w:val="238"/>
        </w:trPr>
        <w:tc>
          <w:tcPr>
            <w:tcW w:w="44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Backlog</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Backlog</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9,750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6,042</w:t>
            </w:r>
          </w:p>
        </w:tc>
        <w:tc>
          <w:tcPr>
            <w:tcW w:w="2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1,709</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10,838</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4,898</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9,386</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27,085</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36,471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40,475</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35,478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43,442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78,920</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84,230</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January 2024, the company received a termination for convenience in our restricted Space business. The company reduced unfunded backlog by $1.6 billion during the first quarter of 2024 related to the termination.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Awards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First quarter 2024 net awards totaled $6.5 billion and backlog totaled $78.9 billion. Significant first quarter new awards include $3.1 billion for restricted programs (primarily at Aeronautics Systems, Space Systems, and Mission Systems).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focused on the efficient conversion of operating income into cash to provide for the company’s material cash requirements, including working capital needs, satisfaction of contractual commitments, funding of our pension and OPB plans, investment in our business through capital expenditures, and shareholder return through dividend payments and share repurchases.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March 31, 2024, we had $3.1 billion in cash and cash equivalents. We expect cash and cash equivalents and cash generated from operating activities, supplemented by borrowings under credit facilities, commercial paper and/or in the capital markets through our shelf registration with the SEC, if needed, to be sufficient to provide liquidity to the company in the short-term and long-term. The company has a five-year senior unsecured credit facility in an aggregate principal amount of $2.5 billion, and in April 2024, we renewed our one-year $500 million uncommitted credit facility. At March 31, 2024, there were no borrowings outstanding under these credit facilities. In January 2024, we issued $2.5 billion of unsecured senior notes for general corporate purposes, including debt repayment, share repurchases and working capital.</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IRC Section 174</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Beginning in 2022, the Tax Cuts and Jobs Act of 2017 (“TCJA”) eliminated the option to deduct research and development expenditures in the current year and requires taxpayers to amortize them over five years pursuant to IRC Section 174. Our 2023 cash from operations were reduced by approximately $500 million for federal estimated tax payments we made related to Section 174. Congress is considering legislation that would defer the amortization requirement to later years, possibly with retroactive effect. In the meantime, we expect to continue to make additional federal tax payments based on the current Section 174 tax law, which we estimate will reduce our 2024 cash from operations by approximately $350 million. The impact of Section 174 on our cash from operations depends on the amount of research and development expenditures incurred by the company and whether the IRS issues guidance on the provision which differs from our current interpretation, among other things.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Measures</w:t>
      </w:r>
    </w:p>
    <w:p>
      <w:pPr>
        <w:spacing w:after="0" w:line="3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In addition to our cash position, we consider various cash flow measures in capital deployment decision-making, including cash provided by operating activities and free cash flow, a non-GAAP measure described in more detail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summarizes key components of cash used in operating activities: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820" w:type="dxa"/>
            <w:vAlign w:val="bottom"/>
            <w:tcBorders>
              <w:bottom w:val="single" w:sz="8" w:color="auto"/>
            </w:tcBorders>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items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103</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186 %</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trade working capital</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depreciation and amortization, non-cash lease expense, stock based compensation expense, deferred income taxes and net periodic pension and OPB income.</w:t>
      </w:r>
    </w:p>
    <w:p>
      <w:pPr>
        <w:spacing w:after="0" w:line="7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First quarter 2024 net cash used in operating activities was comparable with the prior year period. Higher net earnings were offset by changes in trade working capital. The net use of cash during the first quarter is consistent with the company’s historical timing of operating cash flows, which are generally more heavily weighted towards the second half of the year.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Free cash flow, as reconciled in the table below, is a non-GAAP measure defined as net cash provided by or used in operating activities less capital expenditures, and may not be defined and calculated by other companies in the same manner. We use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net cash used in operating activities to free cash flow: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8"/>
                <w:szCs w:val="18"/>
                <w:color w:val="auto"/>
              </w:rPr>
            </w:pPr>
          </w:p>
        </w:tc>
        <w:tc>
          <w:tcPr>
            <w:tcW w:w="22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31</w:t>
            </w:r>
          </w:p>
        </w:tc>
        <w:tc>
          <w:tcPr>
            <w:tcW w:w="840" w:type="dxa"/>
            <w:vAlign w:val="bottom"/>
            <w:tcBorders>
              <w:bottom w:val="single" w:sz="8" w:color="auto"/>
            </w:tcBorders>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(976)</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First quarter 2024 free cash flow increased $35 million, or 3 percent, as compared with the same period in 2023 principally due to lower capital expenditures.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w:t>
      </w:r>
    </w:p>
    <w:p>
      <w:pPr>
        <w:spacing w:after="0" w:line="3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First quarter 2024 net cash used in investing activities decreased $40 million as compared with the same period in 2023 principally due to lower capital expenditures largely driven by timing.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First quarter 2024 net cash provided by financing activities was comparable with the prior year period and reflects a $500 million increase in proceeds from long-term debt, partially offset by a $467 million increase in share repurchases.</w:t>
      </w:r>
    </w:p>
    <w:p>
      <w:pPr>
        <w:spacing w:after="0" w:line="44"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Commercial Paper and Financial Arrangements - </w:t>
      </w:r>
      <w:r>
        <w:rPr>
          <w:rFonts w:ascii="Times New Roman" w:cs="Times New Roman" w:eastAsia="Times New Roman" w:hAnsi="Times New Roman"/>
          <w:sz w:val="18"/>
          <w:szCs w:val="18"/>
          <w:color w:val="auto"/>
        </w:rPr>
        <w:t>See Note 7 to the financial statements for further information on our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paper and our use of standby letters of credit and guarantees.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 See Note 2 to the financial statements for further information on our share repurchase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 See Note 5 to the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discussed in our 2023 Annual Report on Form 10-K.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PROJECTIONS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2023 Annual Report on Form 10-K and from time to time in our other filings with the SEC. These risks and uncertainties are amplified by the global macroeconomic, security and political environments, including inflationary pressures, labor and supply chain challenges, which have caused and will continue to cause significant challenges, instability and uncertainty. They include: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and Economic Risks</w:t>
      </w:r>
    </w:p>
    <w:p>
      <w:pPr>
        <w:spacing w:after="0" w:line="104"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U.S. government for a substantial portion of our business</w:t>
      </w:r>
    </w:p>
    <w:p>
      <w:pPr>
        <w:spacing w:after="0" w:line="103" w:lineRule="exact"/>
        <w:rPr>
          <w:rFonts w:ascii="Times New Roman" w:cs="Times New Roman" w:eastAsia="Times New Roman" w:hAnsi="Times New Roman"/>
          <w:sz w:val="18"/>
          <w:szCs w:val="18"/>
          <w:color w:val="auto"/>
        </w:rPr>
      </w:pPr>
    </w:p>
    <w:p>
      <w:pPr>
        <w:ind w:left="340" w:right="60" w:hanging="332"/>
        <w:spacing w:after="0" w:line="312" w:lineRule="auto"/>
        <w:tabs>
          <w:tab w:leader="none" w:pos="3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delays or reductions in appropriations and/or for our programs, and U.S. government funding and program support more broadly, including as a result of a prolonged continuing resolution and/or government shutdown, and/or related to the global security environment or other global events</w:t>
      </w:r>
    </w:p>
    <w:p>
      <w:pPr>
        <w:spacing w:after="0" w:line="4"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or reductions in payments as a result of or related to a breach of the debt ceiling</w:t>
      </w:r>
    </w:p>
    <w:p>
      <w:pPr>
        <w:spacing w:after="0" w:line="103" w:lineRule="exact"/>
        <w:rPr>
          <w:rFonts w:ascii="Times New Roman" w:cs="Times New Roman" w:eastAsia="Times New Roman" w:hAnsi="Times New Roman"/>
          <w:sz w:val="18"/>
          <w:szCs w:val="18"/>
          <w:color w:val="auto"/>
        </w:rPr>
      </w:pPr>
    </w:p>
    <w:p>
      <w:pPr>
        <w:ind w:left="340" w:right="140" w:hanging="332"/>
        <w:spacing w:after="0" w:line="261"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and/or other macroeconomic factors, and risks related to management’s judgments and assumptions in estimating and/or projecting contract revenue and performance which may be inaccurate</w:t>
      </w:r>
    </w:p>
    <w:p>
      <w:pPr>
        <w:spacing w:after="0" w:line="5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pressures from macroeconomic trends, including on costs, schedules, performance and ability to meet expectations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our markets and bid protests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and Regulatory Risks</w:t>
      </w:r>
    </w:p>
    <w:p>
      <w:pPr>
        <w:spacing w:after="0" w:line="104"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(including criminal, civil and administrative) and/or other legal proceedings</w:t>
      </w:r>
    </w:p>
    <w:p>
      <w:pPr>
        <w:spacing w:after="0" w:line="90"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improper conduct of employees, agents, subcontractors, suppliers, business partners or joint ventures in which we participate, including the impact on our reputation and our ability to do business</w:t>
      </w:r>
    </w:p>
    <w:p>
      <w:pPr>
        <w:spacing w:after="0" w:line="40"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procurement and other laws, SEC, DoD and other rules and regulations, contract terms and practices applicable to our industry, findings by the U.S. government as to our compliance with such requirements, more aggressive enforcement of such requirements and changes in our customers’ business practices globally</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including climate change, unforeseen environmental costs and government and third party claims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provisions or exposure to additional tax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Operational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and other security threats or disruptions faced by us, our customers or our suppliers and other partners, and changes in related regulations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qualified, talented and diverse workforce with the necessary security clearances to meet our performance obligations</w:t>
      </w:r>
    </w:p>
    <w:p>
      <w:pPr>
        <w:spacing w:after="0" w:line="90"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viability of our subcontractors and suppliers and the availability and pricing of raw materials and components, particularly with inflationary pressures, increased costs, shortages in labor and financial resources, supply chain disruptions, and extended material lead times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related to health epidemics and pandemics and similar outbreaks</w:t>
      </w:r>
    </w:p>
    <w:p>
      <w:pPr>
        <w:spacing w:after="0" w:line="103"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additional risks as a result of our international business, including risks related to global security, geopolitical and economic factors, misconduct, suppliers, laws and regulations</w:t>
      </w:r>
    </w:p>
    <w:p>
      <w:pPr>
        <w:spacing w:after="0" w:line="26"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develop new products and technologies, progress and benefit from digital transformation and maintain technologies to meet the needs of our customers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103"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2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appropriately to exploit and/or protect intellectual property rights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Other Risk Factors</w:t>
      </w:r>
    </w:p>
    <w:p>
      <w:pPr>
        <w:spacing w:after="0" w:line="104"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and availability of, and ability to obtain, insurance coverage, customer indemnifications or other liability protections</w:t>
      </w:r>
    </w:p>
    <w:p>
      <w:pPr>
        <w:spacing w:after="0" w:line="90" w:lineRule="exact"/>
        <w:rPr>
          <w:rFonts w:ascii="Times New Roman" w:cs="Times New Roman" w:eastAsia="Times New Roman" w:hAnsi="Times New Roman"/>
          <w:sz w:val="18"/>
          <w:szCs w:val="18"/>
          <w:color w:val="auto"/>
        </w:rPr>
      </w:pPr>
    </w:p>
    <w:p>
      <w:pPr>
        <w:ind w:left="340" w:right="300" w:hanging="332"/>
        <w:spacing w:after="0" w:line="266" w:lineRule="auto"/>
        <w:tabs>
          <w:tab w:leader="none" w:pos="33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spacing w:after="0" w:line="54" w:lineRule="exact"/>
        <w:rPr>
          <w:rFonts w:ascii="Times New Roman" w:cs="Times New Roman" w:eastAsia="Times New Roman" w:hAnsi="Times New Roman"/>
          <w:sz w:val="18"/>
          <w:szCs w:val="18"/>
          <w:i w:val="1"/>
          <w:iCs w:val="1"/>
          <w:color w:val="auto"/>
        </w:rPr>
      </w:pPr>
    </w:p>
    <w:p>
      <w:pPr>
        <w:ind w:left="340" w:right="42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conditions that could impact business investments and/or recorded goodwill or the value of other long-lived assets, and other potential future liabilities</w:t>
      </w:r>
    </w:p>
    <w:p>
      <w:pPr>
        <w:spacing w:after="0" w:line="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urge you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risks from those discussed in our 2023 Annual Report on Form 10-K.</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March 31, 2024,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During the three months ended March 31, 2024, no changes occurred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information about certain legal proceedings in which we are involved in Notes 6 and 7 to the financial statements.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6 and 7 to the financial statements, and for further information on the risks we face from existing and future investigations, lawsuits, arbitration, claims, enforcement actions and other legal proceedings, please see “Risk Factors” in our 2023 Annual Report on Form 10-K.</w:t>
      </w:r>
    </w:p>
    <w:p>
      <w:pPr>
        <w:spacing w:after="0" w:line="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our risk factors please see the section entitled “Risk Factors” in our 2023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repurchases of common stock during the three months ended March 31,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20" w:type="dxa"/>
            <w:vAlign w:val="bottom"/>
          </w:tcPr>
          <w:p>
            <w:pPr>
              <w:jc w:val="center"/>
              <w:ind w:right="190"/>
              <w:spacing w:after="0" w:line="180"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20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20" w:type="dxa"/>
            <w:vAlign w:val="bottom"/>
          </w:tcPr>
          <w:p>
            <w:pPr>
              <w:jc w:val="center"/>
              <w:ind w:right="19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0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Shares that May</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2180" w:type="dxa"/>
            <w:vAlign w:val="bottom"/>
            <w:vMerge w:val="restart"/>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6"/>
              </w:rPr>
              <w:t>Total Number</w:t>
            </w:r>
          </w:p>
        </w:tc>
        <w:tc>
          <w:tcPr>
            <w:tcW w:w="1460" w:type="dxa"/>
            <w:vAlign w:val="bottom"/>
            <w:gridSpan w:val="2"/>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92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218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92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under the</w:t>
            </w:r>
          </w:p>
        </w:tc>
        <w:tc>
          <w:tcPr>
            <w:tcW w:w="0" w:type="dxa"/>
            <w:vAlign w:val="bottom"/>
          </w:tcPr>
          <w:p>
            <w:pPr>
              <w:spacing w:after="0"/>
              <w:rPr>
                <w:sz w:val="1"/>
                <w:szCs w:val="1"/>
                <w:color w:val="auto"/>
              </w:rPr>
            </w:pPr>
          </w:p>
        </w:tc>
      </w:tr>
      <w:tr>
        <w:trPr>
          <w:trHeight w:val="189"/>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80" w:type="dxa"/>
            <w:vAlign w:val="bottom"/>
          </w:tcPr>
          <w:p>
            <w:pPr>
              <w:jc w:val="center"/>
              <w:ind w:left="5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260" w:type="dxa"/>
            <w:vAlign w:val="bottom"/>
          </w:tcPr>
          <w:p>
            <w:pPr>
              <w:spacing w:after="0"/>
              <w:rPr>
                <w:sz w:val="16"/>
                <w:szCs w:val="16"/>
                <w:color w:val="auto"/>
              </w:rPr>
            </w:pPr>
          </w:p>
        </w:tc>
        <w:tc>
          <w:tcPr>
            <w:tcW w:w="1200" w:type="dxa"/>
            <w:vAlign w:val="bottom"/>
          </w:tcPr>
          <w:p>
            <w:pPr>
              <w:jc w:val="center"/>
              <w:ind w:right="310"/>
              <w:spacing w:after="0" w:line="189" w:lineRule="exact"/>
              <w:rPr>
                <w:sz w:val="20"/>
                <w:szCs w:val="20"/>
                <w:color w:val="auto"/>
              </w:rPr>
            </w:pPr>
            <w:r>
              <w:rPr>
                <w:rFonts w:ascii="Times New Roman" w:cs="Times New Roman" w:eastAsia="Times New Roman" w:hAnsi="Times New Roman"/>
                <w:sz w:val="18"/>
                <w:szCs w:val="18"/>
                <w:b w:val="1"/>
                <w:bCs w:val="1"/>
                <w:color w:val="auto"/>
              </w:rPr>
              <w:t>Paid per</w:t>
            </w:r>
          </w:p>
        </w:tc>
        <w:tc>
          <w:tcPr>
            <w:tcW w:w="192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20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auto"/>
            </w:tcBorders>
            <w:vMerge w:val="continue"/>
          </w:tcPr>
          <w:p>
            <w:pPr>
              <w:spacing w:after="0"/>
              <w:rPr>
                <w:sz w:val="19"/>
                <w:szCs w:val="19"/>
                <w:color w:val="auto"/>
              </w:rPr>
            </w:pPr>
          </w:p>
        </w:tc>
        <w:tc>
          <w:tcPr>
            <w:tcW w:w="218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90"/>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Share</w:t>
            </w:r>
            <w:r>
              <w:rPr>
                <w:rFonts w:ascii="Times New Roman" w:cs="Times New Roman" w:eastAsia="Times New Roman" w:hAnsi="Times New Roman"/>
                <w:sz w:val="10"/>
                <w:szCs w:val="10"/>
                <w:b w:val="1"/>
                <w:bCs w:val="1"/>
                <w:color w:val="auto"/>
              </w:rPr>
              <w:t>(1)(2)</w:t>
            </w:r>
          </w:p>
        </w:tc>
        <w:tc>
          <w:tcPr>
            <w:tcW w:w="19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2024 - January 26, 2024</w:t>
            </w:r>
          </w:p>
        </w:tc>
        <w:tc>
          <w:tcPr>
            <w:tcW w:w="2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116,315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465.22</w:t>
            </w:r>
          </w:p>
        </w:tc>
        <w:tc>
          <w:tcPr>
            <w:tcW w:w="1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116,315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27, 2024 - February 23, 2024</w:t>
            </w:r>
          </w:p>
        </w:tc>
        <w:tc>
          <w:tcPr>
            <w:tcW w:w="2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1,971,110</w:t>
            </w:r>
          </w:p>
        </w:tc>
        <w:tc>
          <w:tcPr>
            <w:tcW w:w="260" w:type="dxa"/>
            <w:vAlign w:val="bottom"/>
          </w:tcPr>
          <w:p>
            <w:pPr>
              <w:spacing w:after="0"/>
              <w:rPr>
                <w:sz w:val="19"/>
                <w:szCs w:val="19"/>
                <w:color w:val="auto"/>
              </w:rPr>
            </w:pPr>
          </w:p>
        </w:tc>
        <w:tc>
          <w:tcPr>
            <w:tcW w:w="1200" w:type="dxa"/>
            <w:vAlign w:val="bottom"/>
          </w:tcPr>
          <w:p>
            <w:pPr>
              <w:jc w:val="right"/>
              <w:ind w:right="150"/>
              <w:spacing w:after="0" w:line="230" w:lineRule="exact"/>
              <w:rPr>
                <w:sz w:val="20"/>
                <w:szCs w:val="20"/>
                <w:color w:val="auto"/>
              </w:rPr>
            </w:pPr>
            <w:r>
              <w:rPr>
                <w:rFonts w:ascii="Times New Roman" w:cs="Times New Roman" w:eastAsia="Times New Roman" w:hAnsi="Times New Roman"/>
                <w:sz w:val="26"/>
                <w:szCs w:val="26"/>
                <w:color w:val="auto"/>
                <w:vertAlign w:val="subscript"/>
              </w:rPr>
              <w:t>NM</w:t>
            </w:r>
            <w:r>
              <w:rPr>
                <w:rFonts w:ascii="Times New Roman" w:cs="Times New Roman" w:eastAsia="Times New Roman" w:hAnsi="Times New Roman"/>
                <w:sz w:val="10"/>
                <w:szCs w:val="10"/>
                <w:color w:val="auto"/>
              </w:rPr>
              <w:t>(2)</w:t>
            </w:r>
          </w:p>
        </w:tc>
        <w:tc>
          <w:tcPr>
            <w:tcW w:w="1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1,971,110</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24, 2024 - March 29, 2024</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129,283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462.44</w:t>
            </w:r>
          </w:p>
        </w:tc>
        <w:tc>
          <w:tcPr>
            <w:tcW w:w="19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129,283</w:t>
            </w: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2,216,708</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0"/>
              <w:spacing w:after="0" w:line="223"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(2)</w:t>
            </w:r>
          </w:p>
        </w:tc>
        <w:tc>
          <w:tcPr>
            <w:tcW w:w="1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2,216,708</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commissions paid and other costs of execution, including taxes.</w:t>
      </w:r>
    </w:p>
    <w:p>
      <w:pPr>
        <w:spacing w:after="0" w:line="73" w:lineRule="exact"/>
        <w:rPr>
          <w:rFonts w:ascii="Times New Roman" w:cs="Times New Roman" w:eastAsia="Times New Roman" w:hAnsi="Times New Roman"/>
          <w:sz w:val="19"/>
          <w:szCs w:val="19"/>
          <w:color w:val="auto"/>
          <w:vertAlign w:val="superscript"/>
        </w:rPr>
      </w:pPr>
    </w:p>
    <w:p>
      <w:pPr>
        <w:ind w:left="180" w:right="520" w:hanging="172"/>
        <w:spacing w:after="0" w:line="254" w:lineRule="auto"/>
        <w:tabs>
          <w:tab w:leader="none" w:pos="168"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During the first quarter of 2024, the company entered into an accelerated share repurchase (ASR) agreement with Morgan Stanley to repurchase $1.0 billion of the company’s common stock and received an initial delivery of shares representing 80 percent of the share repurchase agreement.</w:t>
      </w:r>
    </w:p>
    <w:p>
      <w:pPr>
        <w:spacing w:after="0" w:line="56"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financial statements for further information on our share repurchase programs.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Consistent with Item 408 of Regulation S-K, the following table reflects Rule 10b5-1 trading arrangements and non-Rule 10b5-1 trading arrangements (as defined in Item 408) entered into by any director or officer (as defined in Rule 16a-1(f) of the Exchange Act) during the quarter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Type of Trading</w:t>
            </w:r>
          </w:p>
        </w:tc>
        <w:tc>
          <w:tcPr>
            <w:tcW w:w="14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1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Aggregate Number of</w:t>
            </w:r>
          </w:p>
        </w:tc>
        <w:tc>
          <w:tcPr>
            <w:tcW w:w="0" w:type="dxa"/>
            <w:vAlign w:val="bottom"/>
          </w:tcPr>
          <w:p>
            <w:pPr>
              <w:spacing w:after="0"/>
              <w:rPr>
                <w:sz w:val="1"/>
                <w:szCs w:val="1"/>
                <w:color w:val="auto"/>
              </w:rPr>
            </w:pPr>
          </w:p>
        </w:tc>
      </w:tr>
      <w:tr>
        <w:trPr>
          <w:trHeight w:val="176"/>
        </w:trPr>
        <w:tc>
          <w:tcPr>
            <w:tcW w:w="248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Date of Adoption</w:t>
            </w:r>
          </w:p>
        </w:tc>
        <w:tc>
          <w:tcPr>
            <w:tcW w:w="37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Expiration Date of Trading Arrangement</w:t>
            </w:r>
          </w:p>
        </w:tc>
        <w:tc>
          <w:tcPr>
            <w:tcW w:w="21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Securities to Be Purchased</w:t>
            </w:r>
          </w:p>
        </w:tc>
        <w:tc>
          <w:tcPr>
            <w:tcW w:w="0" w:type="dxa"/>
            <w:vAlign w:val="bottom"/>
          </w:tcPr>
          <w:p>
            <w:pPr>
              <w:spacing w:after="0"/>
              <w:rPr>
                <w:sz w:val="1"/>
                <w:szCs w:val="1"/>
                <w:color w:val="auto"/>
              </w:rPr>
            </w:pPr>
          </w:p>
        </w:tc>
      </w:tr>
      <w:tr>
        <w:trPr>
          <w:trHeight w:val="243"/>
        </w:trPr>
        <w:tc>
          <w:tcPr>
            <w:tcW w:w="24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460" w:type="dxa"/>
            <w:vAlign w:val="bottom"/>
            <w:tcBorders>
              <w:bottom w:val="single" w:sz="8" w:color="auto"/>
            </w:tcBorders>
            <w:vMerge w:val="continue"/>
          </w:tcPr>
          <w:p>
            <w:pPr>
              <w:spacing w:after="0"/>
              <w:rPr>
                <w:sz w:val="21"/>
                <w:szCs w:val="21"/>
                <w:color w:val="auto"/>
              </w:rPr>
            </w:pPr>
          </w:p>
        </w:tc>
        <w:tc>
          <w:tcPr>
            <w:tcW w:w="3720" w:type="dxa"/>
            <w:vAlign w:val="bottom"/>
            <w:tcBorders>
              <w:bottom w:val="single" w:sz="8" w:color="auto"/>
            </w:tcBorders>
            <w:vMerge w:val="continue"/>
          </w:tcPr>
          <w:p>
            <w:pPr>
              <w:spacing w:after="0"/>
              <w:rPr>
                <w:sz w:val="21"/>
                <w:szCs w:val="21"/>
                <w:color w:val="auto"/>
              </w:rPr>
            </w:pPr>
          </w:p>
        </w:tc>
        <w:tc>
          <w:tcPr>
            <w:tcW w:w="21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or Sold</w:t>
            </w:r>
          </w:p>
        </w:tc>
        <w:tc>
          <w:tcPr>
            <w:tcW w:w="0" w:type="dxa"/>
            <w:vAlign w:val="bottom"/>
          </w:tcPr>
          <w:p>
            <w:pPr>
              <w:spacing w:after="0"/>
              <w:rPr>
                <w:sz w:val="1"/>
                <w:szCs w:val="1"/>
                <w:color w:val="auto"/>
              </w:rPr>
            </w:pPr>
          </w:p>
        </w:tc>
      </w:tr>
      <w:tr>
        <w:trPr>
          <w:trHeight w:val="169"/>
        </w:trPr>
        <w:tc>
          <w:tcPr>
            <w:tcW w:w="24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Thomas H. Jones</w:t>
            </w:r>
          </w:p>
        </w:tc>
        <w:tc>
          <w:tcPr>
            <w:tcW w:w="14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Rule 10b5-1</w:t>
            </w:r>
          </w:p>
        </w:tc>
        <w:tc>
          <w:tcPr>
            <w:tcW w:w="5180" w:type="dxa"/>
            <w:vAlign w:val="bottom"/>
            <w:gridSpan w:val="2"/>
            <w:shd w:val="clear" w:color="auto" w:fill="CCEEFF"/>
          </w:tcPr>
          <w:p>
            <w:pPr>
              <w:ind w:left="240"/>
              <w:spacing w:after="0" w:line="169" w:lineRule="exact"/>
              <w:rPr>
                <w:sz w:val="20"/>
                <w:szCs w:val="20"/>
                <w:color w:val="auto"/>
              </w:rPr>
            </w:pPr>
            <w:r>
              <w:rPr>
                <w:rFonts w:ascii="Times New Roman" w:cs="Times New Roman" w:eastAsia="Times New Roman" w:hAnsi="Times New Roman"/>
                <w:sz w:val="18"/>
                <w:szCs w:val="18"/>
                <w:color w:val="auto"/>
              </w:rPr>
              <w:t>March 7, 2024  Until March 5, 2025 or such earlier date upon the</w:t>
            </w:r>
          </w:p>
        </w:tc>
        <w:tc>
          <w:tcPr>
            <w:tcW w:w="212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Sale of 4,167 shares of</w:t>
            </w:r>
          </w:p>
        </w:tc>
        <w:tc>
          <w:tcPr>
            <w:tcW w:w="0" w:type="dxa"/>
            <w:vAlign w:val="bottom"/>
          </w:tcPr>
          <w:p>
            <w:pPr>
              <w:spacing w:after="0"/>
              <w:rPr>
                <w:sz w:val="1"/>
                <w:szCs w:val="1"/>
                <w:color w:val="auto"/>
              </w:rPr>
            </w:pPr>
          </w:p>
        </w:tc>
      </w:tr>
      <w:tr>
        <w:trPr>
          <w:trHeight w:val="184"/>
        </w:trPr>
        <w:tc>
          <w:tcPr>
            <w:tcW w:w="2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Vice President and</w:t>
            </w:r>
          </w:p>
        </w:tc>
        <w:tc>
          <w:tcPr>
            <w:tcW w:w="14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Trading</w:t>
            </w:r>
          </w:p>
        </w:tc>
        <w:tc>
          <w:tcPr>
            <w:tcW w:w="1460" w:type="dxa"/>
            <w:vAlign w:val="bottom"/>
            <w:shd w:val="clear" w:color="auto" w:fill="CCEEFF"/>
          </w:tcPr>
          <w:p>
            <w:pPr>
              <w:spacing w:after="0"/>
              <w:rPr>
                <w:sz w:val="16"/>
                <w:szCs w:val="16"/>
                <w:color w:val="auto"/>
              </w:rPr>
            </w:pPr>
          </w:p>
        </w:tc>
        <w:tc>
          <w:tcPr>
            <w:tcW w:w="372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completion of all trades under the plan (or the</w:t>
            </w:r>
          </w:p>
        </w:tc>
        <w:tc>
          <w:tcPr>
            <w:tcW w:w="212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common stock</w:t>
            </w:r>
          </w:p>
        </w:tc>
        <w:tc>
          <w:tcPr>
            <w:tcW w:w="0" w:type="dxa"/>
            <w:vAlign w:val="bottom"/>
          </w:tcPr>
          <w:p>
            <w:pPr>
              <w:spacing w:after="0"/>
              <w:rPr>
                <w:sz w:val="1"/>
                <w:szCs w:val="1"/>
                <w:color w:val="auto"/>
              </w:rPr>
            </w:pPr>
          </w:p>
        </w:tc>
      </w:tr>
      <w:tr>
        <w:trPr>
          <w:trHeight w:val="59"/>
        </w:trPr>
        <w:tc>
          <w:tcPr>
            <w:tcW w:w="2480" w:type="dxa"/>
            <w:vAlign w:val="bottom"/>
            <w:vMerge w:val="continue"/>
            <w:shd w:val="clear" w:color="auto" w:fill="CCEEFF"/>
          </w:tcPr>
          <w:p>
            <w:pPr>
              <w:spacing w:after="0"/>
              <w:rPr>
                <w:sz w:val="5"/>
                <w:szCs w:val="5"/>
                <w:color w:val="auto"/>
              </w:rPr>
            </w:pP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Arrangement</w:t>
            </w:r>
          </w:p>
        </w:tc>
        <w:tc>
          <w:tcPr>
            <w:tcW w:w="1460" w:type="dxa"/>
            <w:vAlign w:val="bottom"/>
            <w:shd w:val="clear" w:color="auto" w:fill="CCEEFF"/>
          </w:tcPr>
          <w:p>
            <w:pPr>
              <w:spacing w:after="0"/>
              <w:rPr>
                <w:sz w:val="5"/>
                <w:szCs w:val="5"/>
                <w:color w:val="auto"/>
              </w:rPr>
            </w:pPr>
          </w:p>
        </w:tc>
        <w:tc>
          <w:tcPr>
            <w:tcW w:w="37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expiration of the orders relating to such trades</w:t>
            </w:r>
          </w:p>
        </w:tc>
        <w:tc>
          <w:tcPr>
            <w:tcW w:w="2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President, Aeronautics Systems)</w:t>
            </w:r>
          </w:p>
        </w:tc>
        <w:tc>
          <w:tcPr>
            <w:tcW w:w="1460" w:type="dxa"/>
            <w:vAlign w:val="bottom"/>
            <w:vMerge w:val="continue"/>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720" w:type="dxa"/>
            <w:vAlign w:val="bottom"/>
            <w:vMerge w:val="continue"/>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72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without execution) or the occurrence of such other</w:t>
            </w:r>
          </w:p>
        </w:tc>
        <w:tc>
          <w:tcPr>
            <w:tcW w:w="212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Gift of 731 shares of</w:t>
            </w:r>
          </w:p>
        </w:tc>
        <w:tc>
          <w:tcPr>
            <w:tcW w:w="0" w:type="dxa"/>
            <w:vAlign w:val="bottom"/>
          </w:tcPr>
          <w:p>
            <w:pPr>
              <w:spacing w:after="0"/>
              <w:rPr>
                <w:sz w:val="1"/>
                <w:szCs w:val="1"/>
                <w:color w:val="auto"/>
              </w:rPr>
            </w:pPr>
          </w:p>
        </w:tc>
      </w:tr>
      <w:tr>
        <w:trPr>
          <w:trHeight w:val="175"/>
        </w:trPr>
        <w:tc>
          <w:tcPr>
            <w:tcW w:w="24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7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termination events as specified in the plan.</w:t>
            </w:r>
          </w:p>
        </w:tc>
        <w:tc>
          <w:tcPr>
            <w:tcW w:w="2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0" w:type="dxa"/>
            <w:vAlign w:val="bottom"/>
          </w:tcPr>
          <w:p>
            <w:pPr>
              <w:spacing w:after="0"/>
              <w:rPr>
                <w:sz w:val="1"/>
                <w:szCs w:val="1"/>
                <w:color w:val="auto"/>
              </w:rPr>
            </w:pPr>
          </w:p>
        </w:tc>
      </w:tr>
      <w:tr>
        <w:trPr>
          <w:trHeight w:val="59"/>
        </w:trPr>
        <w:tc>
          <w:tcPr>
            <w:tcW w:w="248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3720" w:type="dxa"/>
            <w:vAlign w:val="bottom"/>
            <w:shd w:val="clear" w:color="auto" w:fill="CCEEFF"/>
          </w:tcPr>
          <w:p>
            <w:pPr>
              <w:spacing w:after="0"/>
              <w:rPr>
                <w:sz w:val="5"/>
                <w:szCs w:val="5"/>
                <w:color w:val="auto"/>
              </w:rPr>
            </w:pPr>
          </w:p>
        </w:tc>
        <w:tc>
          <w:tcPr>
            <w:tcW w:w="2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24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4" w:right="339" w:bottom="1440" w:gutter="0" w:footer="0" w:header="0"/>
        </w:sectPr>
      </w:pPr>
    </w:p>
    <w:tbl>
      <w:tblPr>
        <w:tblLayout w:type="fixed"/>
        <w:tblInd w:w="20" w:type="dxa"/>
        <w:tblCellMar>
          <w:top w:w="0" w:type="dxa"/>
          <w:left w:w="0" w:type="dxa"/>
          <w:bottom w:w="0" w:type="dxa"/>
          <w:right w:w="0" w:type="dxa"/>
        </w:tblCellMar>
      </w:tblPr>
      <w:tr>
        <w:trPr>
          <w:trHeight w:val="203"/>
        </w:trPr>
        <w:tc>
          <w:tcPr>
            <w:tcW w:w="24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Roshan S. Roeder</w:t>
            </w:r>
          </w:p>
        </w:tc>
        <w:tc>
          <w:tcPr>
            <w:tcW w:w="1400" w:type="dxa"/>
            <w:vAlign w:val="bottom"/>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Rule 10b5-1</w:t>
            </w:r>
          </w:p>
        </w:tc>
        <w:tc>
          <w:tcPr>
            <w:tcW w:w="52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February 16, 2024 Until February 14, 2025 or such earlier date upon</w:t>
            </w:r>
          </w:p>
        </w:tc>
        <w:tc>
          <w:tcPr>
            <w:tcW w:w="0" w:type="dxa"/>
            <w:vAlign w:val="bottom"/>
          </w:tcPr>
          <w:p>
            <w:pPr>
              <w:spacing w:after="0"/>
              <w:rPr>
                <w:sz w:val="1"/>
                <w:szCs w:val="1"/>
                <w:color w:val="auto"/>
              </w:rPr>
            </w:pPr>
          </w:p>
        </w:tc>
      </w:tr>
      <w:tr>
        <w:trPr>
          <w:trHeight w:val="157"/>
        </w:trPr>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(Corporate Vice President and</w:t>
            </w:r>
          </w:p>
        </w:tc>
        <w:tc>
          <w:tcPr>
            <w:tcW w:w="1400" w:type="dxa"/>
            <w:vAlign w:val="bottom"/>
          </w:tcPr>
          <w:p>
            <w:pPr>
              <w:jc w:val="center"/>
              <w:ind w:left="30"/>
              <w:spacing w:after="0" w:line="157" w:lineRule="exact"/>
              <w:rPr>
                <w:sz w:val="20"/>
                <w:szCs w:val="20"/>
                <w:color w:val="auto"/>
              </w:rPr>
            </w:pPr>
            <w:r>
              <w:rPr>
                <w:rFonts w:ascii="Times New Roman" w:cs="Times New Roman" w:eastAsia="Times New Roman" w:hAnsi="Times New Roman"/>
                <w:sz w:val="18"/>
                <w:szCs w:val="18"/>
                <w:color w:val="auto"/>
                <w:w w:val="98"/>
              </w:rPr>
              <w:t>Trading</w:t>
            </w:r>
          </w:p>
        </w:tc>
        <w:tc>
          <w:tcPr>
            <w:tcW w:w="5200" w:type="dxa"/>
            <w:vAlign w:val="bottom"/>
          </w:tcPr>
          <w:p>
            <w:pPr>
              <w:ind w:left="1560"/>
              <w:spacing w:after="0" w:line="157" w:lineRule="exact"/>
              <w:rPr>
                <w:sz w:val="20"/>
                <w:szCs w:val="20"/>
                <w:color w:val="auto"/>
              </w:rPr>
            </w:pPr>
            <w:r>
              <w:rPr>
                <w:rFonts w:ascii="Times New Roman" w:cs="Times New Roman" w:eastAsia="Times New Roman" w:hAnsi="Times New Roman"/>
                <w:sz w:val="18"/>
                <w:szCs w:val="18"/>
                <w:color w:val="auto"/>
              </w:rPr>
              <w:t>the completion of all trades under the plan (or the</w:t>
            </w:r>
          </w:p>
        </w:tc>
        <w:tc>
          <w:tcPr>
            <w:tcW w:w="0" w:type="dxa"/>
            <w:vAlign w:val="bottom"/>
          </w:tcPr>
          <w:p>
            <w:pPr>
              <w:spacing w:after="0"/>
              <w:rPr>
                <w:sz w:val="1"/>
                <w:szCs w:val="1"/>
                <w:color w:val="auto"/>
              </w:rPr>
            </w:pPr>
          </w:p>
        </w:tc>
      </w:tr>
      <w:tr>
        <w:trPr>
          <w:trHeight w:val="72"/>
        </w:trPr>
        <w:tc>
          <w:tcPr>
            <w:tcW w:w="2460" w:type="dxa"/>
            <w:vAlign w:val="bottom"/>
            <w:vMerge w:val="continue"/>
          </w:tcPr>
          <w:p>
            <w:pPr>
              <w:spacing w:after="0"/>
              <w:rPr>
                <w:sz w:val="6"/>
                <w:szCs w:val="6"/>
                <w:color w:val="auto"/>
              </w:rPr>
            </w:pPr>
          </w:p>
        </w:tc>
        <w:tc>
          <w:tcPr>
            <w:tcW w:w="1400" w:type="dxa"/>
            <w:vAlign w:val="bottom"/>
            <w:vMerge w:val="restart"/>
          </w:tcPr>
          <w:p>
            <w:pPr>
              <w:jc w:val="center"/>
              <w:ind w:left="10"/>
              <w:spacing w:after="0" w:line="181" w:lineRule="exact"/>
              <w:rPr>
                <w:sz w:val="20"/>
                <w:szCs w:val="20"/>
                <w:color w:val="auto"/>
              </w:rPr>
            </w:pPr>
            <w:r>
              <w:rPr>
                <w:rFonts w:ascii="Times New Roman" w:cs="Times New Roman" w:eastAsia="Times New Roman" w:hAnsi="Times New Roman"/>
                <w:sz w:val="18"/>
                <w:szCs w:val="18"/>
                <w:color w:val="auto"/>
                <w:w w:val="98"/>
              </w:rPr>
              <w:t>Arrangement</w:t>
            </w:r>
          </w:p>
        </w:tc>
        <w:tc>
          <w:tcPr>
            <w:tcW w:w="5200" w:type="dxa"/>
            <w:vAlign w:val="bottom"/>
            <w:vMerge w:val="restart"/>
          </w:tcPr>
          <w:p>
            <w:pPr>
              <w:ind w:left="1560"/>
              <w:spacing w:after="0" w:line="181" w:lineRule="exact"/>
              <w:rPr>
                <w:sz w:val="20"/>
                <w:szCs w:val="20"/>
                <w:color w:val="auto"/>
              </w:rPr>
            </w:pPr>
            <w:r>
              <w:rPr>
                <w:rFonts w:ascii="Times New Roman" w:cs="Times New Roman" w:eastAsia="Times New Roman" w:hAnsi="Times New Roman"/>
                <w:sz w:val="18"/>
                <w:szCs w:val="18"/>
                <w:color w:val="auto"/>
              </w:rPr>
              <w:t>expiration of the orders relating to such trades</w:t>
            </w:r>
          </w:p>
        </w:tc>
        <w:tc>
          <w:tcPr>
            <w:tcW w:w="0" w:type="dxa"/>
            <w:vAlign w:val="bottom"/>
          </w:tcPr>
          <w:p>
            <w:pPr>
              <w:spacing w:after="0"/>
              <w:rPr>
                <w:sz w:val="1"/>
                <w:szCs w:val="1"/>
                <w:color w:val="auto"/>
              </w:rPr>
            </w:pPr>
          </w:p>
        </w:tc>
      </w:tr>
      <w:tr>
        <w:trPr>
          <w:trHeight w:val="108"/>
        </w:trPr>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President, Defense Systems)</w:t>
            </w:r>
          </w:p>
        </w:tc>
        <w:tc>
          <w:tcPr>
            <w:tcW w:w="1400" w:type="dxa"/>
            <w:vAlign w:val="bottom"/>
            <w:vMerge w:val="continue"/>
          </w:tcPr>
          <w:p>
            <w:pPr>
              <w:spacing w:after="0"/>
              <w:rPr>
                <w:sz w:val="9"/>
                <w:szCs w:val="9"/>
                <w:color w:val="auto"/>
              </w:rPr>
            </w:pPr>
          </w:p>
        </w:tc>
        <w:tc>
          <w:tcPr>
            <w:tcW w:w="5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5200" w:type="dxa"/>
            <w:vAlign w:val="bottom"/>
            <w:vMerge w:val="restart"/>
          </w:tcPr>
          <w:p>
            <w:pPr>
              <w:ind w:left="1560"/>
              <w:spacing w:after="0" w:line="176" w:lineRule="exact"/>
              <w:rPr>
                <w:sz w:val="20"/>
                <w:szCs w:val="20"/>
                <w:color w:val="auto"/>
              </w:rPr>
            </w:pPr>
            <w:r>
              <w:rPr>
                <w:rFonts w:ascii="Times New Roman" w:cs="Times New Roman" w:eastAsia="Times New Roman" w:hAnsi="Times New Roman"/>
                <w:sz w:val="18"/>
                <w:szCs w:val="18"/>
                <w:color w:val="auto"/>
                <w:w w:val="99"/>
              </w:rPr>
              <w:t>without execution) or the occurrence of such other</w:t>
            </w:r>
          </w:p>
        </w:tc>
        <w:tc>
          <w:tcPr>
            <w:tcW w:w="0" w:type="dxa"/>
            <w:vAlign w:val="bottom"/>
          </w:tcPr>
          <w:p>
            <w:pPr>
              <w:spacing w:after="0"/>
              <w:rPr>
                <w:sz w:val="1"/>
                <w:szCs w:val="1"/>
                <w:color w:val="auto"/>
              </w:rPr>
            </w:pPr>
          </w:p>
        </w:tc>
      </w:tr>
      <w:tr>
        <w:trPr>
          <w:trHeight w:val="49"/>
        </w:trPr>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2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termination events as specified in the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360"/>
        <w:spacing w:after="0" w:line="234" w:lineRule="auto"/>
        <w:rPr>
          <w:sz w:val="20"/>
          <w:szCs w:val="20"/>
          <w:color w:val="auto"/>
        </w:rPr>
      </w:pPr>
      <w:r>
        <w:rPr>
          <w:rFonts w:ascii="Times New Roman" w:cs="Times New Roman" w:eastAsia="Times New Roman" w:hAnsi="Times New Roman"/>
          <w:sz w:val="18"/>
          <w:szCs w:val="18"/>
          <w:color w:val="auto"/>
        </w:rPr>
        <w:t>Sale of 799.58 shares of common stock</w:t>
      </w:r>
    </w:p>
    <w:p>
      <w:pPr>
        <w:spacing w:after="0" w:line="746" w:lineRule="exact"/>
        <w:rPr>
          <w:sz w:val="20"/>
          <w:szCs w:val="20"/>
          <w:color w:val="auto"/>
        </w:rPr>
      </w:pPr>
    </w:p>
    <w:p>
      <w:pPr>
        <w:sectPr>
          <w:pgSz w:w="11900" w:h="16838" w:orient="portrait"/>
          <w:cols w:equalWidth="0" w:num="2">
            <w:col w:w="9080" w:space="80"/>
            <w:col w:w="2080"/>
          </w:cols>
          <w:pgMar w:left="320" w:top="114" w:right="339" w:bottom="1440" w:gutter="0" w:footer="0" w:header="0"/>
          <w:type w:val="continuous"/>
        </w:sectPr>
      </w:pP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Kathryn G. Simpson</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Rule 10b5-1</w:t>
            </w:r>
          </w:p>
        </w:tc>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March 5, 2024  Until March 5, 2025 or such earlier date upon the</w:t>
            </w:r>
          </w:p>
        </w:tc>
        <w:tc>
          <w:tcPr>
            <w:tcW w:w="2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 of 889 shares of</w:t>
            </w:r>
          </w:p>
        </w:tc>
        <w:tc>
          <w:tcPr>
            <w:tcW w:w="0" w:type="dxa"/>
            <w:vAlign w:val="bottom"/>
          </w:tcPr>
          <w:p>
            <w:pPr>
              <w:spacing w:after="0"/>
              <w:rPr>
                <w:sz w:val="1"/>
                <w:szCs w:val="1"/>
                <w:color w:val="auto"/>
              </w:rPr>
            </w:pPr>
          </w:p>
        </w:tc>
      </w:tr>
      <w:tr>
        <w:trPr>
          <w:trHeight w:val="184"/>
        </w:trPr>
        <w:tc>
          <w:tcPr>
            <w:tcW w:w="2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Vice President and</w:t>
            </w:r>
          </w:p>
        </w:tc>
        <w:tc>
          <w:tcPr>
            <w:tcW w:w="14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Trading</w:t>
            </w:r>
          </w:p>
        </w:tc>
        <w:tc>
          <w:tcPr>
            <w:tcW w:w="5180" w:type="dxa"/>
            <w:vAlign w:val="bottom"/>
            <w:shd w:val="clear" w:color="auto" w:fill="CCEEFF"/>
          </w:tcPr>
          <w:p>
            <w:pPr>
              <w:ind w:left="1500"/>
              <w:spacing w:after="0" w:line="184" w:lineRule="exact"/>
              <w:rPr>
                <w:sz w:val="20"/>
                <w:szCs w:val="20"/>
                <w:color w:val="auto"/>
              </w:rPr>
            </w:pPr>
            <w:r>
              <w:rPr>
                <w:rFonts w:ascii="Times New Roman" w:cs="Times New Roman" w:eastAsia="Times New Roman" w:hAnsi="Times New Roman"/>
                <w:sz w:val="18"/>
                <w:szCs w:val="18"/>
                <w:color w:val="auto"/>
              </w:rPr>
              <w:t>completion of all trades under the plan (or the</w:t>
            </w:r>
          </w:p>
        </w:tc>
        <w:tc>
          <w:tcPr>
            <w:tcW w:w="212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common stock</w:t>
            </w:r>
          </w:p>
        </w:tc>
        <w:tc>
          <w:tcPr>
            <w:tcW w:w="0" w:type="dxa"/>
            <w:vAlign w:val="bottom"/>
          </w:tcPr>
          <w:p>
            <w:pPr>
              <w:spacing w:after="0"/>
              <w:rPr>
                <w:sz w:val="1"/>
                <w:szCs w:val="1"/>
                <w:color w:val="auto"/>
              </w:rPr>
            </w:pPr>
          </w:p>
        </w:tc>
      </w:tr>
      <w:tr>
        <w:trPr>
          <w:trHeight w:val="72"/>
        </w:trPr>
        <w:tc>
          <w:tcPr>
            <w:tcW w:w="2480" w:type="dxa"/>
            <w:vAlign w:val="bottom"/>
            <w:vMerge w:val="continue"/>
            <w:shd w:val="clear" w:color="auto" w:fill="CCEEFF"/>
          </w:tcPr>
          <w:p>
            <w:pPr>
              <w:spacing w:after="0"/>
              <w:rPr>
                <w:sz w:val="6"/>
                <w:szCs w:val="6"/>
                <w:color w:val="auto"/>
              </w:rPr>
            </w:pPr>
          </w:p>
        </w:tc>
        <w:tc>
          <w:tcPr>
            <w:tcW w:w="1460" w:type="dxa"/>
            <w:vAlign w:val="bottom"/>
            <w:vMerge w:val="restart"/>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Arrangement</w:t>
            </w:r>
          </w:p>
        </w:tc>
        <w:tc>
          <w:tcPr>
            <w:tcW w:w="5180" w:type="dxa"/>
            <w:vAlign w:val="bottom"/>
            <w:vMerge w:val="restart"/>
            <w:shd w:val="clear" w:color="auto" w:fill="CCEEFF"/>
          </w:tcPr>
          <w:p>
            <w:pPr>
              <w:ind w:left="1500"/>
              <w:spacing w:after="0" w:line="181" w:lineRule="exact"/>
              <w:rPr>
                <w:sz w:val="20"/>
                <w:szCs w:val="20"/>
                <w:color w:val="auto"/>
              </w:rPr>
            </w:pPr>
            <w:r>
              <w:rPr>
                <w:rFonts w:ascii="Times New Roman" w:cs="Times New Roman" w:eastAsia="Times New Roman" w:hAnsi="Times New Roman"/>
                <w:sz w:val="18"/>
                <w:szCs w:val="18"/>
                <w:color w:val="auto"/>
              </w:rPr>
              <w:t>expiration of the orders relating to such trades</w:t>
            </w:r>
          </w:p>
        </w:tc>
        <w:tc>
          <w:tcPr>
            <w:tcW w:w="2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c>
          <w:tcPr>
            <w:tcW w:w="1460" w:type="dxa"/>
            <w:vAlign w:val="bottom"/>
            <w:vMerge w:val="continue"/>
            <w:shd w:val="clear" w:color="auto" w:fill="CCEEFF"/>
          </w:tcPr>
          <w:p>
            <w:pPr>
              <w:spacing w:after="0"/>
              <w:rPr>
                <w:sz w:val="9"/>
                <w:szCs w:val="9"/>
                <w:color w:val="auto"/>
              </w:rPr>
            </w:pPr>
          </w:p>
        </w:tc>
        <w:tc>
          <w:tcPr>
            <w:tcW w:w="5180" w:type="dxa"/>
            <w:vAlign w:val="bottom"/>
            <w:vMerge w:val="continue"/>
            <w:shd w:val="clear" w:color="auto" w:fill="CCEEFF"/>
          </w:tcPr>
          <w:p>
            <w:pPr>
              <w:spacing w:after="0"/>
              <w:rPr>
                <w:sz w:val="9"/>
                <w:szCs w:val="9"/>
                <w:color w:val="auto"/>
              </w:rPr>
            </w:pPr>
          </w:p>
        </w:tc>
        <w:tc>
          <w:tcPr>
            <w:tcW w:w="2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480" w:type="dxa"/>
            <w:vAlign w:val="bottom"/>
            <w:vMerge w:val="continue"/>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5180" w:type="dxa"/>
            <w:vAlign w:val="bottom"/>
            <w:vMerge w:val="restart"/>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without execution) or the occurrence of such other</w:t>
            </w:r>
          </w:p>
        </w:tc>
        <w:tc>
          <w:tcPr>
            <w:tcW w:w="2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 of shares to be received</w:t>
            </w:r>
          </w:p>
        </w:tc>
        <w:tc>
          <w:tcPr>
            <w:tcW w:w="0" w:type="dxa"/>
            <w:vAlign w:val="bottom"/>
          </w:tcPr>
          <w:p>
            <w:pPr>
              <w:spacing w:after="0"/>
              <w:rPr>
                <w:sz w:val="1"/>
                <w:szCs w:val="1"/>
                <w:color w:val="auto"/>
              </w:rPr>
            </w:pPr>
          </w:p>
        </w:tc>
      </w:tr>
      <w:tr>
        <w:trPr>
          <w:trHeight w:val="117"/>
        </w:trPr>
        <w:tc>
          <w:tcPr>
            <w:tcW w:w="248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5180" w:type="dxa"/>
            <w:vAlign w:val="bottom"/>
            <w:vMerge w:val="continue"/>
            <w:shd w:val="clear" w:color="auto" w:fill="CCEEFF"/>
          </w:tcPr>
          <w:p>
            <w:pPr>
              <w:spacing w:after="0"/>
              <w:rPr>
                <w:sz w:val="10"/>
                <w:szCs w:val="10"/>
                <w:color w:val="auto"/>
              </w:rPr>
            </w:pPr>
          </w:p>
        </w:tc>
        <w:tc>
          <w:tcPr>
            <w:tcW w:w="21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5180" w:type="dxa"/>
            <w:vAlign w:val="bottom"/>
            <w:shd w:val="clear" w:color="auto" w:fill="CCEEFF"/>
          </w:tcPr>
          <w:p>
            <w:pPr>
              <w:ind w:left="1500"/>
              <w:spacing w:after="0" w:line="176" w:lineRule="exact"/>
              <w:rPr>
                <w:sz w:val="20"/>
                <w:szCs w:val="20"/>
                <w:color w:val="auto"/>
              </w:rPr>
            </w:pPr>
            <w:r>
              <w:rPr>
                <w:rFonts w:ascii="Times New Roman" w:cs="Times New Roman" w:eastAsia="Times New Roman" w:hAnsi="Times New Roman"/>
                <w:sz w:val="18"/>
                <w:szCs w:val="18"/>
                <w:color w:val="auto"/>
              </w:rPr>
              <w:t>termination events as specified in the plan.</w:t>
            </w:r>
          </w:p>
        </w:tc>
        <w:tc>
          <w:tcPr>
            <w:tcW w:w="21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upon payout of 2022 RPSRs</w:t>
            </w:r>
          </w:p>
        </w:tc>
        <w:tc>
          <w:tcPr>
            <w:tcW w:w="0" w:type="dxa"/>
            <w:vAlign w:val="bottom"/>
          </w:tcPr>
          <w:p>
            <w:pPr>
              <w:spacing w:after="0"/>
              <w:rPr>
                <w:sz w:val="1"/>
                <w:szCs w:val="1"/>
                <w:color w:val="auto"/>
              </w:rPr>
            </w:pPr>
          </w:p>
        </w:tc>
      </w:tr>
      <w:tr>
        <w:trPr>
          <w:trHeight w:val="312"/>
        </w:trPr>
        <w:tc>
          <w:tcPr>
            <w:tcW w:w="24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5180" w:type="dxa"/>
            <w:vAlign w:val="bottom"/>
            <w:shd w:val="clear" w:color="auto" w:fill="CCEEFF"/>
          </w:tcPr>
          <w:p>
            <w:pPr>
              <w:spacing w:after="0"/>
              <w:rPr>
                <w:sz w:val="24"/>
                <w:szCs w:val="24"/>
                <w:color w:val="auto"/>
              </w:rPr>
            </w:pPr>
          </w:p>
        </w:tc>
        <w:tc>
          <w:tcPr>
            <w:tcW w:w="2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RSRs</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174"/>
        </w:trPr>
        <w:tc>
          <w:tcPr>
            <w:tcW w:w="24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spacing w:after="0"/>
              <w:rPr>
                <w:sz w:val="15"/>
                <w:szCs w:val="15"/>
                <w:color w:val="auto"/>
              </w:rPr>
            </w:pPr>
          </w:p>
        </w:tc>
        <w:tc>
          <w:tcPr>
            <w:tcW w:w="5180" w:type="dxa"/>
            <w:vAlign w:val="bottom"/>
            <w:tcBorders>
              <w:bottom w:val="single" w:sz="8" w:color="auto"/>
            </w:tcBorders>
            <w:shd w:val="clear" w:color="auto" w:fill="CCEEFF"/>
          </w:tcPr>
          <w:p>
            <w:pPr>
              <w:spacing w:after="0"/>
              <w:rPr>
                <w:sz w:val="15"/>
                <w:szCs w:val="15"/>
                <w:color w:val="auto"/>
              </w:rPr>
            </w:pPr>
          </w:p>
        </w:tc>
        <w:tc>
          <w:tcPr>
            <w:tcW w:w="21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ind w:left="200" w:hanging="174"/>
        <w:spacing w:after="0" w:line="217" w:lineRule="auto"/>
        <w:tabs>
          <w:tab w:leader="none" w:pos="2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aggregate number of shares to be sold will depend, in part, on future company performance.</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32" w:lineRule="exact"/>
        <w:rPr>
          <w:rFonts w:ascii="Times New Roman" w:cs="Times New Roman" w:eastAsia="Times New Roman" w:hAnsi="Times New Roman"/>
          <w:sz w:val="22"/>
          <w:szCs w:val="22"/>
          <w:color w:val="auto"/>
          <w:vertAlign w:val="superscript"/>
        </w:rPr>
      </w:pPr>
    </w:p>
    <w:p>
      <w:pPr>
        <w:ind w:left="548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p>
      <w:pPr>
        <w:ind w:left="980" w:right="60" w:hanging="26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 </w:t>
      </w:r>
      <w:hyperlink r:id="rId44">
        <w:r>
          <w:rPr>
            <w:rFonts w:ascii="Times New Roman" w:cs="Times New Roman" w:eastAsia="Times New Roman" w:hAnsi="Times New Roman"/>
            <w:sz w:val="17"/>
            <w:szCs w:val="17"/>
            <w:u w:val="single" w:color="auto"/>
            <w:color w:val="0000FF"/>
          </w:rPr>
          <w:t>Twelfth Supplemental Indenture, dated as of January 31, 2024, between Northrop Grumman Corporation and The Bank of New York Mellon,</w:t>
        </w:r>
      </w:hyperlink>
      <w:r>
        <w:rPr>
          <w:rFonts w:ascii="Times New Roman" w:cs="Times New Roman" w:eastAsia="Times New Roman" w:hAnsi="Times New Roman"/>
          <w:sz w:val="17"/>
          <w:szCs w:val="17"/>
          <w:color w:val="auto"/>
        </w:rPr>
        <w:t xml:space="preserve"> </w:t>
      </w:r>
      <w:hyperlink r:id="rId44">
        <w:r>
          <w:rPr>
            <w:rFonts w:ascii="Times New Roman" w:cs="Times New Roman" w:eastAsia="Times New Roman" w:hAnsi="Times New Roman"/>
            <w:sz w:val="17"/>
            <w:szCs w:val="17"/>
            <w:u w:val="single" w:color="auto"/>
            <w:color w:val="0000FF"/>
          </w:rPr>
          <w:t>as successor to JPMorgan Chase Bank, Trustee, to Indenture dated as of November 21, 2001 (incorporated by reference to Exhibit 4.1 to</w:t>
        </w:r>
      </w:hyperlink>
    </w:p>
    <w:p>
      <w:pPr>
        <w:ind w:left="980"/>
        <w:spacing w:after="0"/>
        <w:rPr>
          <w:rFonts w:ascii="Times New Roman" w:cs="Times New Roman" w:eastAsia="Times New Roman" w:hAnsi="Times New Roman"/>
          <w:sz w:val="18"/>
          <w:szCs w:val="18"/>
          <w:u w:val="single" w:color="auto"/>
          <w:color w:val="0000FF"/>
        </w:rPr>
      </w:pPr>
      <w:hyperlink r:id="rId44">
        <w:r>
          <w:rPr>
            <w:rFonts w:ascii="Times New Roman" w:cs="Times New Roman" w:eastAsia="Times New Roman" w:hAnsi="Times New Roman"/>
            <w:sz w:val="18"/>
            <w:szCs w:val="18"/>
            <w:u w:val="single" w:color="auto"/>
            <w:color w:val="0000FF"/>
          </w:rPr>
          <w:t>Form 8-K filed January 31, 2024, File No. 001-16411)</w:t>
        </w:r>
      </w:hyperlink>
    </w:p>
    <w:p>
      <w:pPr>
        <w:spacing w:after="0" w:line="57" w:lineRule="exact"/>
        <w:rPr>
          <w:sz w:val="20"/>
          <w:szCs w:val="20"/>
          <w:color w:val="auto"/>
        </w:rPr>
      </w:pPr>
    </w:p>
    <w:p>
      <w:pPr>
        <w:ind w:left="980" w:hanging="26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4.2 </w:t>
      </w:r>
      <w:hyperlink r:id="rId44">
        <w:r>
          <w:rPr>
            <w:rFonts w:ascii="Times New Roman" w:cs="Times New Roman" w:eastAsia="Times New Roman" w:hAnsi="Times New Roman"/>
            <w:sz w:val="18"/>
            <w:szCs w:val="18"/>
            <w:u w:val="single" w:color="auto"/>
            <w:color w:val="0000FF"/>
          </w:rPr>
          <w:t>Form of 4.600% Senior Note due 2029 (included in Exhibit 4.1) (incorporated by reference to Exhibit 4.2 to Form 8-K filed January 31, 2024,</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FF"/>
          </w:rPr>
          <w:t>File No. 001-16411)</w:t>
        </w:r>
      </w:hyperlink>
    </w:p>
    <w:p>
      <w:pPr>
        <w:spacing w:after="0" w:line="64" w:lineRule="exact"/>
        <w:rPr>
          <w:sz w:val="20"/>
          <w:szCs w:val="20"/>
          <w:color w:val="auto"/>
        </w:rPr>
      </w:pPr>
    </w:p>
    <w:p>
      <w:pPr>
        <w:ind w:left="980" w:hanging="26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4.3 </w:t>
      </w:r>
      <w:hyperlink r:id="rId44">
        <w:r>
          <w:rPr>
            <w:rFonts w:ascii="Times New Roman" w:cs="Times New Roman" w:eastAsia="Times New Roman" w:hAnsi="Times New Roman"/>
            <w:sz w:val="18"/>
            <w:szCs w:val="18"/>
            <w:u w:val="single" w:color="auto"/>
            <w:color w:val="0000FF"/>
          </w:rPr>
          <w:t>Form of 4.900% Senior Note due 2034 (included in Exhibit 4.1) (incorporated by reference to Exhibit 4.3 to Form 8-K filed January 31, 2024,</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FF"/>
          </w:rPr>
          <w:t>File No. 001-16411)</w:t>
        </w:r>
      </w:hyperlink>
    </w:p>
    <w:p>
      <w:pPr>
        <w:spacing w:after="0" w:line="64" w:lineRule="exact"/>
        <w:rPr>
          <w:sz w:val="20"/>
          <w:szCs w:val="20"/>
          <w:color w:val="auto"/>
        </w:rPr>
      </w:pPr>
    </w:p>
    <w:p>
      <w:pPr>
        <w:ind w:left="980" w:hanging="26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4.4 </w:t>
      </w:r>
      <w:hyperlink r:id="rId44">
        <w:r>
          <w:rPr>
            <w:rFonts w:ascii="Times New Roman" w:cs="Times New Roman" w:eastAsia="Times New Roman" w:hAnsi="Times New Roman"/>
            <w:sz w:val="18"/>
            <w:szCs w:val="18"/>
            <w:u w:val="single" w:color="auto"/>
            <w:color w:val="0000FF"/>
          </w:rPr>
          <w:t>Form of 5.200% Senior Note due 2054 (included in Exhibit 4.1) (incorporated by reference to Exhibit 4.4 to Form 8-K filed January 31, 2024,</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FF"/>
          </w:rPr>
          <w:t>File No. 001-16411)</w:t>
        </w:r>
      </w:hyperlink>
    </w:p>
    <w:p>
      <w:pPr>
        <w:spacing w:after="0" w:line="64" w:lineRule="exact"/>
        <w:rPr>
          <w:sz w:val="20"/>
          <w:szCs w:val="20"/>
          <w:color w:val="auto"/>
        </w:rPr>
      </w:pPr>
    </w:p>
    <w:p>
      <w:pPr>
        <w:ind w:left="980" w:right="140" w:hanging="541"/>
        <w:spacing w:after="0" w:line="237"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FF"/>
        </w:rPr>
        <w:t>2024 Restricted Stock Rights Grant Agreement Specifying Terms and Conditions Applicable to 2024 Restricted Stock Rights Granted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2011 Long-Term Incentive Stock Plan</w:t>
      </w:r>
    </w:p>
    <w:p>
      <w:pPr>
        <w:spacing w:after="0" w:line="64" w:lineRule="exact"/>
        <w:rPr>
          <w:sz w:val="20"/>
          <w:szCs w:val="20"/>
          <w:color w:val="auto"/>
        </w:rPr>
      </w:pPr>
    </w:p>
    <w:p>
      <w:pPr>
        <w:ind w:left="980" w:right="260" w:hanging="541"/>
        <w:spacing w:after="0" w:line="237"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0000FF"/>
        </w:rPr>
        <w:t>2024 Restricted Performance Stock Rights Grant Agreement Specifying Terms and Conditions Applicable to 2024 Restricted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Stock Rights Granted under the 2011 Long-Term Incentive Stock Plan</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0000FF"/>
        </w:rPr>
        <w:t>Northrop Grumman 2006 Annual Incentive Plan and Incentive Compensation Plan, as amended and restated effective January 1, 2024</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0000FF"/>
        </w:rPr>
        <w:t>Letter from Independent Registered Public Accounting Firm</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Kathy J. Warden pursuant to Section 302 of the Sarbanes-Oxley Act of 2002</w:t>
      </w:r>
    </w:p>
    <w:p>
      <w:pPr>
        <w:spacing w:after="0" w:line="77" w:lineRule="exact"/>
        <w:rPr>
          <w:sz w:val="20"/>
          <w:szCs w:val="20"/>
          <w:color w:val="auto"/>
        </w:rPr>
      </w:pPr>
    </w:p>
    <w:p>
      <w:pPr>
        <w:ind w:left="440" w:right="3600" w:firstLine="90"/>
        <w:spacing w:after="0" w:line="348"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0000FF"/>
        </w:rPr>
        <w:t>Certification of David F. Keffer pursuant to Section 302 of the Sarbanes-Oxley Act of 2002</w:t>
      </w:r>
      <w:r>
        <w:rPr>
          <w:rFonts w:ascii="Times New Roman" w:cs="Times New Roman" w:eastAsia="Times New Roman" w:hAnsi="Times New Roman"/>
          <w:sz w:val="17"/>
          <w:szCs w:val="17"/>
          <w:color w:val="auto"/>
        </w:rPr>
        <w:t xml:space="preserve"> **32.1 </w:t>
      </w:r>
      <w:r>
        <w:rPr>
          <w:rFonts w:ascii="Times New Roman" w:cs="Times New Roman" w:eastAsia="Times New Roman" w:hAnsi="Times New Roman"/>
          <w:sz w:val="17"/>
          <w:szCs w:val="17"/>
          <w:u w:val="single" w:color="auto"/>
          <w:color w:val="0000FF"/>
        </w:rPr>
        <w:t>Certification of Kathy J. Warden pursuant to Section 906 of the Sarbanes-Oxley Act of 2002</w:t>
      </w:r>
      <w:r>
        <w:rPr>
          <w:rFonts w:ascii="Times New Roman" w:cs="Times New Roman" w:eastAsia="Times New Roman" w:hAnsi="Times New Roman"/>
          <w:sz w:val="17"/>
          <w:szCs w:val="17"/>
          <w:color w:val="auto"/>
        </w:rPr>
        <w:t xml:space="preserve"> **32.2 </w:t>
      </w:r>
      <w:r>
        <w:rPr>
          <w:rFonts w:ascii="Times New Roman" w:cs="Times New Roman" w:eastAsia="Times New Roman" w:hAnsi="Times New Roman"/>
          <w:sz w:val="17"/>
          <w:szCs w:val="17"/>
          <w:u w:val="single" w:color="auto"/>
          <w:color w:val="0000FF"/>
        </w:rPr>
        <w:t>Certification of David F. Keffer pursuant to Section 906 of the Sarbanes-Oxley Act of 2002</w:t>
      </w:r>
    </w:p>
    <w:p>
      <w:pPr>
        <w:ind w:left="980" w:right="420" w:hanging="395"/>
        <w:spacing w:after="0" w:line="236" w:lineRule="auto"/>
        <w:rPr>
          <w:sz w:val="20"/>
          <w:szCs w:val="20"/>
          <w:color w:val="auto"/>
        </w:rPr>
      </w:pPr>
      <w:r>
        <w:rPr>
          <w:rFonts w:ascii="Times New Roman" w:cs="Times New Roman" w:eastAsia="Times New Roman" w:hAnsi="Times New Roman"/>
          <w:sz w:val="17"/>
          <w:szCs w:val="17"/>
          <w:color w:val="auto"/>
        </w:rPr>
        <w:t>*101 Northrop Grumman Corporation Quarterly Report on Form 10-Q for the quarter ended March 31, 2024, formatted as inline XBRL (Extensible Business Reporting Language): (i) the Cover Page, (ii) Condensed Consolidated Statements of Earnings and Comprehensive</w:t>
      </w:r>
    </w:p>
    <w:p>
      <w:pPr>
        <w:ind w:left="980" w:right="140"/>
        <w:spacing w:after="0" w:line="231" w:lineRule="auto"/>
        <w:rPr>
          <w:sz w:val="20"/>
          <w:szCs w:val="20"/>
          <w:color w:val="auto"/>
        </w:rPr>
      </w:pPr>
      <w:r>
        <w:rPr>
          <w:rFonts w:ascii="Times New Roman" w:cs="Times New Roman" w:eastAsia="Times New Roman" w:hAnsi="Times New Roman"/>
          <w:sz w:val="17"/>
          <w:szCs w:val="17"/>
          <w:color w:val="auto"/>
        </w:rPr>
        <w:t>Income, (iii) Condensed Consolidated Statements of Financial Position, (iv) Condensed Consolidated Statements of Cash Flows, (v) Condensed Consolidated Statements of Changes in Shareholders’ Equity, and (vi) Notes to Condensed Consolidated Financial Statements. The instance document does not appear in the Interactive Data File because its XBRL tags are embedded within the Inline XBRL document.</w:t>
      </w:r>
    </w:p>
    <w:p>
      <w:pPr>
        <w:spacing w:after="0" w:line="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180" w:lineRule="exact"/>
        <w:rPr>
          <w:sz w:val="20"/>
          <w:szCs w:val="20"/>
          <w:color w:val="auto"/>
        </w:rPr>
      </w:pPr>
    </w:p>
    <w:p>
      <w:pPr>
        <w:ind w:left="980" w:hanging="630"/>
        <w:spacing w:after="0"/>
        <w:tabs>
          <w:tab w:leader="none" w:pos="98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Filed with this report</w:t>
      </w:r>
    </w:p>
    <w:p>
      <w:pPr>
        <w:ind w:left="980" w:hanging="630"/>
        <w:spacing w:after="0" w:line="204" w:lineRule="auto"/>
        <w:tabs>
          <w:tab w:leader="none" w:pos="98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Furnished with this report</w:t>
      </w:r>
    </w:p>
    <w:p>
      <w:pPr>
        <w:ind w:left="980" w:hanging="630"/>
        <w:spacing w:after="0" w:line="204" w:lineRule="auto"/>
        <w:tabs>
          <w:tab w:leader="none" w:pos="98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(Registrant)</w:t>
      </w:r>
    </w:p>
    <w:p>
      <w:pPr>
        <w:spacing w:after="0" w:line="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w:t>
      </w:r>
    </w:p>
    <w:p>
      <w:pPr>
        <w:ind w:left="7360"/>
        <w:spacing w:after="0"/>
        <w:rPr>
          <w:sz w:val="20"/>
          <w:szCs w:val="20"/>
          <w:color w:val="auto"/>
        </w:rPr>
      </w:pP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4445</wp:posOffset>
            </wp:positionV>
            <wp:extent cx="37890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p>
      <w:pPr>
        <w:ind w:left="7500"/>
        <w:spacing w:after="0"/>
        <w:rPr>
          <w:sz w:val="20"/>
          <w:szCs w:val="20"/>
          <w:color w:val="auto"/>
        </w:rPr>
      </w:pPr>
      <w:r>
        <w:rPr>
          <w:rFonts w:ascii="Times New Roman" w:cs="Times New Roman" w:eastAsia="Times New Roman" w:hAnsi="Times New Roman"/>
          <w:sz w:val="18"/>
          <w:szCs w:val="18"/>
          <w:color w:val="auto"/>
        </w:rPr>
        <w:t>Michael A. Hardesty</w:t>
      </w:r>
    </w:p>
    <w:p>
      <w:pPr>
        <w:jc w:val="center"/>
        <w:ind w:left="5240"/>
        <w:spacing w:after="0" w:line="205" w:lineRule="auto"/>
        <w:rPr>
          <w:sz w:val="20"/>
          <w:szCs w:val="20"/>
          <w:color w:val="auto"/>
        </w:rPr>
      </w:pPr>
      <w:r>
        <w:rPr>
          <w:rFonts w:ascii="Times New Roman" w:cs="Times New Roman" w:eastAsia="Times New Roman" w:hAnsi="Times New Roman"/>
          <w:sz w:val="18"/>
          <w:szCs w:val="18"/>
          <w:color w:val="auto"/>
        </w:rPr>
        <w:t>Corporate Vice President, Controller and</w:t>
      </w:r>
    </w:p>
    <w:p>
      <w:pPr>
        <w:jc w:val="center"/>
        <w:ind w:left="5240"/>
        <w:spacing w:after="0" w:line="204" w:lineRule="auto"/>
        <w:rPr>
          <w:sz w:val="20"/>
          <w:szCs w:val="20"/>
          <w:color w:val="auto"/>
        </w:rPr>
      </w:pPr>
      <w:r>
        <w:rPr>
          <w:rFonts w:ascii="Times New Roman" w:cs="Times New Roman" w:eastAsia="Times New Roman" w:hAnsi="Times New Roman"/>
          <w:sz w:val="18"/>
          <w:szCs w:val="18"/>
          <w:color w:val="auto"/>
        </w:rPr>
        <w:t>Chief Accounting Officer</w:t>
      </w:r>
    </w:p>
    <w:p>
      <w:pPr>
        <w:jc w:val="center"/>
        <w:ind w:left="52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114" w:right="3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NORTHROP GRUMMAN CORPORATION</w:t>
      </w:r>
    </w:p>
    <w:p>
      <w:pPr>
        <w:jc w:val="center"/>
        <w:spacing w:after="0" w:line="209" w:lineRule="auto"/>
        <w:rPr>
          <w:sz w:val="20"/>
          <w:szCs w:val="20"/>
          <w:color w:val="auto"/>
        </w:rPr>
      </w:pPr>
      <w:r>
        <w:rPr>
          <w:rFonts w:ascii="Times New Roman" w:cs="Times New Roman" w:eastAsia="Times New Roman" w:hAnsi="Times New Roman"/>
          <w:sz w:val="22"/>
          <w:szCs w:val="22"/>
          <w:b w:val="1"/>
          <w:bCs w:val="1"/>
          <w:color w:val="auto"/>
        </w:rPr>
        <w:t>2024 RESTRICTED STOCK RIGHTS GRANT AGREEMENT</w:t>
      </w:r>
    </w:p>
    <w:p>
      <w:pPr>
        <w:spacing w:after="0" w:line="1" w:lineRule="exact"/>
        <w:rPr>
          <w:sz w:val="20"/>
          <w:szCs w:val="20"/>
          <w:color w:val="auto"/>
        </w:rPr>
      </w:pPr>
    </w:p>
    <w:p>
      <w:pPr>
        <w:ind w:right="240" w:firstLine="405"/>
        <w:spacing w:after="0" w:line="208" w:lineRule="auto"/>
        <w:rPr>
          <w:sz w:val="20"/>
          <w:szCs w:val="20"/>
          <w:color w:val="auto"/>
        </w:rPr>
      </w:pPr>
      <w:r>
        <w:rPr>
          <w:rFonts w:ascii="Times New Roman" w:cs="Times New Roman" w:eastAsia="Times New Roman" w:hAnsi="Times New Roman"/>
          <w:sz w:val="18"/>
          <w:szCs w:val="18"/>
          <w:color w:val="auto"/>
        </w:rPr>
        <w:t>This 2024 Restricted Stock Rights Grant Agreement (“Agreement”) applies to certain “Restricted Stock Rights” (“RSRs”) granted by Northrop Grumman Corporation (the “Company”) in 2024 under its 2011 Long-Term Incentive Stock Plan. If you were granted an RSR award by the Company in 2024, the date of grant of your RSR award (the “Grant Date”) and the number of RSRs applicable to your award are set forth in the letter from the</w:t>
      </w:r>
    </w:p>
    <w:p>
      <w:pPr>
        <w:spacing w:after="0" w:line="2"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8"/>
          <w:szCs w:val="18"/>
          <w:color w:val="auto"/>
        </w:rPr>
        <w:t>Company announcing your RSR award (your “Grant Letter”) and are also reflected in the electronic stock plan award recordkeeping system (“Stock Plan System”) maintained by the Company or its designee. This Agreement applies only with respect to the 2024 RSR award, and you are subject to this Agreement upon accepting your grant. If you were granted an RSR award, you are referred to as the “Grantee” with respect to your award. Capitalized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are generally defined in Section 12 below if not otherwise defined herein.</w:t>
      </w:r>
    </w:p>
    <w:p>
      <w:pPr>
        <w:spacing w:after="0" w:line="1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Each RSR represents a right to receive one share of the Company’s Common Stock, or cash of equivalent value as provided herein, subject to vesting as</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provided herein. The number of RSRs subject to your award is subject to adjustment as provided herein. The RSR award is subject to all of the terms and conditions set forth in this Agreement, and is further subject to all of the terms and conditions of the Plan, as it may be amended from time to time, and any rules adopted by the Committee, as such rules are in effect from time to time. If you do not formally accept your RSR award by entering into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 accordance with the instructions and time limit set forth in your Grant Letter, you will be deemed to have forfeited your RSR award.</w:t>
      </w:r>
    </w:p>
    <w:p>
      <w:pPr>
        <w:sectPr>
          <w:pgSz w:w="11900" w:h="16838" w:orient="portrait"/>
          <w:cols w:equalWidth="0" w:num="1">
            <w:col w:w="11240"/>
          </w:cols>
          <w:pgMar w:left="320" w:top="94" w:right="339" w:bottom="1440" w:gutter="0" w:footer="0" w:header="0"/>
        </w:sectPr>
      </w:pPr>
    </w:p>
    <w:p>
      <w:pPr>
        <w:spacing w:after="0" w:line="161" w:lineRule="exact"/>
        <w:rPr>
          <w:sz w:val="20"/>
          <w:szCs w:val="20"/>
          <w:color w:val="auto"/>
        </w:rPr>
      </w:pPr>
    </w:p>
    <w:p>
      <w:pPr>
        <w:ind w:left="400" w:hanging="392"/>
        <w:spacing w:after="0"/>
        <w:tabs>
          <w:tab w:leader="none" w:pos="4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Issuance of Shares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420" w:firstLine="405"/>
        <w:spacing w:after="0" w:line="216" w:lineRule="auto"/>
        <w:rPr>
          <w:sz w:val="20"/>
          <w:szCs w:val="20"/>
          <w:color w:val="auto"/>
        </w:rPr>
      </w:pPr>
      <w:r>
        <w:rPr>
          <w:rFonts w:ascii="Times New Roman" w:cs="Times New Roman" w:eastAsia="Times New Roman" w:hAnsi="Times New Roman"/>
          <w:sz w:val="18"/>
          <w:szCs w:val="18"/>
          <w:color w:val="auto"/>
        </w:rPr>
        <w:t>Subject to Sections 2, 3, 4 and 6 below, one hundred percent (100%) of the number of RSRs (and any Dividend Equivalents (as defined below)) subject to your award (subject to adjustment as</w:t>
      </w:r>
    </w:p>
    <w:p>
      <w:pPr>
        <w:spacing w:after="0" w:line="1"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provided in Section 6.1) shall vest upon the third anniversary of the Grant Date, provided that if the third anniversary of the Grant Date falls on a weekend or holiday, then the award shall vest on the next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i w:val="1"/>
          <w:iCs w:val="1"/>
          <w:color w:val="auto"/>
        </w:rPr>
        <w:t>Payment of RSRs</w:t>
      </w:r>
      <w:r>
        <w:rPr>
          <w:rFonts w:ascii="Times New Roman" w:cs="Times New Roman" w:eastAsia="Times New Roman" w:hAnsi="Times New Roman"/>
          <w:sz w:val="18"/>
          <w:szCs w:val="18"/>
          <w:color w:val="auto"/>
        </w:rPr>
        <w:t>. Except as otherwise provided below, the</w:t>
      </w:r>
    </w:p>
    <w:p>
      <w:pPr>
        <w:spacing w:after="0" w:line="6"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Company shall pay an RSR subject to the award that vests (“Vested RSR”) (and related Dividend Equivalents) within 60 days following the vesting of the RSR on the third anniversary of the Grant Date. The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Company shall pay such Vested RSRs in either an equivalent number of shares of Common Stock, or, in the discretion of the Committee, in cash or in a combination of shares of Common Stock and cash. In the event</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of a cash payment, the amount of the payment for each Vested RSR to be paid in cash will equal the Fair Market Value (as defined below) of a share of Common Stock as of the date that such RSR became vested.</w:t>
      </w:r>
    </w:p>
    <w:p>
      <w:pPr>
        <w:spacing w:after="0" w:line="12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The Grantee shall be entitled to</w:t>
      </w:r>
    </w:p>
    <w:p>
      <w:pPr>
        <w:jc w:val="center"/>
        <w:ind w:right="200"/>
        <w:spacing w:after="0" w:line="232" w:lineRule="auto"/>
        <w:rPr>
          <w:sz w:val="20"/>
          <w:szCs w:val="20"/>
          <w:color w:val="auto"/>
        </w:rPr>
      </w:pPr>
      <w:r>
        <w:rPr>
          <w:rFonts w:ascii="Times New Roman" w:cs="Times New Roman" w:eastAsia="Times New Roman" w:hAnsi="Times New Roman"/>
          <w:sz w:val="17"/>
          <w:szCs w:val="17"/>
          <w:color w:val="auto"/>
        </w:rPr>
        <w:t>payment for Dividend Equivalents (if any) with respect to any Vested</w:t>
      </w:r>
    </w:p>
    <w:p>
      <w:pPr>
        <w:ind w:right="100"/>
        <w:spacing w:after="0" w:line="220" w:lineRule="auto"/>
        <w:rPr>
          <w:sz w:val="20"/>
          <w:szCs w:val="20"/>
          <w:color w:val="auto"/>
        </w:rPr>
      </w:pPr>
      <w:r>
        <w:rPr>
          <w:rFonts w:ascii="Times New Roman" w:cs="Times New Roman" w:eastAsia="Times New Roman" w:hAnsi="Times New Roman"/>
          <w:sz w:val="17"/>
          <w:szCs w:val="17"/>
          <w:color w:val="auto"/>
        </w:rPr>
        <w:t>RSRs. For purposes of this Agreement, “Dividend Equivalents” means the aggregate amount of dividends paid by the Company on a number of shares of Common Stock equivalent to the number of Vested RSRs</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during the period from the Grant date until the date the Vested RSRs are paid (without interest or other adjustments to reflect the time value of money). Dividend Equivalents (if any) will be paid at the same time as</w:t>
      </w:r>
    </w:p>
    <w:p>
      <w:pPr>
        <w:spacing w:after="0" w:line="2"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the Vested RSRs to which they relate are paid. Dividend Equivalents will be paid in cash.</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382" w:hanging="382"/>
        <w:spacing w:after="0"/>
        <w:tabs>
          <w:tab w:leader="none" w:pos="38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Early Termination of Award; Termination of Employment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 w:right="160" w:firstLine="405"/>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2.1 </w:t>
      </w:r>
      <w:r>
        <w:rPr>
          <w:rFonts w:ascii="Times New Roman" w:cs="Times New Roman" w:eastAsia="Times New Roman" w:hAnsi="Times New Roman"/>
          <w:sz w:val="17"/>
          <w:szCs w:val="17"/>
          <w:b w:val="1"/>
          <w:bCs w:val="1"/>
          <w:i w:val="1"/>
          <w:iCs w:val="1"/>
          <w:color w:val="auto"/>
        </w:rPr>
        <w:t>General</w:t>
      </w:r>
      <w:r>
        <w:rPr>
          <w:rFonts w:ascii="Times New Roman" w:cs="Times New Roman" w:eastAsia="Times New Roman" w:hAnsi="Times New Roman"/>
          <w:sz w:val="17"/>
          <w:szCs w:val="17"/>
          <w:color w:val="auto"/>
        </w:rPr>
        <w:t>. The RSRs (and related Dividend Equivalents)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the award, to the extent not previously vested, shall terminate and become null and void if and when (a) the award terminates in</w:t>
      </w:r>
    </w:p>
    <w:p>
      <w:pPr>
        <w:spacing w:after="0" w:line="2" w:lineRule="exact"/>
        <w:rPr>
          <w:sz w:val="20"/>
          <w:szCs w:val="20"/>
          <w:color w:val="auto"/>
        </w:rPr>
      </w:pPr>
    </w:p>
    <w:p>
      <w:pPr>
        <w:ind w:left="2" w:right="140"/>
        <w:spacing w:after="0" w:line="208" w:lineRule="auto"/>
        <w:rPr>
          <w:sz w:val="20"/>
          <w:szCs w:val="20"/>
          <w:color w:val="auto"/>
        </w:rPr>
      </w:pPr>
      <w:r>
        <w:rPr>
          <w:rFonts w:ascii="Times New Roman" w:cs="Times New Roman" w:eastAsia="Times New Roman" w:hAnsi="Times New Roman"/>
          <w:sz w:val="18"/>
          <w:szCs w:val="18"/>
          <w:color w:val="auto"/>
        </w:rPr>
        <w:t>connection with a Change in Control pursuant to Section 6 below, or (b) except as provided in Sections 2.6 and 2.7, and in Section 6, the Grantee ceases for any reason to be an employee of the Company or</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one of its subsidiaries.</w:t>
      </w:r>
    </w:p>
    <w:p>
      <w:pPr>
        <w:spacing w:after="0" w:line="120"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i w:val="1"/>
          <w:iCs w:val="1"/>
          <w:color w:val="auto"/>
        </w:rPr>
        <w:t>Leave of Absence</w:t>
      </w:r>
      <w:r>
        <w:rPr>
          <w:rFonts w:ascii="Times New Roman" w:cs="Times New Roman" w:eastAsia="Times New Roman" w:hAnsi="Times New Roman"/>
          <w:sz w:val="18"/>
          <w:szCs w:val="18"/>
          <w:color w:val="auto"/>
        </w:rPr>
        <w:t>. Unless the Committee otherwise provides</w:t>
      </w:r>
    </w:p>
    <w:p>
      <w:pPr>
        <w:spacing w:after="0" w:line="6" w:lineRule="exact"/>
        <w:rPr>
          <w:sz w:val="20"/>
          <w:szCs w:val="20"/>
          <w:color w:val="auto"/>
        </w:rPr>
      </w:pPr>
    </w:p>
    <w:p>
      <w:pPr>
        <w:ind w:left="2" w:right="120"/>
        <w:spacing w:after="0" w:line="208" w:lineRule="auto"/>
        <w:rPr>
          <w:sz w:val="20"/>
          <w:szCs w:val="20"/>
          <w:color w:val="auto"/>
        </w:rPr>
      </w:pPr>
      <w:r>
        <w:rPr>
          <w:rFonts w:ascii="Times New Roman" w:cs="Times New Roman" w:eastAsia="Times New Roman" w:hAnsi="Times New Roman"/>
          <w:sz w:val="18"/>
          <w:szCs w:val="18"/>
          <w:color w:val="auto"/>
        </w:rPr>
        <w:t>(at the time of the leave or otherwise), if the Grantee is granted a leave of absence by the Company, the Grantee (a) shall not be deemed to have incurred a termination of employment at the time such leave</w:t>
      </w:r>
    </w:p>
    <w:p>
      <w:pPr>
        <w:spacing w:after="0" w:line="2" w:lineRule="exact"/>
        <w:rPr>
          <w:sz w:val="20"/>
          <w:szCs w:val="20"/>
          <w:color w:val="auto"/>
        </w:rPr>
      </w:pPr>
    </w:p>
    <w:p>
      <w:pPr>
        <w:ind w:left="2" w:right="260"/>
        <w:spacing w:after="0" w:line="220" w:lineRule="auto"/>
        <w:rPr>
          <w:sz w:val="20"/>
          <w:szCs w:val="20"/>
          <w:color w:val="auto"/>
        </w:rPr>
      </w:pPr>
      <w:r>
        <w:rPr>
          <w:rFonts w:ascii="Times New Roman" w:cs="Times New Roman" w:eastAsia="Times New Roman" w:hAnsi="Times New Roman"/>
          <w:sz w:val="17"/>
          <w:szCs w:val="17"/>
          <w:color w:val="auto"/>
        </w:rPr>
        <w:t>commences for purposes of the award, and (b) shall be deemed to be employed by the Company for the duration of such approved leave of absence for purposes of the award. A termination of employment shall</w:t>
      </w:r>
    </w:p>
    <w:p>
      <w:pPr>
        <w:spacing w:after="0" w:line="2" w:lineRule="exact"/>
        <w:rPr>
          <w:sz w:val="20"/>
          <w:szCs w:val="20"/>
          <w:color w:val="auto"/>
        </w:rPr>
      </w:pPr>
    </w:p>
    <w:p>
      <w:pPr>
        <w:ind w:left="2" w:right="180"/>
        <w:spacing w:after="0" w:line="218" w:lineRule="auto"/>
        <w:rPr>
          <w:sz w:val="20"/>
          <w:szCs w:val="20"/>
          <w:color w:val="auto"/>
        </w:rPr>
      </w:pPr>
      <w:r>
        <w:rPr>
          <w:rFonts w:ascii="Times New Roman" w:cs="Times New Roman" w:eastAsia="Times New Roman" w:hAnsi="Times New Roman"/>
          <w:sz w:val="18"/>
          <w:szCs w:val="18"/>
          <w:color w:val="auto"/>
        </w:rPr>
        <w:t>be deemed to have occurred if the Grantee does not timely return to active employment upon the expiration of such approved leave or if the Grantee commences a leave that is not approved by the Company.</w:t>
      </w:r>
    </w:p>
    <w:p>
      <w:pPr>
        <w:spacing w:after="0" w:line="127" w:lineRule="exact"/>
        <w:rPr>
          <w:sz w:val="20"/>
          <w:szCs w:val="20"/>
          <w:color w:val="auto"/>
        </w:rPr>
      </w:pPr>
    </w:p>
    <w:p>
      <w:pPr>
        <w:ind w:left="2" w:right="300" w:firstLine="405"/>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i w:val="1"/>
          <w:iCs w:val="1"/>
          <w:color w:val="auto"/>
        </w:rPr>
        <w:t>Salary Continuation</w:t>
      </w:r>
      <w:r>
        <w:rPr>
          <w:rFonts w:ascii="Times New Roman" w:cs="Times New Roman" w:eastAsia="Times New Roman" w:hAnsi="Times New Roman"/>
          <w:sz w:val="18"/>
          <w:szCs w:val="18"/>
          <w:color w:val="auto"/>
        </w:rPr>
        <w:t>. Subject to Section 2.2 above,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as used herein means active employment by the</w:t>
      </w:r>
    </w:p>
    <w:p>
      <w:pPr>
        <w:jc w:val="both"/>
        <w:ind w:left="2" w:right="380"/>
        <w:spacing w:after="0" w:line="208" w:lineRule="auto"/>
        <w:rPr>
          <w:sz w:val="20"/>
          <w:szCs w:val="20"/>
          <w:color w:val="auto"/>
        </w:rPr>
      </w:pPr>
      <w:r>
        <w:rPr>
          <w:rFonts w:ascii="Times New Roman" w:cs="Times New Roman" w:eastAsia="Times New Roman" w:hAnsi="Times New Roman"/>
          <w:sz w:val="18"/>
          <w:szCs w:val="18"/>
          <w:color w:val="auto"/>
        </w:rPr>
        <w:t>Company and salary continuation without active employment (other than a leave of absence approved by the Company that is covered by Section 2.2) will not, in and of itself, constitute “employment” for</w:t>
      </w:r>
    </w:p>
    <w:p>
      <w:pPr>
        <w:spacing w:after="0" w:line="2" w:lineRule="exact"/>
        <w:rPr>
          <w:sz w:val="20"/>
          <w:szCs w:val="20"/>
          <w:color w:val="auto"/>
        </w:rPr>
      </w:pPr>
    </w:p>
    <w:p>
      <w:pPr>
        <w:ind w:left="2" w:right="220"/>
        <w:spacing w:after="0" w:line="220" w:lineRule="auto"/>
        <w:rPr>
          <w:sz w:val="20"/>
          <w:szCs w:val="20"/>
          <w:color w:val="auto"/>
        </w:rPr>
      </w:pPr>
      <w:r>
        <w:rPr>
          <w:rFonts w:ascii="Times New Roman" w:cs="Times New Roman" w:eastAsia="Times New Roman" w:hAnsi="Times New Roman"/>
          <w:sz w:val="17"/>
          <w:szCs w:val="17"/>
          <w:color w:val="auto"/>
        </w:rPr>
        <w:t>purposes hereof (in the case of salary continuation without active employment, the Grantee’s cessation of active employee status shall, subject to Section 2.2, be deemed to be a termination of “employment”</w:t>
      </w:r>
    </w:p>
    <w:p>
      <w:pPr>
        <w:spacing w:after="0" w:line="2" w:lineRule="exact"/>
        <w:rPr>
          <w:sz w:val="20"/>
          <w:szCs w:val="20"/>
          <w:color w:val="auto"/>
        </w:rPr>
      </w:pPr>
    </w:p>
    <w:p>
      <w:pPr>
        <w:ind w:left="2" w:right="280"/>
        <w:spacing w:after="0" w:line="218" w:lineRule="auto"/>
        <w:rPr>
          <w:sz w:val="20"/>
          <w:szCs w:val="20"/>
          <w:color w:val="auto"/>
        </w:rPr>
      </w:pPr>
      <w:r>
        <w:rPr>
          <w:rFonts w:ascii="Times New Roman" w:cs="Times New Roman" w:eastAsia="Times New Roman" w:hAnsi="Times New Roman"/>
          <w:sz w:val="18"/>
          <w:szCs w:val="18"/>
          <w:color w:val="auto"/>
        </w:rPr>
        <w:t>for purposes hereof). Furthermore, salary continuation will not, in and of itself, constitute a leave of absence approved by the Company for purposes of the award.</w:t>
      </w:r>
    </w:p>
    <w:p>
      <w:pPr>
        <w:spacing w:after="0" w:line="200" w:lineRule="exact"/>
        <w:rPr>
          <w:sz w:val="20"/>
          <w:szCs w:val="20"/>
          <w:color w:val="auto"/>
        </w:rPr>
      </w:pPr>
    </w:p>
    <w:p>
      <w:pPr>
        <w:sectPr>
          <w:pgSz w:w="11900" w:h="16838" w:orient="portrait"/>
          <w:cols w:equalWidth="0" w:num="2">
            <w:col w:w="5200" w:space="718"/>
            <w:col w:w="5322"/>
          </w:cols>
          <w:pgMar w:left="320" w:top="9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4"/>
          <w:szCs w:val="14"/>
          <w:color w:val="auto"/>
        </w:rPr>
        <w:t>ELT (2024 RSR Agreement)</w:t>
      </w:r>
      <w:r>
        <w:rPr>
          <w:sz w:val="20"/>
          <w:szCs w:val="20"/>
          <w:color w:val="auto"/>
        </w:rPr>
        <w:tab/>
      </w: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94" w:right="339" w:bottom="1440" w:gutter="0" w:footer="0" w:header="0"/>
          <w:type w:val="continuous"/>
        </w:sectPr>
      </w:pPr>
    </w:p>
    <w:bookmarkStart w:id="36" w:name="page37"/>
    <w:bookmarkEnd w:id="36"/>
    <w:p>
      <w:pPr>
        <w:jc w:val="both"/>
        <w:ind w:right="60" w:firstLine="405"/>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i w:val="1"/>
          <w:iCs w:val="1"/>
          <w:color w:val="auto"/>
        </w:rPr>
        <w:t>Sale or Spinoff of Subsidiary or Business Unit</w:t>
      </w:r>
      <w:r>
        <w:rPr>
          <w:rFonts w:ascii="Times New Roman" w:cs="Times New Roman" w:eastAsia="Times New Roman" w:hAnsi="Times New Roman"/>
          <w:sz w:val="18"/>
          <w:szCs w:val="18"/>
          <w:color w:val="auto"/>
        </w:rPr>
        <w:t>. For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RSRs (and related Dividend Equivalents) subject to the award, a termination of employment of the Grantee shall be deemed to have</w:t>
      </w:r>
    </w:p>
    <w:p>
      <w:pPr>
        <w:spacing w:after="0" w:line="3"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occurred if the Grantee is employed by a subsidiary or business unit and that subsidiary or business unit is sold, spun off, or otherwise divested, the Grantee does not otherwise continue to be employed by the</w:t>
      </w:r>
    </w:p>
    <w:p>
      <w:pPr>
        <w:spacing w:after="0" w:line="2"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8"/>
          <w:szCs w:val="18"/>
          <w:color w:val="auto"/>
        </w:rPr>
        <w:t>Company or one of its subsidiaries after such event, and the divested entity or business (or its successor or a parent company) does not assume the award in connection with such transaction. In the event of</w:t>
      </w:r>
    </w:p>
    <w:p>
      <w:pPr>
        <w:spacing w:after="0" w:line="2" w:lineRule="exact"/>
        <w:rPr>
          <w:sz w:val="20"/>
          <w:szCs w:val="20"/>
          <w:color w:val="auto"/>
        </w:rPr>
      </w:pPr>
    </w:p>
    <w:p>
      <w:pPr>
        <w:jc w:val="both"/>
        <w:ind w:right="60"/>
        <w:spacing w:after="0" w:line="208" w:lineRule="auto"/>
        <w:rPr>
          <w:sz w:val="20"/>
          <w:szCs w:val="20"/>
          <w:color w:val="auto"/>
        </w:rPr>
      </w:pPr>
      <w:r>
        <w:rPr>
          <w:rFonts w:ascii="Times New Roman" w:cs="Times New Roman" w:eastAsia="Times New Roman" w:hAnsi="Times New Roman"/>
          <w:sz w:val="18"/>
          <w:szCs w:val="18"/>
          <w:color w:val="auto"/>
        </w:rPr>
        <w:t>such a termination of employment, the termination shall be deemed to be an Early Retirement unless the Grantee was otherwise eligible at the time of termination for Normal Retirement (in which case, the</w:t>
      </w:r>
    </w:p>
    <w:p>
      <w:pPr>
        <w:spacing w:after="0" w:line="2" w:lineRule="exact"/>
        <w:rPr>
          <w:sz w:val="20"/>
          <w:szCs w:val="20"/>
          <w:color w:val="auto"/>
        </w:rPr>
      </w:pPr>
    </w:p>
    <w:p>
      <w:pPr>
        <w:ind w:right="580"/>
        <w:spacing w:after="0" w:line="226" w:lineRule="auto"/>
        <w:rPr>
          <w:sz w:val="20"/>
          <w:szCs w:val="20"/>
          <w:color w:val="auto"/>
        </w:rPr>
      </w:pPr>
      <w:r>
        <w:rPr>
          <w:rFonts w:ascii="Times New Roman" w:cs="Times New Roman" w:eastAsia="Times New Roman" w:hAnsi="Times New Roman"/>
          <w:sz w:val="18"/>
          <w:szCs w:val="18"/>
          <w:color w:val="auto"/>
        </w:rPr>
        <w:t>termination shall be considered a Normal Retirement) treated as provided for in Section 2.7 (subject to Section 6).</w:t>
      </w:r>
    </w:p>
    <w:p>
      <w:pPr>
        <w:spacing w:after="0" w:line="126" w:lineRule="exact"/>
        <w:rPr>
          <w:sz w:val="20"/>
          <w:szCs w:val="20"/>
          <w:color w:val="auto"/>
        </w:rPr>
      </w:pPr>
    </w:p>
    <w:p>
      <w:pPr>
        <w:jc w:val="both"/>
        <w:ind w:right="60" w:firstLine="405"/>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i w:val="1"/>
          <w:iCs w:val="1"/>
          <w:color w:val="auto"/>
        </w:rPr>
        <w:t>Continuance of Employment Required</w:t>
      </w:r>
      <w:r>
        <w:rPr>
          <w:rFonts w:ascii="Times New Roman" w:cs="Times New Roman" w:eastAsia="Times New Roman" w:hAnsi="Times New Roman"/>
          <w:sz w:val="18"/>
          <w:szCs w:val="18"/>
          <w:color w:val="auto"/>
        </w:rPr>
        <w:t>. Except as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Section 2.6, Section 2.7 and in Section 6, the vesting of the RSRs (and related Dividend Equivalents) subject to the award requires</w:t>
      </w:r>
    </w:p>
    <w:p>
      <w:pPr>
        <w:spacing w:after="0" w:line="3" w:lineRule="exact"/>
        <w:rPr>
          <w:sz w:val="20"/>
          <w:szCs w:val="20"/>
          <w:color w:val="auto"/>
        </w:rPr>
      </w:pPr>
    </w:p>
    <w:p>
      <w:pPr>
        <w:jc w:val="both"/>
        <w:ind w:right="100"/>
        <w:spacing w:after="0" w:line="208" w:lineRule="auto"/>
        <w:rPr>
          <w:sz w:val="20"/>
          <w:szCs w:val="20"/>
          <w:color w:val="auto"/>
        </w:rPr>
      </w:pPr>
      <w:r>
        <w:rPr>
          <w:rFonts w:ascii="Times New Roman" w:cs="Times New Roman" w:eastAsia="Times New Roman" w:hAnsi="Times New Roman"/>
          <w:sz w:val="18"/>
          <w:szCs w:val="18"/>
          <w:color w:val="auto"/>
        </w:rPr>
        <w:t>continued employment through the third anniversary of the Grant Date as a condition to the vesting of any portion of the award. Employment for only a portion of the vesting period, even if a substantial portion,</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will not entitle the Grantee to any proportionate vesting or avoid or mitigate a termination of rights and benefits upon or following a termination of employment. Nothing contained in this Agreement, the</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Stock Plan System, or the Plan constitutes an employment commitment by the Company or any subsidiary, affects the Grantee’s status (if the Grantee is otherwise an at-will employee) as an employee at will who is</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subject to termination without cause, confers upon the Grantee any right to continue in the employ of the Company or any subsidiary, or interferes in any way with the right of the Company or of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to terminate such employment at any time.</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b w:val="1"/>
          <w:bCs w:val="1"/>
          <w:i w:val="1"/>
          <w:iCs w:val="1"/>
          <w:color w:val="auto"/>
        </w:rPr>
        <w:t>Death or Disability</w:t>
      </w:r>
      <w:r>
        <w:rPr>
          <w:rFonts w:ascii="Times New Roman" w:cs="Times New Roman" w:eastAsia="Times New Roman" w:hAnsi="Times New Roman"/>
          <w:sz w:val="18"/>
          <w:szCs w:val="18"/>
          <w:color w:val="auto"/>
        </w:rPr>
        <w:t>. If the Grantee dies or incurs a Disability</w:t>
      </w:r>
    </w:p>
    <w:p>
      <w:pPr>
        <w:spacing w:after="0" w:line="6" w:lineRule="exact"/>
        <w:rPr>
          <w:sz w:val="20"/>
          <w:szCs w:val="20"/>
          <w:color w:val="auto"/>
        </w:rPr>
      </w:pPr>
    </w:p>
    <w:p>
      <w:pPr>
        <w:ind w:right="380"/>
        <w:spacing w:after="0" w:line="208" w:lineRule="auto"/>
        <w:rPr>
          <w:sz w:val="20"/>
          <w:szCs w:val="20"/>
          <w:color w:val="auto"/>
        </w:rPr>
      </w:pPr>
      <w:r>
        <w:rPr>
          <w:rFonts w:ascii="Times New Roman" w:cs="Times New Roman" w:eastAsia="Times New Roman" w:hAnsi="Times New Roman"/>
          <w:sz w:val="18"/>
          <w:szCs w:val="18"/>
          <w:color w:val="auto"/>
        </w:rPr>
        <w:t>while employed by the Company or a subsidiary and such death or Disability occurs more than six months after the Grant Date, the outstanding and previously unvested RSRs (and related Dividend</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Equivalents) subject to the award shall vest as of the date of the Grantee’s death or Disability, as applicable. RSRs (and related Dividend Equivalents) vesting under this Section shall be paid within 60 days</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following the earlier of (a) Grantee’s death or (b) Grantee’s Disability. In the event of the Grantee’s death prior to the delivery of shares or other payment with respect to any vested RSRs (and related Dividend</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Equivalents), the Grantee’s Successor shall be entitled to any payments to which the Grantee would have been entitled under this Agreement with respect to such vested and unpaid RSRs (and related Dividend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Equivalents).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b w:val="1"/>
          <w:bCs w:val="1"/>
          <w:i w:val="1"/>
          <w:iCs w:val="1"/>
          <w:color w:val="auto"/>
        </w:rPr>
        <w:t>Termination of Employment Due to Retirement</w:t>
      </w:r>
      <w:r>
        <w:rPr>
          <w:rFonts w:ascii="Times New Roman" w:cs="Times New Roman" w:eastAsia="Times New Roman" w:hAnsi="Times New Roman"/>
          <w:sz w:val="18"/>
          <w:szCs w:val="18"/>
          <w:color w:val="auto"/>
        </w:rPr>
        <w:t>. If the</w:t>
      </w:r>
    </w:p>
    <w:p>
      <w:pPr>
        <w:spacing w:after="0" w:line="6"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Grantee ceases to be employed by the Company or one of its subsidiaries due to the Grantee’s Early Retirement and such Early Retirement occurs more than six months after the Grant Date, the RSRs</w:t>
      </w:r>
    </w:p>
    <w:p>
      <w:pPr>
        <w:spacing w:after="0" w:line="2"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color w:val="auto"/>
        </w:rPr>
        <w:t>(and related Dividend Equivalents) subject to the award shall vest on a prorated basis. Such prorating of RSRs (and related Dividend Equivalents) shall be determined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br w:type="column"/>
      </w:r>
    </w:p>
    <w:p>
      <w:pPr>
        <w:jc w:val="both"/>
        <w:ind w:left="2" w:right="80"/>
        <w:spacing w:after="0" w:line="216" w:lineRule="auto"/>
        <w:rPr>
          <w:sz w:val="20"/>
          <w:szCs w:val="20"/>
          <w:color w:val="auto"/>
        </w:rPr>
      </w:pPr>
      <w:r>
        <w:rPr>
          <w:rFonts w:ascii="Times New Roman" w:cs="Times New Roman" w:eastAsia="Times New Roman" w:hAnsi="Times New Roman"/>
          <w:sz w:val="18"/>
          <w:szCs w:val="18"/>
          <w:color w:val="auto"/>
        </w:rPr>
        <w:t>on the number of days the Grantee was employed by the Company or a subsidiary in the period commencing with the Grant Date through and including the date on which the Grantee is last employed by the</w:t>
      </w:r>
    </w:p>
    <w:p>
      <w:pPr>
        <w:spacing w:after="0" w:line="1" w:lineRule="exact"/>
        <w:rPr>
          <w:sz w:val="20"/>
          <w:szCs w:val="20"/>
          <w:color w:val="auto"/>
        </w:rPr>
      </w:pPr>
    </w:p>
    <w:p>
      <w:pPr>
        <w:ind w:left="2" w:right="20"/>
        <w:spacing w:after="0" w:line="220" w:lineRule="auto"/>
        <w:rPr>
          <w:sz w:val="20"/>
          <w:szCs w:val="20"/>
          <w:color w:val="auto"/>
        </w:rPr>
      </w:pPr>
      <w:r>
        <w:rPr>
          <w:rFonts w:ascii="Times New Roman" w:cs="Times New Roman" w:eastAsia="Times New Roman" w:hAnsi="Times New Roman"/>
          <w:sz w:val="17"/>
          <w:szCs w:val="17"/>
          <w:color w:val="auto"/>
        </w:rPr>
        <w:t>Company or a subsidiary, over the number of calendar days in the period commencing with the Grant Date through and including the third anniversary of the Grant Date. Any remaining unvested RSRs (and</w:t>
      </w:r>
    </w:p>
    <w:p>
      <w:pPr>
        <w:spacing w:after="0" w:line="2" w:lineRule="exact"/>
        <w:rPr>
          <w:sz w:val="20"/>
          <w:szCs w:val="20"/>
          <w:color w:val="auto"/>
        </w:rPr>
      </w:pPr>
    </w:p>
    <w:p>
      <w:pPr>
        <w:ind w:left="2" w:right="80"/>
        <w:spacing w:after="0" w:line="220" w:lineRule="auto"/>
        <w:rPr>
          <w:sz w:val="20"/>
          <w:szCs w:val="20"/>
          <w:color w:val="auto"/>
        </w:rPr>
      </w:pPr>
      <w:r>
        <w:rPr>
          <w:rFonts w:ascii="Times New Roman" w:cs="Times New Roman" w:eastAsia="Times New Roman" w:hAnsi="Times New Roman"/>
          <w:sz w:val="17"/>
          <w:szCs w:val="17"/>
          <w:color w:val="auto"/>
        </w:rPr>
        <w:t>related Dividend Equivalents), after giving effect to the foregoing acceleration of vesting, shall terminate immediately upon the Grantee’s Early Retirement. If the Grantee ceases to be employed by the</w:t>
      </w:r>
    </w:p>
    <w:p>
      <w:pPr>
        <w:spacing w:after="0" w:line="2" w:lineRule="exact"/>
        <w:rPr>
          <w:sz w:val="20"/>
          <w:szCs w:val="20"/>
          <w:color w:val="auto"/>
        </w:rPr>
      </w:pPr>
    </w:p>
    <w:p>
      <w:pPr>
        <w:ind w:left="2" w:right="160"/>
        <w:spacing w:after="0" w:line="208" w:lineRule="auto"/>
        <w:rPr>
          <w:sz w:val="20"/>
          <w:szCs w:val="20"/>
          <w:color w:val="auto"/>
        </w:rPr>
      </w:pPr>
      <w:r>
        <w:rPr>
          <w:rFonts w:ascii="Times New Roman" w:cs="Times New Roman" w:eastAsia="Times New Roman" w:hAnsi="Times New Roman"/>
          <w:sz w:val="18"/>
          <w:szCs w:val="18"/>
          <w:color w:val="auto"/>
        </w:rPr>
        <w:t>Company or one of its subsidiaries due to the Grantee’s Normal Retirement and such Normal Retirement occurs more than six months after the Grant Date, the RSRs (and related Dividend Equivalents)</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subject to the award shall vest in full.</w:t>
      </w:r>
    </w:p>
    <w:p>
      <w:pPr>
        <w:spacing w:after="0" w:line="124"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Subject to the following provisions of this paragraph, RSRs (and</w:t>
      </w:r>
    </w:p>
    <w:p>
      <w:pPr>
        <w:spacing w:after="0" w:line="2" w:lineRule="exact"/>
        <w:rPr>
          <w:sz w:val="20"/>
          <w:szCs w:val="20"/>
          <w:color w:val="auto"/>
        </w:rPr>
      </w:pPr>
    </w:p>
    <w:p>
      <w:pPr>
        <w:ind w:left="2" w:right="180"/>
        <w:spacing w:after="0" w:line="208" w:lineRule="auto"/>
        <w:rPr>
          <w:sz w:val="20"/>
          <w:szCs w:val="20"/>
          <w:color w:val="auto"/>
        </w:rPr>
      </w:pPr>
      <w:r>
        <w:rPr>
          <w:rFonts w:ascii="Times New Roman" w:cs="Times New Roman" w:eastAsia="Times New Roman" w:hAnsi="Times New Roman"/>
          <w:sz w:val="18"/>
          <w:szCs w:val="18"/>
          <w:color w:val="auto"/>
        </w:rPr>
        <w:t>related Dividend Equivalents) vesting under this Section shall be paid within 60 days following the Grantee’s Separation from Service. However, in the case of a Governmental Service Retirement by the</w:t>
      </w:r>
    </w:p>
    <w:p>
      <w:pPr>
        <w:spacing w:after="0" w:line="2" w:lineRule="exact"/>
        <w:rPr>
          <w:sz w:val="20"/>
          <w:szCs w:val="20"/>
          <w:color w:val="auto"/>
        </w:rPr>
      </w:pPr>
    </w:p>
    <w:p>
      <w:pPr>
        <w:ind w:left="2" w:right="120"/>
        <w:spacing w:after="0" w:line="220" w:lineRule="auto"/>
        <w:rPr>
          <w:sz w:val="20"/>
          <w:szCs w:val="20"/>
          <w:color w:val="auto"/>
        </w:rPr>
      </w:pPr>
      <w:r>
        <w:rPr>
          <w:rFonts w:ascii="Times New Roman" w:cs="Times New Roman" w:eastAsia="Times New Roman" w:hAnsi="Times New Roman"/>
          <w:sz w:val="17"/>
          <w:szCs w:val="17"/>
          <w:color w:val="auto"/>
        </w:rPr>
        <w:t>Grantee, payment of the vested RSRs (and related Dividend Equivalents) will be made within 10 days after the Grantee’s Early or Normal Retirement. If the Grantee is a Key Employee as of the date of</w:t>
      </w:r>
    </w:p>
    <w:p>
      <w:pPr>
        <w:spacing w:after="0" w:line="2" w:lineRule="exact"/>
        <w:rPr>
          <w:sz w:val="20"/>
          <w:szCs w:val="20"/>
          <w:color w:val="auto"/>
        </w:rPr>
      </w:pPr>
    </w:p>
    <w:p>
      <w:pPr>
        <w:ind w:left="2" w:right="80"/>
        <w:spacing w:after="0" w:line="208" w:lineRule="auto"/>
        <w:rPr>
          <w:sz w:val="20"/>
          <w:szCs w:val="20"/>
          <w:color w:val="auto"/>
        </w:rPr>
      </w:pPr>
      <w:r>
        <w:rPr>
          <w:rFonts w:ascii="Times New Roman" w:cs="Times New Roman" w:eastAsia="Times New Roman" w:hAnsi="Times New Roman"/>
          <w:sz w:val="18"/>
          <w:szCs w:val="18"/>
          <w:color w:val="auto"/>
        </w:rPr>
        <w:t>the Grantee’s Separation from Service, the Grantee shall not be entitled to payment of his or her vested RSRs (and related Dividend Equivalents) pursuant to this Section until the earlier of (and payment</w:t>
      </w:r>
    </w:p>
    <w:p>
      <w:pPr>
        <w:ind w:left="2"/>
        <w:spacing w:after="0" w:line="205" w:lineRule="auto"/>
        <w:rPr>
          <w:sz w:val="20"/>
          <w:szCs w:val="20"/>
          <w:color w:val="auto"/>
        </w:rPr>
      </w:pPr>
      <w:r>
        <w:rPr>
          <w:rFonts w:ascii="Times New Roman" w:cs="Times New Roman" w:eastAsia="Times New Roman" w:hAnsi="Times New Roman"/>
          <w:sz w:val="18"/>
          <w:szCs w:val="18"/>
          <w:color w:val="auto"/>
        </w:rPr>
        <w:t>shall be made upon or promptly after, and in all events within thirty</w:t>
      </w:r>
    </w:p>
    <w:p>
      <w:pPr>
        <w:spacing w:after="0" w:line="1" w:lineRule="exact"/>
        <w:rPr>
          <w:sz w:val="20"/>
          <w:szCs w:val="20"/>
          <w:color w:val="auto"/>
        </w:rPr>
      </w:pPr>
    </w:p>
    <w:p>
      <w:pPr>
        <w:ind w:left="2" w:right="40" w:hanging="2"/>
        <w:spacing w:after="0" w:line="228" w:lineRule="auto"/>
        <w:tabs>
          <w:tab w:leader="none" w:pos="34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the first to occur of) (a) the date which is six (6) months and one day after the Grantee’s Separation from Service, or (b) the date of the Grantee’s death. The provisions of the preceding sentence shall only apply if, and to the extent, required to avoid the imputation of any tax, penalty or interest pursuant to Section 409A of the Code.</w:t>
      </w:r>
    </w:p>
    <w:p>
      <w:pPr>
        <w:spacing w:after="0" w:line="131" w:lineRule="exact"/>
        <w:rPr>
          <w:sz w:val="20"/>
          <w:szCs w:val="20"/>
          <w:color w:val="auto"/>
        </w:rPr>
      </w:pPr>
    </w:p>
    <w:p>
      <w:pPr>
        <w:ind w:left="2" w:right="100" w:firstLine="180"/>
        <w:spacing w:after="0" w:line="236" w:lineRule="auto"/>
        <w:rPr>
          <w:sz w:val="20"/>
          <w:szCs w:val="20"/>
          <w:color w:val="auto"/>
        </w:rPr>
      </w:pPr>
      <w:r>
        <w:rPr>
          <w:rFonts w:ascii="Times New Roman" w:cs="Times New Roman" w:eastAsia="Times New Roman" w:hAnsi="Times New Roman"/>
          <w:sz w:val="17"/>
          <w:szCs w:val="17"/>
          <w:color w:val="auto"/>
        </w:rPr>
        <w:t>In determining the Grantee’s eligibility for Early or Normal Retirement, service is measured by dividing (a) the number of days the</w:t>
      </w:r>
    </w:p>
    <w:p>
      <w:pPr>
        <w:ind w:left="2" w:right="160"/>
        <w:spacing w:after="0" w:line="208" w:lineRule="auto"/>
        <w:rPr>
          <w:sz w:val="20"/>
          <w:szCs w:val="20"/>
          <w:color w:val="auto"/>
        </w:rPr>
      </w:pPr>
      <w:r>
        <w:rPr>
          <w:rFonts w:ascii="Times New Roman" w:cs="Times New Roman" w:eastAsia="Times New Roman" w:hAnsi="Times New Roman"/>
          <w:sz w:val="18"/>
          <w:szCs w:val="18"/>
          <w:color w:val="auto"/>
        </w:rPr>
        <w:t>Grantee was employed by the Company or a subsidiary in the period commencing with his or her last date of hire by the Company or a subsidiary through and including the date on which the Grantee is last</w:t>
      </w:r>
    </w:p>
    <w:p>
      <w:pPr>
        <w:spacing w:after="0" w:line="2" w:lineRule="exact"/>
        <w:rPr>
          <w:sz w:val="20"/>
          <w:szCs w:val="20"/>
          <w:color w:val="auto"/>
        </w:rPr>
      </w:pPr>
    </w:p>
    <w:p>
      <w:pPr>
        <w:jc w:val="both"/>
        <w:ind w:left="2" w:right="180"/>
        <w:spacing w:after="0" w:line="220" w:lineRule="auto"/>
        <w:rPr>
          <w:sz w:val="20"/>
          <w:szCs w:val="20"/>
          <w:color w:val="auto"/>
        </w:rPr>
      </w:pPr>
      <w:r>
        <w:rPr>
          <w:rFonts w:ascii="Times New Roman" w:cs="Times New Roman" w:eastAsia="Times New Roman" w:hAnsi="Times New Roman"/>
          <w:sz w:val="17"/>
          <w:szCs w:val="17"/>
          <w:color w:val="auto"/>
        </w:rPr>
        <w:t>employed by the Company or a subsidiary, by (b) 365. If the Grantee ceased to be employed by the Company or a subsidiary and was later rehired by the Company or a subsidiary, the Grantee’s service prior to</w:t>
      </w:r>
    </w:p>
    <w:p>
      <w:pPr>
        <w:spacing w:after="0" w:line="2" w:lineRule="exact"/>
        <w:rPr>
          <w:sz w:val="20"/>
          <w:szCs w:val="20"/>
          <w:color w:val="auto"/>
        </w:rPr>
      </w:pPr>
    </w:p>
    <w:p>
      <w:pPr>
        <w:jc w:val="both"/>
        <w:ind w:left="2"/>
        <w:spacing w:after="0" w:line="220" w:lineRule="auto"/>
        <w:rPr>
          <w:sz w:val="20"/>
          <w:szCs w:val="20"/>
          <w:color w:val="auto"/>
        </w:rPr>
      </w:pPr>
      <w:r>
        <w:rPr>
          <w:rFonts w:ascii="Times New Roman" w:cs="Times New Roman" w:eastAsia="Times New Roman" w:hAnsi="Times New Roman"/>
          <w:sz w:val="17"/>
          <w:szCs w:val="17"/>
          <w:color w:val="auto"/>
        </w:rPr>
        <w:t>the break in service shall be disregarded in determining service for such purposes; provided that, if the Grantee’s employment with the Company or a subsidiary had terminated due to the Grantee’s Early Retirement,</w:t>
      </w:r>
    </w:p>
    <w:p>
      <w:pPr>
        <w:spacing w:after="0" w:line="2" w:lineRule="exact"/>
        <w:rPr>
          <w:sz w:val="20"/>
          <w:szCs w:val="20"/>
          <w:color w:val="auto"/>
        </w:rPr>
      </w:pPr>
    </w:p>
    <w:p>
      <w:pPr>
        <w:ind w:left="2" w:right="280"/>
        <w:spacing w:after="0" w:line="208" w:lineRule="auto"/>
        <w:rPr>
          <w:sz w:val="20"/>
          <w:szCs w:val="20"/>
          <w:color w:val="auto"/>
        </w:rPr>
      </w:pPr>
      <w:r>
        <w:rPr>
          <w:rFonts w:ascii="Times New Roman" w:cs="Times New Roman" w:eastAsia="Times New Roman" w:hAnsi="Times New Roman"/>
          <w:sz w:val="18"/>
          <w:szCs w:val="18"/>
          <w:color w:val="auto"/>
        </w:rPr>
        <w:t>Normal Retirement, or by the Company or a subsidiary as part of a reduction in force (in each case, other than a termination by the Company or a subsidiary for Cause) and, within the two-year period</w:t>
      </w:r>
    </w:p>
    <w:p>
      <w:pPr>
        <w:spacing w:after="0" w:line="2" w:lineRule="exact"/>
        <w:rPr>
          <w:sz w:val="20"/>
          <w:szCs w:val="20"/>
          <w:color w:val="auto"/>
        </w:rPr>
      </w:pPr>
    </w:p>
    <w:p>
      <w:pPr>
        <w:ind w:left="2" w:right="40"/>
        <w:spacing w:after="0" w:line="220" w:lineRule="auto"/>
        <w:rPr>
          <w:sz w:val="20"/>
          <w:szCs w:val="20"/>
          <w:color w:val="auto"/>
        </w:rPr>
      </w:pPr>
      <w:r>
        <w:rPr>
          <w:rFonts w:ascii="Times New Roman" w:cs="Times New Roman" w:eastAsia="Times New Roman" w:hAnsi="Times New Roman"/>
          <w:sz w:val="17"/>
          <w:szCs w:val="17"/>
          <w:color w:val="auto"/>
        </w:rPr>
        <w:t>following such termination of employment (the “break in service”) the Grantee was subsequently rehired by the Company or a subsidiary, then the Grantee’s period of service with the Company or a subsidiary prior</w:t>
      </w:r>
    </w:p>
    <w:p>
      <w:pPr>
        <w:spacing w:after="0" w:line="2" w:lineRule="exact"/>
        <w:rPr>
          <w:sz w:val="20"/>
          <w:szCs w:val="20"/>
          <w:color w:val="auto"/>
        </w:rPr>
      </w:pPr>
    </w:p>
    <w:p>
      <w:pPr>
        <w:ind w:left="2" w:right="60"/>
        <w:spacing w:after="0" w:line="220" w:lineRule="auto"/>
        <w:rPr>
          <w:sz w:val="20"/>
          <w:szCs w:val="20"/>
          <w:color w:val="auto"/>
        </w:rPr>
      </w:pPr>
      <w:r>
        <w:rPr>
          <w:rFonts w:ascii="Times New Roman" w:cs="Times New Roman" w:eastAsia="Times New Roman" w:hAnsi="Times New Roman"/>
          <w:sz w:val="17"/>
          <w:szCs w:val="17"/>
          <w:color w:val="auto"/>
        </w:rPr>
        <w:t>to and ending with the break in service will be included in determining service for such purposes. In the event the Grantee is employed by a business that is acquired by the Company or a subsidiary, the Company</w:t>
      </w:r>
    </w:p>
    <w:p>
      <w:pPr>
        <w:spacing w:after="0" w:line="2" w:lineRule="exact"/>
        <w:rPr>
          <w:sz w:val="20"/>
          <w:szCs w:val="20"/>
          <w:color w:val="auto"/>
        </w:rPr>
      </w:pPr>
    </w:p>
    <w:p>
      <w:pPr>
        <w:ind w:left="2" w:right="20"/>
        <w:spacing w:after="0" w:line="226" w:lineRule="auto"/>
        <w:rPr>
          <w:sz w:val="20"/>
          <w:szCs w:val="20"/>
          <w:color w:val="auto"/>
        </w:rPr>
      </w:pPr>
      <w:r>
        <w:rPr>
          <w:rFonts w:ascii="Times New Roman" w:cs="Times New Roman" w:eastAsia="Times New Roman" w:hAnsi="Times New Roman"/>
          <w:sz w:val="18"/>
          <w:szCs w:val="18"/>
          <w:color w:val="auto"/>
        </w:rPr>
        <w:t>shall have discretion to determine whether the Grantee’s service prior to the</w:t>
      </w:r>
    </w:p>
    <w:p>
      <w:pPr>
        <w:sectPr>
          <w:pgSz w:w="11900" w:h="16838" w:orient="portrait"/>
          <w:cols w:equalWidth="0" w:num="2">
            <w:col w:w="5200" w:space="718"/>
            <w:col w:w="5202"/>
          </w:cols>
          <w:pgMar w:left="320" w:top="1143"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acquisition will be included in determining service for such purposes.</w:t>
      </w:r>
    </w:p>
    <w:p>
      <w:pPr>
        <w:spacing w:after="0" w:line="140"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and Other Restrictions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 w:firstLine="405"/>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3.1 </w:t>
      </w:r>
      <w:r>
        <w:rPr>
          <w:rFonts w:ascii="Times New Roman" w:cs="Times New Roman" w:eastAsia="Times New Roman" w:hAnsi="Times New Roman"/>
          <w:sz w:val="17"/>
          <w:szCs w:val="17"/>
          <w:b w:val="1"/>
          <w:bCs w:val="1"/>
          <w:i w:val="1"/>
          <w:iCs w:val="1"/>
          <w:color w:val="auto"/>
        </w:rPr>
        <w:t>Non-Transferability</w:t>
      </w:r>
      <w:r>
        <w:rPr>
          <w:rFonts w:ascii="Times New Roman" w:cs="Times New Roman" w:eastAsia="Times New Roman" w:hAnsi="Times New Roman"/>
          <w:sz w:val="17"/>
          <w:szCs w:val="17"/>
          <w:color w:val="auto"/>
        </w:rPr>
        <w:t>. The award, as well as the RSRs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Dividend Equivalents) subject to the award, are non-transferable</w:t>
      </w:r>
    </w:p>
    <w:p>
      <w:pPr>
        <w:spacing w:after="0" w:line="1"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and shall not be subject in any manner to sale, transfer, anticipation, alienation, assignment, pledge, encumbrance or charge. The foregoing transfer restrictions shall not apply to transfers to the Company.</w:t>
      </w:r>
    </w:p>
    <w:p>
      <w:pPr>
        <w:spacing w:after="0" w:line="2" w:lineRule="exact"/>
        <w:rPr>
          <w:sz w:val="20"/>
          <w:szCs w:val="20"/>
          <w:color w:val="auto"/>
        </w:rPr>
      </w:pPr>
    </w:p>
    <w:p>
      <w:pPr>
        <w:jc w:val="both"/>
        <w:ind w:right="200"/>
        <w:spacing w:after="0" w:line="208" w:lineRule="auto"/>
        <w:rPr>
          <w:sz w:val="20"/>
          <w:szCs w:val="20"/>
          <w:color w:val="auto"/>
        </w:rPr>
      </w:pPr>
      <w:r>
        <w:rPr>
          <w:rFonts w:ascii="Times New Roman" w:cs="Times New Roman" w:eastAsia="Times New Roman" w:hAnsi="Times New Roman"/>
          <w:sz w:val="18"/>
          <w:szCs w:val="18"/>
          <w:color w:val="auto"/>
        </w:rPr>
        <w:t>Notwithstanding the foregoing, the Company may honor any transfer required pursuant to the terms of a court order in a divorce or similar domestic relations matter to the extent that such transfer does not</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adversely affect the Company’s ability to register the offer and sale of the underlying shares on a Form S-8 Registration Statement and such transfer is otherwise in compliance with all applicable legal, regulatory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listing requirements.</w:t>
      </w:r>
    </w:p>
    <w:p>
      <w:pPr>
        <w:spacing w:after="0" w:line="120"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i w:val="1"/>
          <w:iCs w:val="1"/>
          <w:color w:val="auto"/>
        </w:rPr>
        <w:t>Forfeiture or Recoupment of Awards</w:t>
      </w:r>
      <w:r>
        <w:rPr>
          <w:rFonts w:ascii="Times New Roman" w:cs="Times New Roman" w:eastAsia="Times New Roman" w:hAnsi="Times New Roman"/>
          <w:sz w:val="17"/>
          <w:szCs w:val="17"/>
          <w:color w:val="auto"/>
        </w:rPr>
        <w:t>. If, prior to payment</w:t>
      </w:r>
    </w:p>
    <w:p>
      <w:pPr>
        <w:spacing w:after="0" w:line="6"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or issuance of shares with respect to the award, Grantee’s employment is terminated for Cause (or Grantee has engaged in misconduct that could have resulted in Grantee’s termination of employment for Cause</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if Grantee had remained an employee), the Company may reduce or eliminate any payments or issuances of shares with respect to the award. You agree to be bound by and fully comply with the Company’s</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Policy regarding the Recoupment of Certain Incentive Compensation Payments filed as Exhibit 97 to the Company’s 10-K for the year ended December 31, 2023 and as in effect from time to time (“Recoupment</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Policy.”). Any payments or issuances of shares with respect to the award are subject to recoupment pursuant to the Recoupment Policy , as well as any recoupment or similar provisions of applicable law, and the</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Grantee shall promptly make any reimbursement requested by the Board or Committee pursuant to such policy or applicable law with respect to the award. The Grantee agrees, by accepting the award, that</w:t>
      </w:r>
    </w:p>
    <w:p>
      <w:pPr>
        <w:spacing w:after="0" w:line="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the Company and its affiliates may deduct from any amounts it may owe the Grantee from time to time (such as wages or other compensation) to the extent of any amounts the Grantee is required to</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reimburse the Company pursuant to such policy or applicable law with respect to the award.</w:t>
      </w:r>
    </w:p>
    <w:p>
      <w:pPr>
        <w:spacing w:after="0" w:line="126"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Post-Employment Conduct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i w:val="1"/>
          <w:iCs w:val="1"/>
          <w:color w:val="auto"/>
        </w:rPr>
        <w:t>Executive Leadership Team Contribution.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acknowledge</w:t>
      </w:r>
    </w:p>
    <w:p>
      <w:pPr>
        <w:spacing w:after="0" w:line="6"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and agree that as a member of the Executive Leadership Team (“ELT”), you are involved in managing the global operations of the Company, incorporated in Delaware and headquartered in Virginia. You are</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involved in the most sensitive and proprietary matters affecting the Company, its subsidiaries, predecessors, and/or affiliates (collectively, “Northrop Grumman”), including from a technical, strategic and</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financial perspective, and are widely exposed to confidential, sensitive and proprietary information concerning Northrop Grumman’s global operations, at the headquarters and each of the operating sectors,</w:t>
      </w:r>
    </w:p>
    <w:p>
      <w:pPr>
        <w:spacing w:after="0" w:line="2"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8"/>
          <w:szCs w:val="18"/>
          <w:color w:val="auto"/>
        </w:rPr>
        <w:t>including in the areas of autonomous systems, cyber, C4ISR, space, strike, sensors, electronics, and logistics and modernization. Your job responsibilities require that you have a primary office location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 and/or you</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2" w:right="40"/>
        <w:spacing w:after="0" w:line="229" w:lineRule="auto"/>
        <w:rPr>
          <w:sz w:val="20"/>
          <w:szCs w:val="20"/>
          <w:color w:val="auto"/>
        </w:rPr>
      </w:pPr>
      <w:r>
        <w:rPr>
          <w:rFonts w:ascii="Times New Roman" w:cs="Times New Roman" w:eastAsia="Times New Roman" w:hAnsi="Times New Roman"/>
          <w:sz w:val="17"/>
          <w:szCs w:val="17"/>
          <w:color w:val="auto"/>
        </w:rPr>
        <w:t>spend substantial time at the corporate headquarters in Virginia, among other things, attending ELT and other leadership meetings, and managing operations and employees in Virginia. You occupy one of the</w:t>
      </w:r>
    </w:p>
    <w:p>
      <w:pPr>
        <w:ind w:left="2" w:right="120"/>
        <w:spacing w:after="0" w:line="220" w:lineRule="auto"/>
        <w:rPr>
          <w:sz w:val="20"/>
          <w:szCs w:val="20"/>
          <w:color w:val="auto"/>
        </w:rPr>
      </w:pPr>
      <w:r>
        <w:rPr>
          <w:rFonts w:ascii="Times New Roman" w:cs="Times New Roman" w:eastAsia="Times New Roman" w:hAnsi="Times New Roman"/>
          <w:sz w:val="17"/>
          <w:szCs w:val="17"/>
          <w:color w:val="auto"/>
        </w:rPr>
        <w:t>most senior executive positions in the Company and have far-reaching access to highly confidential, valuable and sensitive information, customer, vendor and employee relationships, intellectual property,</w:t>
      </w:r>
    </w:p>
    <w:p>
      <w:pPr>
        <w:spacing w:after="0" w:line="2" w:lineRule="exact"/>
        <w:rPr>
          <w:sz w:val="20"/>
          <w:szCs w:val="20"/>
          <w:color w:val="auto"/>
        </w:rPr>
      </w:pPr>
    </w:p>
    <w:p>
      <w:pPr>
        <w:ind w:left="2" w:right="60"/>
        <w:spacing w:after="0" w:line="208" w:lineRule="auto"/>
        <w:rPr>
          <w:sz w:val="20"/>
          <w:szCs w:val="20"/>
          <w:color w:val="auto"/>
        </w:rPr>
      </w:pPr>
      <w:r>
        <w:rPr>
          <w:rFonts w:ascii="Times New Roman" w:cs="Times New Roman" w:eastAsia="Times New Roman" w:hAnsi="Times New Roman"/>
          <w:sz w:val="18"/>
          <w:szCs w:val="18"/>
          <w:color w:val="auto"/>
        </w:rPr>
        <w:t>strategic and tactical plans, and financial information and plans. The Company has a legitimate business interest in restricting your ability to compete in the specific manner set forth below. The Company has</w:t>
      </w:r>
    </w:p>
    <w:p>
      <w:pPr>
        <w:spacing w:after="0" w:line="2" w:lineRule="exact"/>
        <w:rPr>
          <w:sz w:val="20"/>
          <w:szCs w:val="20"/>
          <w:color w:val="auto"/>
        </w:rPr>
      </w:pPr>
    </w:p>
    <w:p>
      <w:pPr>
        <w:jc w:val="both"/>
        <w:ind w:left="2" w:right="20"/>
        <w:spacing w:after="0" w:line="220" w:lineRule="auto"/>
        <w:rPr>
          <w:sz w:val="20"/>
          <w:szCs w:val="20"/>
          <w:color w:val="auto"/>
        </w:rPr>
      </w:pPr>
      <w:r>
        <w:rPr>
          <w:rFonts w:ascii="Times New Roman" w:cs="Times New Roman" w:eastAsia="Times New Roman" w:hAnsi="Times New Roman"/>
          <w:sz w:val="17"/>
          <w:szCs w:val="17"/>
          <w:color w:val="auto"/>
        </w:rPr>
        <w:t>provided you this grant, subject to this Agreement and as consideration for the restrictive covenants set forth in this Section 4; provided that the provisions of Sections 4.2 and 4.3 in this Agreement and prior grant</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agreements shall not apply where not permitted by applicable law.</w:t>
      </w:r>
    </w:p>
    <w:p>
      <w:pPr>
        <w:spacing w:after="0" w:line="188" w:lineRule="exact"/>
        <w:rPr>
          <w:sz w:val="20"/>
          <w:szCs w:val="20"/>
          <w:color w:val="auto"/>
        </w:rPr>
      </w:pPr>
    </w:p>
    <w:p>
      <w:pPr>
        <w:ind w:left="2" w:right="200" w:firstLine="324"/>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i w:val="1"/>
          <w:iCs w:val="1"/>
          <w:color w:val="auto"/>
        </w:rPr>
        <w:t>Non-Competition</w:t>
      </w:r>
      <w:r>
        <w:rPr>
          <w:rFonts w:ascii="Times New Roman" w:cs="Times New Roman" w:eastAsia="Times New Roman" w:hAnsi="Times New Roman"/>
          <w:sz w:val="18"/>
          <w:szCs w:val="18"/>
          <w:color w:val="auto"/>
        </w:rPr>
        <w:t>. For a period of twelve (12) months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the termination of Grantee’s employment for any reason</w:t>
      </w:r>
    </w:p>
    <w:p>
      <w:pPr>
        <w:ind w:left="2"/>
        <w:spacing w:after="0" w:line="220" w:lineRule="auto"/>
        <w:rPr>
          <w:sz w:val="20"/>
          <w:szCs w:val="20"/>
          <w:color w:val="auto"/>
        </w:rPr>
      </w:pPr>
      <w:r>
        <w:rPr>
          <w:rFonts w:ascii="Times New Roman" w:cs="Times New Roman" w:eastAsia="Times New Roman" w:hAnsi="Times New Roman"/>
          <w:sz w:val="17"/>
          <w:szCs w:val="17"/>
          <w:color w:val="auto"/>
        </w:rPr>
        <w:t>(other than a Reduction-in-Force as determined at the Company’s sole discretion) (“Termination”), you will not, directly or indirectly, oversee, control, participate in, or support the design, operation, research,</w:t>
      </w:r>
    </w:p>
    <w:p>
      <w:pPr>
        <w:spacing w:after="0" w:line="2" w:lineRule="exact"/>
        <w:rPr>
          <w:sz w:val="20"/>
          <w:szCs w:val="20"/>
          <w:color w:val="auto"/>
        </w:rPr>
      </w:pPr>
    </w:p>
    <w:p>
      <w:pPr>
        <w:ind w:left="2" w:right="100"/>
        <w:spacing w:after="0" w:line="207" w:lineRule="auto"/>
        <w:rPr>
          <w:sz w:val="20"/>
          <w:szCs w:val="20"/>
          <w:color w:val="auto"/>
        </w:rPr>
      </w:pPr>
      <w:r>
        <w:rPr>
          <w:rFonts w:ascii="Times New Roman" w:cs="Times New Roman" w:eastAsia="Times New Roman" w:hAnsi="Times New Roman"/>
          <w:sz w:val="18"/>
          <w:szCs w:val="18"/>
          <w:color w:val="auto"/>
        </w:rPr>
        <w:t>manufacture, marketing, sale, or distribution of “Competitive Products and Services”. For the purpose of this section, “Competitive Products and Services” shall mean products or services that compete for resources with, or are an alternative or potential alternative to, the</w:t>
      </w:r>
    </w:p>
    <w:p>
      <w:pPr>
        <w:spacing w:after="0" w:line="1" w:lineRule="exact"/>
        <w:rPr>
          <w:sz w:val="20"/>
          <w:szCs w:val="20"/>
          <w:color w:val="auto"/>
        </w:rPr>
      </w:pPr>
    </w:p>
    <w:p>
      <w:pPr>
        <w:ind w:left="2" w:right="80"/>
        <w:spacing w:after="0" w:line="220" w:lineRule="auto"/>
        <w:rPr>
          <w:sz w:val="20"/>
          <w:szCs w:val="20"/>
          <w:color w:val="auto"/>
        </w:rPr>
      </w:pPr>
      <w:r>
        <w:rPr>
          <w:rFonts w:ascii="Times New Roman" w:cs="Times New Roman" w:eastAsia="Times New Roman" w:hAnsi="Times New Roman"/>
          <w:sz w:val="17"/>
          <w:szCs w:val="17"/>
          <w:color w:val="auto"/>
        </w:rPr>
        <w:t>products sold or services provided by Northrop Grumman, including without limitation products and services in the areas of autonomous systems, cyber, C4ISR, space, strike, sensors, electronics, and logistics</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and modernization.</w:t>
      </w:r>
    </w:p>
    <w:p>
      <w:pPr>
        <w:spacing w:after="0" w:line="188" w:lineRule="exact"/>
        <w:rPr>
          <w:sz w:val="20"/>
          <w:szCs w:val="20"/>
          <w:color w:val="auto"/>
        </w:rPr>
      </w:pPr>
    </w:p>
    <w:p>
      <w:pPr>
        <w:ind w:left="2" w:right="120" w:firstLine="324"/>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i w:val="1"/>
          <w:iCs w:val="1"/>
          <w:color w:val="auto"/>
        </w:rPr>
        <w:t>Non-Solicitation of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eighteen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from your Termination, you shall not, directly or</w:t>
      </w:r>
    </w:p>
    <w:p>
      <w:pPr>
        <w:ind w:left="2" w:right="40"/>
        <w:spacing w:after="0" w:line="208" w:lineRule="auto"/>
        <w:rPr>
          <w:sz w:val="20"/>
          <w:szCs w:val="20"/>
          <w:color w:val="auto"/>
        </w:rPr>
      </w:pPr>
      <w:r>
        <w:rPr>
          <w:rFonts w:ascii="Times New Roman" w:cs="Times New Roman" w:eastAsia="Times New Roman" w:hAnsi="Times New Roman"/>
          <w:sz w:val="18"/>
          <w:szCs w:val="18"/>
          <w:color w:val="auto"/>
        </w:rPr>
        <w:t>indirectly, solicit any customer, supplier, or teammate of Northrop Grumman with whom you engaged, or about whom you received confidential, sensitive, or proprietary information, in the course of your</w:t>
      </w:r>
    </w:p>
    <w:p>
      <w:pPr>
        <w:spacing w:after="0" w:line="2" w:lineRule="exact"/>
        <w:rPr>
          <w:sz w:val="20"/>
          <w:szCs w:val="20"/>
          <w:color w:val="auto"/>
        </w:rPr>
      </w:pPr>
    </w:p>
    <w:p>
      <w:pPr>
        <w:ind w:left="2" w:right="300"/>
        <w:spacing w:after="0" w:line="208" w:lineRule="auto"/>
        <w:rPr>
          <w:sz w:val="20"/>
          <w:szCs w:val="20"/>
          <w:color w:val="auto"/>
        </w:rPr>
      </w:pPr>
      <w:r>
        <w:rPr>
          <w:rFonts w:ascii="Times New Roman" w:cs="Times New Roman" w:eastAsia="Times New Roman" w:hAnsi="Times New Roman"/>
          <w:sz w:val="18"/>
          <w:szCs w:val="18"/>
          <w:color w:val="auto"/>
        </w:rPr>
        <w:t>employment with Northrop Grumman, for purposes of providing products or services in competition with Northrop Grumman. In the case of a governmental, regulatory or administrative agency,</w:t>
      </w:r>
    </w:p>
    <w:p>
      <w:pPr>
        <w:spacing w:after="0" w:line="2" w:lineRule="exact"/>
        <w:rPr>
          <w:sz w:val="20"/>
          <w:szCs w:val="20"/>
          <w:color w:val="auto"/>
        </w:rPr>
      </w:pPr>
    </w:p>
    <w:p>
      <w:pPr>
        <w:jc w:val="both"/>
        <w:ind w:left="2" w:right="80"/>
        <w:spacing w:after="0" w:line="218" w:lineRule="auto"/>
        <w:rPr>
          <w:sz w:val="20"/>
          <w:szCs w:val="20"/>
          <w:color w:val="auto"/>
        </w:rPr>
      </w:pPr>
      <w:r>
        <w:rPr>
          <w:rFonts w:ascii="Times New Roman" w:cs="Times New Roman" w:eastAsia="Times New Roman" w:hAnsi="Times New Roman"/>
          <w:sz w:val="18"/>
          <w:szCs w:val="18"/>
          <w:color w:val="auto"/>
        </w:rPr>
        <w:t>commission, department or other governmental authority, the customer is determined by reference to the specific program offices or activities for which Northrop Grumman provides goods or services.</w:t>
      </w:r>
    </w:p>
    <w:p>
      <w:pPr>
        <w:spacing w:after="0" w:line="187" w:lineRule="exact"/>
        <w:rPr>
          <w:sz w:val="20"/>
          <w:szCs w:val="20"/>
          <w:color w:val="auto"/>
        </w:rPr>
      </w:pPr>
    </w:p>
    <w:p>
      <w:pPr>
        <w:ind w:left="322"/>
        <w:spacing w:after="0"/>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i w:val="1"/>
          <w:iCs w:val="1"/>
          <w:color w:val="auto"/>
        </w:rPr>
        <w:t>Non-Solicitation of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twenty-four</w:t>
      </w:r>
    </w:p>
    <w:p>
      <w:pPr>
        <w:ind w:left="2" w:hanging="2"/>
        <w:spacing w:after="0" w:line="228" w:lineRule="auto"/>
        <w:tabs>
          <w:tab w:leader="none" w:pos="34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195" w:lineRule="exact"/>
        <w:rPr>
          <w:sz w:val="20"/>
          <w:szCs w:val="20"/>
          <w:color w:val="auto"/>
        </w:rPr>
      </w:pPr>
    </w:p>
    <w:p>
      <w:pPr>
        <w:ind w:left="2" w:right="80" w:firstLine="324"/>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i w:val="1"/>
          <w:iCs w:val="1"/>
          <w:color w:val="auto"/>
        </w:rPr>
        <w:t>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not issue or communicate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whether verbal or written, or take any other action that disparages or may be interpreted to disparage the Company, its</w:t>
      </w:r>
    </w:p>
    <w:p>
      <w:pPr>
        <w:spacing w:after="0" w:line="3" w:lineRule="exact"/>
        <w:rPr>
          <w:sz w:val="20"/>
          <w:szCs w:val="20"/>
          <w:color w:val="auto"/>
        </w:rPr>
      </w:pPr>
    </w:p>
    <w:p>
      <w:pPr>
        <w:ind w:left="2" w:right="40"/>
        <w:spacing w:after="0" w:line="218" w:lineRule="auto"/>
        <w:rPr>
          <w:sz w:val="20"/>
          <w:szCs w:val="20"/>
          <w:color w:val="auto"/>
        </w:rPr>
      </w:pPr>
      <w:r>
        <w:rPr>
          <w:rFonts w:ascii="Times New Roman" w:cs="Times New Roman" w:eastAsia="Times New Roman" w:hAnsi="Times New Roman"/>
          <w:sz w:val="18"/>
          <w:szCs w:val="18"/>
          <w:color w:val="auto"/>
        </w:rPr>
        <w:t>products, services, officers, directors, or employees; provided that the foregoing shall not apply to any truthful statements made in connection with a legal process, including</w:t>
      </w:r>
    </w:p>
    <w:p>
      <w:pPr>
        <w:sectPr>
          <w:pgSz w:w="11900" w:h="16838" w:orient="portrait"/>
          <w:cols w:equalWidth="0" w:num="2">
            <w:col w:w="5200" w:space="718"/>
            <w:col w:w="5182"/>
          </w:cols>
          <w:pgMar w:left="320" w:top="1147"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government investigation, or as otherwise provided by law.</w:t>
      </w:r>
    </w:p>
    <w:p>
      <w:pPr>
        <w:ind w:right="40" w:firstLine="405"/>
        <w:spacing w:after="0" w:line="211"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i w:val="1"/>
          <w:iCs w:val="1"/>
          <w:color w:val="auto"/>
        </w:rPr>
        <w:t>Exceptions.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request an exception to the covenants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4.2, 4.3, or 4.4 by making a written request to the Company’s</w:t>
      </w:r>
    </w:p>
    <w:p>
      <w:pPr>
        <w:spacing w:after="0" w:line="1"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Chief Human Resources Officer, with such exceptions being considered at the sole discretion of the Company and communicated in writing to you.</w:t>
      </w:r>
    </w:p>
    <w:p>
      <w:pPr>
        <w:spacing w:after="0" w:line="195" w:lineRule="exact"/>
        <w:rPr>
          <w:sz w:val="20"/>
          <w:szCs w:val="20"/>
          <w:color w:val="auto"/>
        </w:rPr>
      </w:pPr>
    </w:p>
    <w:p>
      <w:pPr>
        <w:ind w:right="180" w:firstLine="405"/>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4.7 </w:t>
      </w:r>
      <w:r>
        <w:rPr>
          <w:rFonts w:ascii="Times New Roman" w:cs="Times New Roman" w:eastAsia="Times New Roman" w:hAnsi="Times New Roman"/>
          <w:sz w:val="17"/>
          <w:szCs w:val="17"/>
          <w:b w:val="1"/>
          <w:bCs w:val="1"/>
          <w:i w:val="1"/>
          <w:iCs w:val="1"/>
          <w:color w:val="auto"/>
        </w:rPr>
        <w:t>Reasonableness.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agree that the restrictions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Sections 4.2, 4.3, and 4.4 are (i) reasonable and necessary in all respects, including duration, territory and scope of activity, in order to</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protect the Company’s legitimate business interests, (ii) that the parties have attempted to limit your right to compete only to the extent necessary to protect the Company’s legitimate business interests, and</w:t>
      </w:r>
    </w:p>
    <w:p>
      <w:pPr>
        <w:spacing w:after="0" w:line="2" w:lineRule="exact"/>
        <w:rPr>
          <w:sz w:val="20"/>
          <w:szCs w:val="20"/>
          <w:color w:val="auto"/>
        </w:rPr>
      </w:pPr>
    </w:p>
    <w:p>
      <w:pPr>
        <w:ind w:right="180" w:firstLine="8"/>
        <w:spacing w:after="0" w:line="219" w:lineRule="auto"/>
        <w:tabs>
          <w:tab w:leader="none" w:pos="31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you will be able to earn a livelihood without violating the restrictions in this section. It is the intent of the parties that the provisions of this section shall be enforced to the fullest extent permissible under applicable law. However, if any portion of Sections</w:t>
      </w:r>
    </w:p>
    <w:p>
      <w:pPr>
        <w:spacing w:after="0" w:line="1" w:lineRule="exact"/>
        <w:rPr>
          <w:rFonts w:ascii="Times New Roman" w:cs="Times New Roman" w:eastAsia="Times New Roman" w:hAnsi="Times New Roman"/>
          <w:sz w:val="17"/>
          <w:szCs w:val="17"/>
          <w:color w:val="auto"/>
        </w:rPr>
      </w:pPr>
    </w:p>
    <w:p>
      <w:pPr>
        <w:ind w:right="20"/>
        <w:spacing w:after="0" w:line="21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If you violate any provision in Section 4.2, 4.3, 4.4</w:t>
      </w:r>
    </w:p>
    <w:p>
      <w:pPr>
        <w:spacing w:after="0" w:line="6"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and/or 4.5 of this section, the Company shall have the right to terminate without payment to you any unvested and/or unpaid RSRs (and associated Dividend Equivalents) and require that you immediately</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deliver to the Company an amount in cash equal to the aggregate Fair Market Value, determined as of the vesting and/or payment date of all RSRs already received, including any Dividend Equivalents, within one</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year prior to the breach. Further, you acknowledge and agree that a breach of any of the provisions of this section will result in immediate, irreparable, and continuing damage to the Company for which there is</w:t>
      </w:r>
    </w:p>
    <w:p>
      <w:pPr>
        <w:spacing w:after="0" w:line="2" w:lineRule="exact"/>
        <w:rPr>
          <w:sz w:val="20"/>
          <w:szCs w:val="20"/>
          <w:color w:val="auto"/>
        </w:rPr>
      </w:pPr>
    </w:p>
    <w:p>
      <w:pPr>
        <w:ind w:right="240"/>
        <w:spacing w:after="0" w:line="208" w:lineRule="auto"/>
        <w:rPr>
          <w:sz w:val="20"/>
          <w:szCs w:val="20"/>
          <w:color w:val="auto"/>
        </w:rPr>
      </w:pPr>
      <w:r>
        <w:rPr>
          <w:rFonts w:ascii="Times New Roman" w:cs="Times New Roman" w:eastAsia="Times New Roman" w:hAnsi="Times New Roman"/>
          <w:sz w:val="18"/>
          <w:szCs w:val="18"/>
          <w:color w:val="auto"/>
        </w:rPr>
        <w:t>no adequate remedy at law, and the Company will be entitled to injunctive relief, a decree of specific performance, and other relief as may be proper, including monetary damages, to the maximum extent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w:t>
      </w:r>
    </w:p>
    <w:p>
      <w:pPr>
        <w:spacing w:after="0" w:line="188" w:lineRule="exact"/>
        <w:rPr>
          <w:sz w:val="20"/>
          <w:szCs w:val="20"/>
          <w:color w:val="auto"/>
        </w:rPr>
      </w:pPr>
    </w:p>
    <w:p>
      <w:pPr>
        <w:ind w:left="420" w:right="560" w:hanging="412"/>
        <w:spacing w:after="0" w:line="239" w:lineRule="auto"/>
        <w:tabs>
          <w:tab w:leader="none" w:pos="4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Laws; No Stockholder Rights Prior to Issuance</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240" w:firstLine="405"/>
        <w:spacing w:after="0" w:line="222" w:lineRule="auto"/>
        <w:rPr>
          <w:sz w:val="20"/>
          <w:szCs w:val="20"/>
          <w:color w:val="auto"/>
        </w:rPr>
      </w:pPr>
      <w:r>
        <w:rPr>
          <w:rFonts w:ascii="Times New Roman" w:cs="Times New Roman" w:eastAsia="Times New Roman" w:hAnsi="Times New Roman"/>
          <w:sz w:val="18"/>
          <w:szCs w:val="18"/>
          <w:color w:val="auto"/>
        </w:rPr>
        <w:t>The Company’s obligation to make any payments or issue any shares with respect to the award is subject to full compliance with all</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then applicable requirements of law, the Securities and Exchange Commission, or other regulatory agencies having jurisdiction over the Company and its shares, and of any exchange upon which stock of the</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Company may be listed. The Grantee shall not have the rights and privileges of a stockholder, including without limitation the right to vote or receive dividends (except as expressly provided in this Agreement</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with respect to Dividend Equivalents), with respect to any shares which may be issued in respect of the RSRs until the date appearing on the certificate(s) for such shares (or, in the case of shares entered in book</w:t>
      </w:r>
    </w:p>
    <w:p>
      <w:pPr>
        <w:spacing w:after="0" w:line="2"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7"/>
          <w:szCs w:val="17"/>
          <w:color w:val="auto"/>
        </w:rPr>
        <w:t>entry form, the date that the shares are actually recorded in such form for the benefit of the Grantee), if such shares become deliverable.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ind w:left="382" w:hanging="382"/>
        <w:spacing w:after="0"/>
        <w:tabs>
          <w:tab w:leader="none" w:pos="38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Change in Control</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322"/>
        <w:spacing w:after="0"/>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The RSRs, Dividend Equivalents, and the shares</w:t>
      </w:r>
    </w:p>
    <w:p>
      <w:pPr>
        <w:spacing w:after="0" w:line="6" w:lineRule="exact"/>
        <w:rPr>
          <w:sz w:val="20"/>
          <w:szCs w:val="20"/>
          <w:color w:val="auto"/>
        </w:rPr>
      </w:pPr>
    </w:p>
    <w:p>
      <w:pPr>
        <w:ind w:left="2" w:right="220"/>
        <w:spacing w:after="0" w:line="218" w:lineRule="auto"/>
        <w:rPr>
          <w:sz w:val="20"/>
          <w:szCs w:val="20"/>
          <w:color w:val="auto"/>
        </w:rPr>
      </w:pPr>
      <w:r>
        <w:rPr>
          <w:rFonts w:ascii="Times New Roman" w:cs="Times New Roman" w:eastAsia="Times New Roman" w:hAnsi="Times New Roman"/>
          <w:sz w:val="18"/>
          <w:szCs w:val="18"/>
          <w:color w:val="auto"/>
        </w:rPr>
        <w:t>subject to the award are subject to adjustment upon the occurrence of events such as stock splits, stock dividends and other changes in capitalization in accordance with Section 6(a) of the Plan.</w:t>
      </w:r>
    </w:p>
    <w:p>
      <w:pPr>
        <w:spacing w:after="0" w:line="127" w:lineRule="exact"/>
        <w:rPr>
          <w:sz w:val="20"/>
          <w:szCs w:val="20"/>
          <w:color w:val="auto"/>
        </w:rPr>
      </w:pPr>
    </w:p>
    <w:p>
      <w:pPr>
        <w:ind w:left="2" w:right="80" w:firstLine="324"/>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i w:val="1"/>
          <w:iCs w:val="1"/>
          <w:color w:val="auto"/>
        </w:rPr>
        <w:t>Possible Acceleration on Change in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provisions of Section 2 hereof, and further subject</w:t>
      </w:r>
    </w:p>
    <w:p>
      <w:pPr>
        <w:ind w:left="2" w:right="20"/>
        <w:spacing w:after="0" w:line="220" w:lineRule="auto"/>
        <w:rPr>
          <w:sz w:val="20"/>
          <w:szCs w:val="20"/>
          <w:color w:val="auto"/>
        </w:rPr>
      </w:pPr>
      <w:r>
        <w:rPr>
          <w:rFonts w:ascii="Times New Roman" w:cs="Times New Roman" w:eastAsia="Times New Roman" w:hAnsi="Times New Roman"/>
          <w:sz w:val="17"/>
          <w:szCs w:val="17"/>
          <w:color w:val="auto"/>
        </w:rPr>
        <w:t>to the Company’s ability to terminate the award as provided in Section 6.3 below, the outstanding and previously unvested RSRs (and related Dividend Equivalents) subject to the award shall become fully vested as</w:t>
      </w:r>
    </w:p>
    <w:p>
      <w:pPr>
        <w:spacing w:after="0" w:line="2" w:lineRule="exact"/>
        <w:rPr>
          <w:sz w:val="20"/>
          <w:szCs w:val="20"/>
          <w:color w:val="auto"/>
        </w:rPr>
      </w:pPr>
    </w:p>
    <w:p>
      <w:pPr>
        <w:ind w:left="2" w:right="20"/>
        <w:spacing w:after="0" w:line="220" w:lineRule="auto"/>
        <w:rPr>
          <w:sz w:val="20"/>
          <w:szCs w:val="20"/>
          <w:color w:val="auto"/>
        </w:rPr>
      </w:pPr>
      <w:r>
        <w:rPr>
          <w:rFonts w:ascii="Times New Roman" w:cs="Times New Roman" w:eastAsia="Times New Roman" w:hAnsi="Times New Roman"/>
          <w:sz w:val="17"/>
          <w:szCs w:val="17"/>
          <w:color w:val="auto"/>
        </w:rPr>
        <w:t>of the date of the Grantee’s termination of employment if the termination occurs either within the Protected Period corresponding to a Change in Control of the Company or within twenty-four (24) calendar</w:t>
      </w:r>
    </w:p>
    <w:p>
      <w:pPr>
        <w:spacing w:after="0" w:line="2" w:lineRule="exact"/>
        <w:rPr>
          <w:sz w:val="20"/>
          <w:szCs w:val="20"/>
          <w:color w:val="auto"/>
        </w:rPr>
      </w:pPr>
    </w:p>
    <w:p>
      <w:pPr>
        <w:ind w:left="2" w:right="120"/>
        <w:spacing w:after="0" w:line="208" w:lineRule="auto"/>
        <w:rPr>
          <w:sz w:val="20"/>
          <w:szCs w:val="20"/>
          <w:color w:val="auto"/>
        </w:rPr>
      </w:pPr>
      <w:r>
        <w:rPr>
          <w:rFonts w:ascii="Times New Roman" w:cs="Times New Roman" w:eastAsia="Times New Roman" w:hAnsi="Times New Roman"/>
          <w:sz w:val="18"/>
          <w:szCs w:val="18"/>
          <w:color w:val="auto"/>
        </w:rPr>
        <w:t>months following the date of a Change in Control of the Company, the Grantee’s employment by the Company and its subsidiaries is involuntarily terminated by the Company and its subsidiaries for</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reasons other than Cause or by the Grantee for Good Reason.</w:t>
      </w:r>
    </w:p>
    <w:p>
      <w:pPr>
        <w:spacing w:after="0" w:line="124"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Notwithstanding anything else contained herein to the contrary,</w:t>
      </w:r>
    </w:p>
    <w:p>
      <w:pPr>
        <w:spacing w:after="0" w:line="2" w:lineRule="exact"/>
        <w:rPr>
          <w:sz w:val="20"/>
          <w:szCs w:val="20"/>
          <w:color w:val="auto"/>
        </w:rPr>
      </w:pPr>
    </w:p>
    <w:p>
      <w:pPr>
        <w:ind w:left="2"/>
        <w:spacing w:after="0" w:line="208" w:lineRule="auto"/>
        <w:rPr>
          <w:sz w:val="20"/>
          <w:szCs w:val="20"/>
          <w:color w:val="auto"/>
        </w:rPr>
      </w:pPr>
      <w:r>
        <w:rPr>
          <w:rFonts w:ascii="Times New Roman" w:cs="Times New Roman" w:eastAsia="Times New Roman" w:hAnsi="Times New Roman"/>
          <w:sz w:val="18"/>
          <w:szCs w:val="18"/>
          <w:color w:val="auto"/>
        </w:rPr>
        <w:t>the termination of the Grantee’s employment (or other events giving rise to Good Reason) shall not entitle the Grantee to any accelerated vesting pursuant to this Section 6.2 if there is objective evidence that, as</w:t>
      </w:r>
    </w:p>
    <w:p>
      <w:pPr>
        <w:spacing w:after="0" w:line="2" w:lineRule="exact"/>
        <w:rPr>
          <w:sz w:val="20"/>
          <w:szCs w:val="20"/>
          <w:color w:val="auto"/>
        </w:rPr>
      </w:pPr>
    </w:p>
    <w:p>
      <w:pPr>
        <w:ind w:left="2" w:right="60"/>
        <w:spacing w:after="0" w:line="220" w:lineRule="auto"/>
        <w:rPr>
          <w:sz w:val="20"/>
          <w:szCs w:val="20"/>
          <w:color w:val="auto"/>
        </w:rPr>
      </w:pPr>
      <w:r>
        <w:rPr>
          <w:rFonts w:ascii="Times New Roman" w:cs="Times New Roman" w:eastAsia="Times New Roman" w:hAnsi="Times New Roman"/>
          <w:sz w:val="17"/>
          <w:szCs w:val="17"/>
          <w:color w:val="auto"/>
        </w:rPr>
        <w:t>of the commencement of the Protected Period, the Grantee had specifically been identified by the Company as an employee whose employment would be terminated as part of a corporate restructuring or</w:t>
      </w:r>
    </w:p>
    <w:p>
      <w:pPr>
        <w:spacing w:after="0" w:line="2" w:lineRule="exact"/>
        <w:rPr>
          <w:sz w:val="20"/>
          <w:szCs w:val="20"/>
          <w:color w:val="auto"/>
        </w:rPr>
      </w:pPr>
    </w:p>
    <w:p>
      <w:pPr>
        <w:ind w:left="2" w:right="100"/>
        <w:spacing w:after="0" w:line="218" w:lineRule="auto"/>
        <w:rPr>
          <w:sz w:val="20"/>
          <w:szCs w:val="20"/>
          <w:color w:val="auto"/>
        </w:rPr>
      </w:pPr>
      <w:r>
        <w:rPr>
          <w:rFonts w:ascii="Times New Roman" w:cs="Times New Roman" w:eastAsia="Times New Roman" w:hAnsi="Times New Roman"/>
          <w:sz w:val="18"/>
          <w:szCs w:val="18"/>
          <w:color w:val="auto"/>
        </w:rPr>
        <w:t>downsizing program that commenced prior to the Protected Period and such termination of employment was expected at that time to occur within six (6) months.</w:t>
      </w:r>
    </w:p>
    <w:p>
      <w:pPr>
        <w:spacing w:after="0" w:line="131" w:lineRule="exact"/>
        <w:rPr>
          <w:sz w:val="20"/>
          <w:szCs w:val="20"/>
          <w:color w:val="auto"/>
        </w:rPr>
      </w:pPr>
    </w:p>
    <w:p>
      <w:pPr>
        <w:ind w:left="2" w:firstLine="405"/>
        <w:spacing w:after="0" w:line="236" w:lineRule="auto"/>
        <w:rPr>
          <w:sz w:val="20"/>
          <w:szCs w:val="20"/>
          <w:color w:val="auto"/>
        </w:rPr>
      </w:pPr>
      <w:r>
        <w:rPr>
          <w:rFonts w:ascii="Times New Roman" w:cs="Times New Roman" w:eastAsia="Times New Roman" w:hAnsi="Times New Roman"/>
          <w:sz w:val="17"/>
          <w:szCs w:val="17"/>
          <w:color w:val="auto"/>
        </w:rPr>
        <w:t>Payment of any RSRs (and related Dividend Equivalents) that vest under this Section will be made at the time provided for in Section 2.7</w:t>
      </w:r>
    </w:p>
    <w:p>
      <w:pPr>
        <w:ind w:left="2" w:right="280"/>
        <w:spacing w:after="0" w:line="226" w:lineRule="auto"/>
        <w:rPr>
          <w:sz w:val="20"/>
          <w:szCs w:val="20"/>
          <w:color w:val="auto"/>
        </w:rPr>
      </w:pPr>
      <w:r>
        <w:rPr>
          <w:rFonts w:ascii="Times New Roman" w:cs="Times New Roman" w:eastAsia="Times New Roman" w:hAnsi="Times New Roman"/>
          <w:sz w:val="18"/>
          <w:szCs w:val="18"/>
          <w:color w:val="auto"/>
        </w:rPr>
        <w:t>as though the termination of the Grantee’s employment was due to a Normal Retirement.</w:t>
      </w:r>
    </w:p>
    <w:p>
      <w:pPr>
        <w:spacing w:after="0" w:line="126" w:lineRule="exact"/>
        <w:rPr>
          <w:sz w:val="20"/>
          <w:szCs w:val="20"/>
          <w:color w:val="auto"/>
        </w:rPr>
      </w:pPr>
    </w:p>
    <w:p>
      <w:pPr>
        <w:ind w:left="2" w:right="60" w:firstLine="324"/>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i w:val="1"/>
          <w:iCs w:val="1"/>
          <w:color w:val="auto"/>
        </w:rPr>
        <w:t>Automatic Acceleration; Early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undergoes a Change in Control triggered by clause (iii) or (iv) of the definition thereof and the Company is not the surviving entity and the</w:t>
      </w:r>
    </w:p>
    <w:p>
      <w:pPr>
        <w:spacing w:after="0" w:line="3" w:lineRule="exact"/>
        <w:rPr>
          <w:sz w:val="20"/>
          <w:szCs w:val="20"/>
          <w:color w:val="auto"/>
        </w:rPr>
      </w:pPr>
    </w:p>
    <w:p>
      <w:pPr>
        <w:jc w:val="both"/>
        <w:ind w:left="2" w:right="140"/>
        <w:spacing w:after="0" w:line="220" w:lineRule="auto"/>
        <w:rPr>
          <w:sz w:val="20"/>
          <w:szCs w:val="20"/>
          <w:color w:val="auto"/>
        </w:rPr>
      </w:pPr>
      <w:r>
        <w:rPr>
          <w:rFonts w:ascii="Times New Roman" w:cs="Times New Roman" w:eastAsia="Times New Roman" w:hAnsi="Times New Roman"/>
          <w:sz w:val="17"/>
          <w:szCs w:val="17"/>
          <w:color w:val="auto"/>
        </w:rPr>
        <w:t>successor to the Company (if any) (or a Parent thereof) does not agree in writing prior to the occurrence of the Change in Control to continue and assume the award following the Change in Control, or if for any</w:t>
      </w:r>
    </w:p>
    <w:p>
      <w:pPr>
        <w:spacing w:after="0" w:line="2" w:lineRule="exact"/>
        <w:rPr>
          <w:sz w:val="20"/>
          <w:szCs w:val="20"/>
          <w:color w:val="auto"/>
        </w:rPr>
      </w:pPr>
    </w:p>
    <w:p>
      <w:pPr>
        <w:ind w:left="2" w:right="40"/>
        <w:spacing w:after="0" w:line="208" w:lineRule="auto"/>
        <w:rPr>
          <w:sz w:val="20"/>
          <w:szCs w:val="20"/>
          <w:color w:val="auto"/>
        </w:rPr>
      </w:pPr>
      <w:r>
        <w:rPr>
          <w:rFonts w:ascii="Times New Roman" w:cs="Times New Roman" w:eastAsia="Times New Roman" w:hAnsi="Times New Roman"/>
          <w:sz w:val="18"/>
          <w:szCs w:val="18"/>
          <w:color w:val="auto"/>
        </w:rPr>
        <w:t>other reason the award would not continue after the Change in Control, then upon the Change in Control the outstanding and previously unvested RSRs (and related Dividend Equivalents) subject to the award</w:t>
      </w:r>
    </w:p>
    <w:p>
      <w:pPr>
        <w:spacing w:after="0" w:line="2" w:lineRule="exact"/>
        <w:rPr>
          <w:sz w:val="20"/>
          <w:szCs w:val="20"/>
          <w:color w:val="auto"/>
        </w:rPr>
      </w:pPr>
    </w:p>
    <w:p>
      <w:pPr>
        <w:ind w:left="2" w:right="140"/>
        <w:spacing w:after="0" w:line="208" w:lineRule="auto"/>
        <w:rPr>
          <w:sz w:val="20"/>
          <w:szCs w:val="20"/>
          <w:color w:val="auto"/>
        </w:rPr>
      </w:pPr>
      <w:r>
        <w:rPr>
          <w:rFonts w:ascii="Times New Roman" w:cs="Times New Roman" w:eastAsia="Times New Roman" w:hAnsi="Times New Roman"/>
          <w:sz w:val="18"/>
          <w:szCs w:val="18"/>
          <w:color w:val="auto"/>
        </w:rPr>
        <w:t>shall vest fully and completely. Unless the Committee expressly provides otherwise in the circumstances, no acceleration of vesting of the award shall occur pursuant to this Section 6.3 in connection with a</w:t>
      </w:r>
    </w:p>
    <w:p>
      <w:pPr>
        <w:ind w:left="2"/>
        <w:spacing w:after="0" w:line="205" w:lineRule="auto"/>
        <w:rPr>
          <w:sz w:val="20"/>
          <w:szCs w:val="20"/>
          <w:color w:val="auto"/>
        </w:rPr>
      </w:pPr>
      <w:r>
        <w:rPr>
          <w:rFonts w:ascii="Times New Roman" w:cs="Times New Roman" w:eastAsia="Times New Roman" w:hAnsi="Times New Roman"/>
          <w:sz w:val="18"/>
          <w:szCs w:val="18"/>
          <w:color w:val="auto"/>
        </w:rPr>
        <w:t>Change in Control if either (a) the Company is the surviving entity, or</w:t>
      </w:r>
    </w:p>
    <w:p>
      <w:pPr>
        <w:spacing w:after="0" w:line="1" w:lineRule="exact"/>
        <w:rPr>
          <w:sz w:val="20"/>
          <w:szCs w:val="20"/>
          <w:color w:val="auto"/>
        </w:rPr>
      </w:pPr>
    </w:p>
    <w:p>
      <w:pPr>
        <w:ind w:left="2" w:right="40" w:hanging="2"/>
        <w:spacing w:after="0" w:line="216" w:lineRule="auto"/>
        <w:tabs>
          <w:tab w:leader="none" w:pos="2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w:t>
      </w:r>
    </w:p>
    <w:p>
      <w:pPr>
        <w:sectPr>
          <w:pgSz w:w="11900" w:h="16838" w:orient="portrait"/>
          <w:cols w:equalWidth="0" w:num="2">
            <w:col w:w="5220" w:space="698"/>
            <w:col w:w="5202"/>
          </w:cols>
          <w:pgMar w:left="320" w:top="1136" w:right="459" w:bottom="1440" w:gutter="0" w:footer="0" w:header="0"/>
        </w:sectPr>
      </w:pPr>
    </w:p>
    <w:bookmarkStart w:id="39" w:name="page40"/>
    <w:bookmarkEnd w:id="39"/>
    <w:p>
      <w:pPr>
        <w:jc w:val="both"/>
        <w:ind w:right="160"/>
        <w:spacing w:after="0" w:line="216" w:lineRule="auto"/>
        <w:rPr>
          <w:sz w:val="20"/>
          <w:szCs w:val="20"/>
          <w:color w:val="auto"/>
        </w:rPr>
      </w:pPr>
      <w:r>
        <w:rPr>
          <w:rFonts w:ascii="Times New Roman" w:cs="Times New Roman" w:eastAsia="Times New Roman" w:hAnsi="Times New Roman"/>
          <w:sz w:val="18"/>
          <w:szCs w:val="18"/>
          <w:color w:val="auto"/>
        </w:rPr>
        <w:t>appropriate to permit the Grantee to realize the benefits intended to be conveyed with respect to the shares underlying the RSRs (and related Dividend Equivalents); provided, however, that, the Committee may</w:t>
      </w:r>
    </w:p>
    <w:p>
      <w:pPr>
        <w:spacing w:after="0" w:line="1"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reinstate the original terms of the award if the related event does not actually occur.</w:t>
      </w:r>
    </w:p>
    <w:p>
      <w:pPr>
        <w:spacing w:after="0" w:line="130" w:lineRule="exact"/>
        <w:rPr>
          <w:sz w:val="20"/>
          <w:szCs w:val="20"/>
          <w:color w:val="auto"/>
        </w:rPr>
      </w:pPr>
    </w:p>
    <w:p>
      <w:pPr>
        <w:ind w:firstLine="405"/>
        <w:spacing w:after="0" w:line="216" w:lineRule="auto"/>
        <w:rPr>
          <w:sz w:val="20"/>
          <w:szCs w:val="20"/>
          <w:color w:val="auto"/>
        </w:rPr>
      </w:pPr>
      <w:r>
        <w:rPr>
          <w:rFonts w:ascii="Times New Roman" w:cs="Times New Roman" w:eastAsia="Times New Roman" w:hAnsi="Times New Roman"/>
          <w:sz w:val="18"/>
          <w:szCs w:val="18"/>
          <w:color w:val="auto"/>
        </w:rPr>
        <w:t>Payment of any RSRs (and related Dividend Equivalents) that vest under this Section 6.3 will be made within 60 days of the third anniversary of the Grant Date unless, prior to such date: (i) the Grantee</w:t>
      </w:r>
    </w:p>
    <w:p>
      <w:pPr>
        <w:spacing w:after="0" w:line="1"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dies or has a Disability, in which case such payment will be made within 60 days of the Grantee’s death or Disability, as the case may be, or (ii) the Grantee has a Separation from Service, in which case such</w:t>
      </w:r>
    </w:p>
    <w:p>
      <w:pPr>
        <w:spacing w:after="0" w:line="2"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payment will be made at the time provided for in Section 2.7 as though the termination of the Grantee’s employment was due to a Normal Retirement.</w:t>
      </w:r>
    </w:p>
    <w:p>
      <w:pPr>
        <w:spacing w:after="0" w:line="127" w:lineRule="exact"/>
        <w:rPr>
          <w:sz w:val="20"/>
          <w:szCs w:val="20"/>
          <w:color w:val="auto"/>
        </w:rPr>
      </w:pPr>
    </w:p>
    <w:p>
      <w:pPr>
        <w:ind w:left="400" w:hanging="392"/>
        <w:spacing w:after="0"/>
        <w:tabs>
          <w:tab w:leader="none" w:pos="4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0" w:firstLine="324"/>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i w:val="1"/>
          <w:iCs w:val="1"/>
          <w:color w:val="auto"/>
        </w:rPr>
        <w:t>Tax Withholding</w:t>
      </w:r>
      <w:r>
        <w:rPr>
          <w:rFonts w:ascii="Times New Roman" w:cs="Times New Roman" w:eastAsia="Times New Roman" w:hAnsi="Times New Roman"/>
          <w:sz w:val="18"/>
          <w:szCs w:val="18"/>
          <w:color w:val="auto"/>
        </w:rPr>
        <w:t>. The Company or the subsidiary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employs the Grantee shall be entitled to require, as a condition of making any payments or issuing any shares upon vesting of the RSRs</w:t>
      </w:r>
    </w:p>
    <w:p>
      <w:pPr>
        <w:spacing w:after="0" w:line="3" w:lineRule="exact"/>
        <w:rPr>
          <w:sz w:val="20"/>
          <w:szCs w:val="20"/>
          <w:color w:val="auto"/>
        </w:rPr>
      </w:pPr>
    </w:p>
    <w:p>
      <w:pPr>
        <w:ind w:right="260"/>
        <w:spacing w:after="0" w:line="220" w:lineRule="auto"/>
        <w:rPr>
          <w:sz w:val="20"/>
          <w:szCs w:val="20"/>
          <w:color w:val="auto"/>
        </w:rPr>
      </w:pPr>
      <w:r>
        <w:rPr>
          <w:rFonts w:ascii="Times New Roman" w:cs="Times New Roman" w:eastAsia="Times New Roman" w:hAnsi="Times New Roman"/>
          <w:sz w:val="17"/>
          <w:szCs w:val="17"/>
          <w:color w:val="auto"/>
        </w:rPr>
        <w:t>(and related Dividend Equivalents), that the Grantee or other person entitled to such shares or other payment pay the minimum sums required to be withheld by federal, state, local or other applicable tax</w:t>
      </w:r>
    </w:p>
    <w:p>
      <w:pPr>
        <w:spacing w:after="0" w:line="2" w:lineRule="exact"/>
        <w:rPr>
          <w:sz w:val="20"/>
          <w:szCs w:val="20"/>
          <w:color w:val="auto"/>
        </w:rPr>
      </w:pPr>
    </w:p>
    <w:p>
      <w:pPr>
        <w:jc w:val="both"/>
        <w:ind w:right="700"/>
        <w:spacing w:after="0" w:line="208" w:lineRule="auto"/>
        <w:rPr>
          <w:sz w:val="20"/>
          <w:szCs w:val="20"/>
          <w:color w:val="auto"/>
        </w:rPr>
      </w:pPr>
      <w:r>
        <w:rPr>
          <w:rFonts w:ascii="Times New Roman" w:cs="Times New Roman" w:eastAsia="Times New Roman" w:hAnsi="Times New Roman"/>
          <w:sz w:val="18"/>
          <w:szCs w:val="18"/>
          <w:color w:val="auto"/>
        </w:rPr>
        <w:t>law with respect to such vesting or payment. Alternatively, the Company or such subsidiary, in its discretion, may make such provisions for the withholding of taxes as it deems appropriate</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(including, without limitation, withholding the taxes due from compensation otherwise payable to the Grantee or reducing the number of shares otherwise deliverable with respect to the award (valued at</w:t>
      </w:r>
    </w:p>
    <w:p>
      <w:pPr>
        <w:spacing w:after="0" w:line="2"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their then Fair Market Value) by the amount necessary to satisfy such statutory minimum withholding obligations).</w:t>
      </w:r>
    </w:p>
    <w:p>
      <w:pPr>
        <w:spacing w:after="0" w:line="126" w:lineRule="exact"/>
        <w:rPr>
          <w:sz w:val="20"/>
          <w:szCs w:val="20"/>
          <w:color w:val="auto"/>
        </w:rPr>
      </w:pPr>
    </w:p>
    <w:p>
      <w:pPr>
        <w:ind w:firstLine="324"/>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 The Company will pay all federal and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taxes, if any, and other fees and expenses in connection with the issuance of shares in connection with the vesting of the RSRs.</w:t>
      </w:r>
    </w:p>
    <w:p>
      <w:pPr>
        <w:spacing w:after="0" w:line="128" w:lineRule="exact"/>
        <w:rPr>
          <w:sz w:val="20"/>
          <w:szCs w:val="20"/>
          <w:color w:val="auto"/>
        </w:rPr>
      </w:pPr>
    </w:p>
    <w:p>
      <w:pPr>
        <w:ind w:right="140" w:firstLine="324"/>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i w:val="1"/>
          <w:iCs w:val="1"/>
          <w:color w:val="auto"/>
        </w:rPr>
        <w:t>Compliance with Code</w:t>
      </w:r>
      <w:r>
        <w:rPr>
          <w:rFonts w:ascii="Times New Roman" w:cs="Times New Roman" w:eastAsia="Times New Roman" w:hAnsi="Times New Roman"/>
          <w:sz w:val="18"/>
          <w:szCs w:val="18"/>
          <w:color w:val="auto"/>
        </w:rPr>
        <w:t>. The Committee shall administer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 the award in a manner designed to comply with the Code and</w:t>
      </w:r>
    </w:p>
    <w:p>
      <w:pPr>
        <w:spacing w:after="0"/>
        <w:rPr>
          <w:sz w:val="20"/>
          <w:szCs w:val="20"/>
          <w:color w:val="auto"/>
        </w:rPr>
      </w:pPr>
      <w:r>
        <w:rPr>
          <w:rFonts w:ascii="Times New Roman" w:cs="Times New Roman" w:eastAsia="Times New Roman" w:hAnsi="Times New Roman"/>
          <w:sz w:val="18"/>
          <w:szCs w:val="18"/>
          <w:color w:val="auto"/>
        </w:rPr>
        <w:t>to avoid adverse tax consequences under Code Section 409A.</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i w:val="1"/>
          <w:iCs w:val="1"/>
          <w:color w:val="auto"/>
        </w:rPr>
        <w:t>Unfunded Arrangement</w:t>
      </w:r>
      <w:r>
        <w:rPr>
          <w:rFonts w:ascii="Times New Roman" w:cs="Times New Roman" w:eastAsia="Times New Roman" w:hAnsi="Times New Roman"/>
          <w:sz w:val="18"/>
          <w:szCs w:val="18"/>
          <w:color w:val="auto"/>
        </w:rPr>
        <w:t>. The right of the Grantee to receive</w:t>
      </w:r>
    </w:p>
    <w:p>
      <w:pPr>
        <w:spacing w:after="0" w:line="6" w:lineRule="exact"/>
        <w:rPr>
          <w:sz w:val="20"/>
          <w:szCs w:val="20"/>
          <w:color w:val="auto"/>
        </w:rPr>
      </w:pPr>
    </w:p>
    <w:p>
      <w:pPr>
        <w:ind w:right="220"/>
        <w:spacing w:after="0" w:line="220" w:lineRule="auto"/>
        <w:rPr>
          <w:sz w:val="20"/>
          <w:szCs w:val="20"/>
          <w:color w:val="auto"/>
        </w:rPr>
      </w:pPr>
      <w:r>
        <w:rPr>
          <w:rFonts w:ascii="Times New Roman" w:cs="Times New Roman" w:eastAsia="Times New Roman" w:hAnsi="Times New Roman"/>
          <w:sz w:val="17"/>
          <w:szCs w:val="17"/>
          <w:color w:val="auto"/>
        </w:rPr>
        <w:t>payment under the award shall be an unsecured contractual claim against the Company. As such, neither the Grantee nor any Successor shall have any rights in or against any specific assets of the Company</w:t>
      </w:r>
    </w:p>
    <w:p>
      <w:pPr>
        <w:spacing w:after="0" w:line="2"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18"/>
          <w:szCs w:val="18"/>
          <w:color w:val="auto"/>
        </w:rPr>
        <w:t>based on the award. Awards shall at all times be considered entirely unfunded for tax purposes.</w:t>
      </w:r>
    </w:p>
    <w:p>
      <w:pPr>
        <w:spacing w:after="0" w:line="126" w:lineRule="exact"/>
        <w:rPr>
          <w:sz w:val="20"/>
          <w:szCs w:val="20"/>
          <w:color w:val="auto"/>
        </w:rPr>
      </w:pPr>
    </w:p>
    <w:p>
      <w:pPr>
        <w:ind w:right="40" w:firstLine="324"/>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7.5 Code Section 280G</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Notwithstanding any other provision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this Agreement to the contrary, in the event that any amounts payable to you as a result of Section 6.2 or 6.3 hereof, either alone or together with</w:t>
      </w:r>
    </w:p>
    <w:p>
      <w:pPr>
        <w:spacing w:after="0" w:line="205" w:lineRule="auto"/>
        <w:rPr>
          <w:sz w:val="20"/>
          <w:szCs w:val="20"/>
          <w:color w:val="auto"/>
        </w:rPr>
      </w:pPr>
      <w:r>
        <w:rPr>
          <w:rFonts w:ascii="Times New Roman" w:cs="Times New Roman" w:eastAsia="Times New Roman" w:hAnsi="Times New Roman"/>
          <w:sz w:val="18"/>
          <w:szCs w:val="18"/>
          <w:color w:val="auto"/>
        </w:rPr>
        <w:t>amounts payable pursuant to any other plan, program or arrangement</w:t>
      </w:r>
    </w:p>
    <w:p>
      <w:pPr>
        <w:spacing w:after="0" w:line="1" w:lineRule="exact"/>
        <w:rPr>
          <w:sz w:val="20"/>
          <w:szCs w:val="20"/>
          <w:color w:val="auto"/>
        </w:rPr>
      </w:pPr>
    </w:p>
    <w:p>
      <w:pPr>
        <w:ind w:right="100" w:firstLine="8"/>
        <w:spacing w:after="0" w:line="218" w:lineRule="auto"/>
        <w:tabs>
          <w:tab w:leader="none" w:pos="2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“parachute payments” within the meaning of Section 280G of the Code, and (b) but for this Section 7.5 would be subject to the excise tax imposed by Section 4999 of the Code or any comparable successor provisions (the “Excise Tax”), then the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br w:type="column"/>
      </w:r>
    </w:p>
    <w:p>
      <w:pPr>
        <w:ind w:left="2"/>
        <w:spacing w:after="0"/>
        <w:rPr>
          <w:sz w:val="20"/>
          <w:szCs w:val="20"/>
          <w:color w:val="auto"/>
        </w:rPr>
      </w:pPr>
      <w:r>
        <w:rPr>
          <w:rFonts w:ascii="Times New Roman" w:cs="Times New Roman" w:eastAsia="Times New Roman" w:hAnsi="Times New Roman"/>
          <w:sz w:val="17"/>
          <w:szCs w:val="17"/>
          <w:color w:val="auto"/>
        </w:rPr>
        <w:t>acceleration provided in Section 6.2 or 6.3, as applicable, shall be either</w:t>
      </w:r>
    </w:p>
    <w:p>
      <w:pPr>
        <w:ind w:left="2" w:hanging="2"/>
        <w:spacing w:after="0" w:line="223" w:lineRule="auto"/>
        <w:tabs>
          <w:tab w:leader="none" w:pos="24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29" w:lineRule="exact"/>
        <w:rPr>
          <w:sz w:val="20"/>
          <w:szCs w:val="20"/>
          <w:color w:val="auto"/>
        </w:rPr>
      </w:pPr>
    </w:p>
    <w:p>
      <w:pPr>
        <w:ind w:left="642" w:hanging="642"/>
        <w:spacing w:after="0"/>
        <w:tabs>
          <w:tab w:leader="none" w:pos="64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Arbitration</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color w:val="auto"/>
        </w:rPr>
        <w:t>This Agreement shall be governed by the laws of the State of</w:t>
      </w:r>
    </w:p>
    <w:p>
      <w:pPr>
        <w:spacing w:after="0" w:line="2" w:lineRule="exact"/>
        <w:rPr>
          <w:sz w:val="20"/>
          <w:szCs w:val="20"/>
          <w:color w:val="auto"/>
        </w:rPr>
      </w:pPr>
    </w:p>
    <w:p>
      <w:pPr>
        <w:ind w:left="2" w:right="80"/>
        <w:spacing w:after="0" w:line="220" w:lineRule="auto"/>
        <w:rPr>
          <w:sz w:val="20"/>
          <w:szCs w:val="20"/>
          <w:color w:val="auto"/>
        </w:rPr>
      </w:pPr>
      <w:r>
        <w:rPr>
          <w:rFonts w:ascii="Times New Roman" w:cs="Times New Roman" w:eastAsia="Times New Roman" w:hAnsi="Times New Roman"/>
          <w:sz w:val="17"/>
          <w:szCs w:val="17"/>
          <w:color w:val="auto"/>
        </w:rPr>
        <w:t>Delaware. You agree to be bound by and fully comply with Northrop Grumman Manual USHR 2-32, Arbitration and Mediation (“USHR 2-32”). Any cause of action or claim arising out of or related to the terms</w:t>
      </w:r>
    </w:p>
    <w:p>
      <w:pPr>
        <w:spacing w:after="0" w:line="2" w:lineRule="exact"/>
        <w:rPr>
          <w:sz w:val="20"/>
          <w:szCs w:val="20"/>
          <w:color w:val="auto"/>
        </w:rPr>
      </w:pPr>
    </w:p>
    <w:p>
      <w:pPr>
        <w:jc w:val="both"/>
        <w:ind w:left="2" w:right="60"/>
        <w:spacing w:after="0" w:line="220" w:lineRule="auto"/>
        <w:rPr>
          <w:sz w:val="20"/>
          <w:szCs w:val="20"/>
          <w:color w:val="auto"/>
        </w:rPr>
      </w:pPr>
      <w:r>
        <w:rPr>
          <w:rFonts w:ascii="Times New Roman" w:cs="Times New Roman" w:eastAsia="Times New Roman" w:hAnsi="Times New Roman"/>
          <w:sz w:val="17"/>
          <w:szCs w:val="17"/>
          <w:color w:val="auto"/>
        </w:rPr>
        <w:t>and conditions applicable to this grant will be determined through final and binding arbitration, in accordance with USHR 2-32, provided that the prevailing party in the arbitration shall be entitled to receive from</w:t>
      </w:r>
    </w:p>
    <w:p>
      <w:pPr>
        <w:spacing w:after="0" w:line="2" w:lineRule="exact"/>
        <w:rPr>
          <w:sz w:val="20"/>
          <w:szCs w:val="20"/>
          <w:color w:val="auto"/>
        </w:rPr>
      </w:pPr>
    </w:p>
    <w:p>
      <w:pPr>
        <w:jc w:val="both"/>
        <w:ind w:left="2" w:right="40"/>
        <w:spacing w:after="0" w:line="220" w:lineRule="auto"/>
        <w:rPr>
          <w:sz w:val="20"/>
          <w:szCs w:val="20"/>
          <w:color w:val="auto"/>
        </w:rPr>
      </w:pPr>
      <w:r>
        <w:rPr>
          <w:rFonts w:ascii="Times New Roman" w:cs="Times New Roman" w:eastAsia="Times New Roman" w:hAnsi="Times New Roman"/>
          <w:sz w:val="17"/>
          <w:szCs w:val="17"/>
          <w:color w:val="auto"/>
        </w:rPr>
        <w:t>the losing party reasonably incurred attorneys’ fees and costs. You and the Company agree that any arbitration hearing and related proceedings shall be convened and conducted in Falls Church, VA. If you or the</w:t>
      </w:r>
    </w:p>
    <w:p>
      <w:pPr>
        <w:spacing w:after="0" w:line="2" w:lineRule="exact"/>
        <w:rPr>
          <w:sz w:val="20"/>
          <w:szCs w:val="20"/>
          <w:color w:val="auto"/>
        </w:rPr>
      </w:pPr>
    </w:p>
    <w:p>
      <w:pPr>
        <w:ind w:left="2" w:right="20"/>
        <w:spacing w:after="0" w:line="220" w:lineRule="auto"/>
        <w:rPr>
          <w:sz w:val="20"/>
          <w:szCs w:val="20"/>
          <w:color w:val="auto"/>
        </w:rPr>
      </w:pPr>
      <w:r>
        <w:rPr>
          <w:rFonts w:ascii="Times New Roman" w:cs="Times New Roman" w:eastAsia="Times New Roman" w:hAnsi="Times New Roman"/>
          <w:sz w:val="17"/>
          <w:szCs w:val="17"/>
          <w:color w:val="auto"/>
        </w:rPr>
        <w:t>Company believes they require immediate relief to enforce or challenge this Agreement, before arbitration is commenced or concluded, either party may seek injunctive or other provisional equitable relief from a</w:t>
      </w:r>
    </w:p>
    <w:p>
      <w:pPr>
        <w:spacing w:after="0" w:line="2" w:lineRule="exact"/>
        <w:rPr>
          <w:sz w:val="20"/>
          <w:szCs w:val="20"/>
          <w:color w:val="auto"/>
        </w:rPr>
      </w:pPr>
    </w:p>
    <w:p>
      <w:pPr>
        <w:ind w:left="2" w:right="60"/>
        <w:spacing w:after="0" w:line="208" w:lineRule="auto"/>
        <w:rPr>
          <w:sz w:val="20"/>
          <w:szCs w:val="20"/>
          <w:color w:val="auto"/>
        </w:rPr>
      </w:pPr>
      <w:r>
        <w:rPr>
          <w:rFonts w:ascii="Times New Roman" w:cs="Times New Roman" w:eastAsia="Times New Roman" w:hAnsi="Times New Roman"/>
          <w:sz w:val="18"/>
          <w:szCs w:val="18"/>
          <w:color w:val="auto"/>
        </w:rPr>
        <w:t>state or federal court in the Commonwealth of Virginia. All court actions or proceedings arising under this Agreement shall be heard in a state or federal court in the Commonwealth of Virginia. The Company</w:t>
      </w:r>
    </w:p>
    <w:p>
      <w:pPr>
        <w:spacing w:after="0" w:line="2" w:lineRule="exact"/>
        <w:rPr>
          <w:sz w:val="20"/>
          <w:szCs w:val="20"/>
          <w:color w:val="auto"/>
        </w:rPr>
      </w:pPr>
    </w:p>
    <w:p>
      <w:pPr>
        <w:ind w:left="2" w:right="60"/>
        <w:spacing w:after="0" w:line="218" w:lineRule="auto"/>
        <w:rPr>
          <w:sz w:val="20"/>
          <w:szCs w:val="20"/>
          <w:color w:val="auto"/>
        </w:rPr>
      </w:pPr>
      <w:r>
        <w:rPr>
          <w:rFonts w:ascii="Times New Roman" w:cs="Times New Roman" w:eastAsia="Times New Roman" w:hAnsi="Times New Roman"/>
          <w:sz w:val="18"/>
          <w:szCs w:val="18"/>
          <w:color w:val="auto"/>
        </w:rPr>
        <w:t>and you hereby agree to the jurisdiction of the state and federal courts in the Commonwealth of Virginia and waive any right to object to such actions on grounds of venue, jurisdiction or convenience.</w:t>
      </w:r>
    </w:p>
    <w:p>
      <w:pPr>
        <w:spacing w:after="0" w:line="127" w:lineRule="exact"/>
        <w:rPr>
          <w:sz w:val="20"/>
          <w:szCs w:val="20"/>
          <w:color w:val="auto"/>
        </w:rPr>
      </w:pPr>
    </w:p>
    <w:p>
      <w:pPr>
        <w:ind w:left="322" w:hanging="322"/>
        <w:spacing w:after="0"/>
        <w:tabs>
          <w:tab w:leader="none" w:pos="32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Committee Authority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2" w:right="20" w:firstLine="405"/>
        <w:spacing w:after="0" w:line="216" w:lineRule="auto"/>
        <w:rPr>
          <w:sz w:val="20"/>
          <w:szCs w:val="20"/>
          <w:color w:val="auto"/>
        </w:rPr>
      </w:pPr>
      <w:r>
        <w:rPr>
          <w:rFonts w:ascii="Times New Roman" w:cs="Times New Roman" w:eastAsia="Times New Roman" w:hAnsi="Times New Roman"/>
          <w:sz w:val="18"/>
          <w:szCs w:val="18"/>
          <w:color w:val="auto"/>
        </w:rPr>
        <w:t>The Committee has the discretionary authority to determine any questions as to the date when the Grantee’s employment terminated and the cause of such termination and to interpret any provision of this</w:t>
      </w:r>
    </w:p>
    <w:p>
      <w:pPr>
        <w:spacing w:after="0" w:line="1" w:lineRule="exact"/>
        <w:rPr>
          <w:sz w:val="20"/>
          <w:szCs w:val="20"/>
          <w:color w:val="auto"/>
        </w:rPr>
      </w:pPr>
    </w:p>
    <w:p>
      <w:pPr>
        <w:ind w:left="2" w:right="120"/>
        <w:spacing w:after="0" w:line="208" w:lineRule="auto"/>
        <w:rPr>
          <w:sz w:val="20"/>
          <w:szCs w:val="20"/>
          <w:color w:val="auto"/>
        </w:rPr>
      </w:pPr>
      <w:r>
        <w:rPr>
          <w:rFonts w:ascii="Times New Roman" w:cs="Times New Roman" w:eastAsia="Times New Roman" w:hAnsi="Times New Roman"/>
          <w:sz w:val="18"/>
          <w:szCs w:val="18"/>
          <w:color w:val="auto"/>
        </w:rPr>
        <w:t>Agreement, the Grant Letter, the Stock Plan System, the Plan, and any other applicable rules. Any action taken by, or inaction of, the Committee relating to or pursuant to this Agreement, the Grant Letter,</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Stock Plan System, the Plan, or any other applicable rules shall be</w:t>
      </w:r>
    </w:p>
    <w:p>
      <w:pPr>
        <w:sectPr>
          <w:pgSz w:w="11900" w:h="16838" w:orient="portrait"/>
          <w:cols w:equalWidth="0" w:num="2">
            <w:col w:w="5220" w:space="698"/>
            <w:col w:w="5182"/>
          </w:cols>
          <w:pgMar w:left="320" w:top="1147" w:right="479" w:bottom="1440" w:gutter="0" w:footer="0" w:header="0"/>
        </w:sectPr>
      </w:pPr>
    </w:p>
    <w:bookmarkStart w:id="40" w:name="page41"/>
    <w:bookmarkEnd w:id="40"/>
    <w:p>
      <w:pPr>
        <w:spacing w:after="0" w:line="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within the absolute discretion of the Committee and shall be conclusive and binding on all persons.</w:t>
      </w:r>
    </w:p>
    <w:p>
      <w:pPr>
        <w:spacing w:after="0" w:line="127" w:lineRule="exact"/>
        <w:rPr>
          <w:sz w:val="20"/>
          <w:szCs w:val="20"/>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Plan; Amendment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RSRs (and related Dividend Equivalents) subject to the award</w:t>
      </w:r>
    </w:p>
    <w:p>
      <w:pPr>
        <w:spacing w:after="0" w:line="14"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are governed by, and the Grantee’s rights are subject to, all of the terms and conditions of the Plan and any other rules adopted by the Committee, as the foregoing may be amended from time to time. The</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Grantee shall have no rights with respect to any amendment of this Agreement or the Plan unless such amendment is in writing and signed by a duly authorized officer of the Company. In the event of a conflict</w:t>
      </w:r>
    </w:p>
    <w:p>
      <w:pPr>
        <w:spacing w:after="0" w:line="2" w:lineRule="exact"/>
        <w:rPr>
          <w:sz w:val="20"/>
          <w:szCs w:val="20"/>
          <w:color w:val="auto"/>
        </w:rPr>
      </w:pPr>
    </w:p>
    <w:p>
      <w:pPr>
        <w:jc w:val="both"/>
        <w:ind w:right="500"/>
        <w:spacing w:after="0" w:line="208" w:lineRule="auto"/>
        <w:rPr>
          <w:sz w:val="20"/>
          <w:szCs w:val="20"/>
          <w:color w:val="auto"/>
        </w:rPr>
      </w:pPr>
      <w:r>
        <w:rPr>
          <w:rFonts w:ascii="Times New Roman" w:cs="Times New Roman" w:eastAsia="Times New Roman" w:hAnsi="Times New Roman"/>
          <w:sz w:val="18"/>
          <w:szCs w:val="18"/>
          <w:color w:val="auto"/>
        </w:rPr>
        <w:t>between the provisions of the Grant Letter and/or the Stock Plan System and the provisions of this Agreement and/or the Plan, the provisions of this Agreement and/or the Plan, as applicable, shall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w:t>
      </w:r>
    </w:p>
    <w:p>
      <w:pPr>
        <w:spacing w:after="0" w:line="120"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Required Holding Period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right="160" w:firstLine="180"/>
        <w:spacing w:after="0" w:line="222" w:lineRule="auto"/>
        <w:rPr>
          <w:sz w:val="20"/>
          <w:szCs w:val="20"/>
          <w:color w:val="auto"/>
        </w:rPr>
      </w:pPr>
      <w:r>
        <w:rPr>
          <w:rFonts w:ascii="Times New Roman" w:cs="Times New Roman" w:eastAsia="Times New Roman" w:hAnsi="Times New Roman"/>
          <w:sz w:val="18"/>
          <w:szCs w:val="18"/>
          <w:color w:val="auto"/>
        </w:rPr>
        <w:t>The holding requirements of this Section 11 shall apply to any Grantee who is an elected or appointed officer of the Company on the</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date Vested RSRs are paid (or, if earlier, on the date the Grantee’s employment by the Company and its subsidiaries terminates for any reason). Any Grantee subject to this Section 11 shall not be permitted to</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sell, transfer, anticipate, alienate, assign, pledge, encumber or charge the number of shares equal to 50% of the total payout of Vested RSRs(net of taxes withheld) until the earlier of (A) the third anniversary</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of the date such shares of Common Stock are paid to the Grantee, (B) the date the Grantee’s employment by the Company and its subsidiaries terminates due to the Grantee’s death or Disability, (C) the occurrence</w:t>
      </w:r>
    </w:p>
    <w:p>
      <w:pPr>
        <w:spacing w:after="0" w:line="2" w:lineRule="exact"/>
        <w:rPr>
          <w:sz w:val="20"/>
          <w:szCs w:val="20"/>
          <w:color w:val="auto"/>
        </w:rPr>
      </w:pPr>
    </w:p>
    <w:p>
      <w:pPr>
        <w:jc w:val="both"/>
        <w:ind w:right="140"/>
        <w:spacing w:after="0" w:line="208" w:lineRule="auto"/>
        <w:rPr>
          <w:sz w:val="20"/>
          <w:szCs w:val="20"/>
          <w:color w:val="auto"/>
        </w:rPr>
      </w:pPr>
      <w:r>
        <w:rPr>
          <w:rFonts w:ascii="Times New Roman" w:cs="Times New Roman" w:eastAsia="Times New Roman" w:hAnsi="Times New Roman"/>
          <w:sz w:val="18"/>
          <w:szCs w:val="18"/>
          <w:color w:val="auto"/>
        </w:rPr>
        <w:t>of a Change in Control that results in termination and payment under Section 6.2 or 6.3 above, or (D) with respected to Grantee’s entering a U.S. federal government position only, the latest of (i) the date the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Grantee’s employment with the Company terminates, or (ii) the date the Grantee formally accepts the government position in writing, or (iii) the date the government confirms the Grantee (for positions requiring</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nomination and confirmation). For purposes of this Section 11, the total payout of Vested RSRs shall be determined on a net basis after taking into account any shares otherwise deliverable with respect to the award</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that the Company withholds to satisfy tax obligations pursuant to Section 7.1. If Grantee is paid less than 50% of the total payout of Vested RSRs (net of taxes) in shares, then all of the shares received will</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be subject to the holding period requirements in this Section 11. Any shares of Common Stock received in respect of shares that are covered by the holding period requirements of this Section 11 (such as shares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received in respect of a stock split or stock dividend) shall be subject to the same holding period requirements as the shares to which they relate.</w:t>
      </w:r>
    </w:p>
    <w:p>
      <w:pPr>
        <w:spacing w:after="0" w:line="126" w:lineRule="exact"/>
        <w:rPr>
          <w:sz w:val="20"/>
          <w:szCs w:val="20"/>
          <w:color w:val="auto"/>
        </w:rPr>
      </w:pPr>
    </w:p>
    <w:p>
      <w:pPr>
        <w:ind w:left="400" w:hanging="392"/>
        <w:spacing w:after="0"/>
        <w:tabs>
          <w:tab w:leader="none" w:pos="4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Whenever used in this Agreement, the following terms shall have</w:t>
      </w:r>
    </w:p>
    <w:p>
      <w:pPr>
        <w:spacing w:after="0" w:line="2"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the meanings set forth below and, when the meaning is intended, the initial letter of the word is capitalized:</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either or both of the following:</w:t>
      </w:r>
    </w:p>
    <w:p>
      <w:pPr>
        <w:spacing w:after="0" w:line="148" w:lineRule="exact"/>
        <w:rPr>
          <w:sz w:val="20"/>
          <w:szCs w:val="20"/>
          <w:color w:val="auto"/>
        </w:rPr>
      </w:pPr>
    </w:p>
    <w:p>
      <w:pPr>
        <w:ind w:left="560" w:right="120" w:hanging="319"/>
        <w:spacing w:after="0" w:line="223" w:lineRule="auto"/>
        <w:tabs>
          <w:tab w:leader="none" w:pos="58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18" w:lineRule="exact"/>
        <w:rPr>
          <w:rFonts w:ascii="Times New Roman" w:cs="Times New Roman" w:eastAsia="Times New Roman" w:hAnsi="Times New Roman"/>
          <w:sz w:val="18"/>
          <w:szCs w:val="18"/>
          <w:color w:val="auto"/>
        </w:rPr>
      </w:pPr>
    </w:p>
    <w:p>
      <w:pPr>
        <w:ind w:left="560" w:right="40" w:hanging="319"/>
        <w:spacing w:after="0" w:line="220" w:lineRule="auto"/>
        <w:tabs>
          <w:tab w:leader="none" w:pos="63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is used as defined in the Plan.</w:t>
      </w:r>
    </w:p>
    <w:p>
      <w:pPr>
        <w:spacing w:after="0" w:line="144"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Company’s Compensation and Human</w:t>
      </w:r>
    </w:p>
    <w:p>
      <w:pPr>
        <w:spacing w:after="0" w:line="6"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Capital Committee or any successor committee appointed by the Board to administer the Plan.</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Company’s common stock.</w:t>
      </w:r>
    </w:p>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with respect to a Grantee, that the Grantee: (i)</w:t>
      </w:r>
    </w:p>
    <w:p>
      <w:pPr>
        <w:spacing w:after="0" w:line="6"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is unable to engage in any substantial gainful activity by reason of any medically determinable physical or mental impairment which can be expected to result in death or can be expected to last for a continuous</w:t>
      </w:r>
    </w:p>
    <w:p>
      <w:pPr>
        <w:spacing w:after="0" w:line="2"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7"/>
          <w:szCs w:val="17"/>
          <w:color w:val="auto"/>
        </w:rPr>
        <w:t>period of not less than twelve months; or (ii) is, by reason of any medically determinable physical or mental impairment which can be expected to result in death or can be expected to last for a continuous</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period of not less than twelve months, receiving income replacement benefits for a period of not less than three months under an accident and health plan covering employees of the Grantee’s employer; all</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construed and interpreted consistent with the definition of “Disability” set forth in Code Section 409A(a)(2)(C).</w:t>
      </w:r>
    </w:p>
    <w:p>
      <w:pPr>
        <w:spacing w:after="0" w:line="126" w:lineRule="exact"/>
        <w:rPr>
          <w:sz w:val="20"/>
          <w:szCs w:val="20"/>
          <w:color w:val="auto"/>
        </w:rPr>
      </w:pPr>
    </w:p>
    <w:p>
      <w:pPr>
        <w:ind w:right="340" w:firstLine="405"/>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Early Retirement</w:t>
      </w:r>
      <w:r>
        <w:rPr>
          <w:rFonts w:ascii="Times New Roman" w:cs="Times New Roman" w:eastAsia="Times New Roman" w:hAnsi="Times New Roman"/>
          <w:sz w:val="17"/>
          <w:szCs w:val="17"/>
          <w:color w:val="auto"/>
        </w:rPr>
        <w:t>” means that the Grantee’s employment terminates in any of the following circumstances, and other than a termination of employment that constitutes a Normal Retirement or</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occurs in connection with a termination by the Company or a subsidiary for Cause:</w:t>
      </w:r>
    </w:p>
    <w:p>
      <w:pPr>
        <w:spacing w:after="0" w:line="157" w:lineRule="exact"/>
        <w:rPr>
          <w:sz w:val="20"/>
          <w:szCs w:val="20"/>
          <w:color w:val="auto"/>
        </w:rPr>
      </w:pPr>
    </w:p>
    <w:p>
      <w:pPr>
        <w:ind w:left="560" w:right="200" w:hanging="319"/>
        <w:spacing w:after="0" w:line="250"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after the Grantee has attained age 55 with at least 10 years of service.</w:t>
      </w:r>
    </w:p>
    <w:p>
      <w:pPr>
        <w:spacing w:after="0" w:line="108" w:lineRule="exact"/>
        <w:rPr>
          <w:rFonts w:ascii="Times New Roman" w:cs="Times New Roman" w:eastAsia="Times New Roman" w:hAnsi="Times New Roman"/>
          <w:sz w:val="18"/>
          <w:szCs w:val="18"/>
          <w:color w:val="auto"/>
        </w:rPr>
      </w:pPr>
    </w:p>
    <w:p>
      <w:pPr>
        <w:ind w:left="560" w:right="120" w:hanging="319"/>
        <w:spacing w:after="0" w:line="224" w:lineRule="auto"/>
        <w:tabs>
          <w:tab w:leader="none" w:pos="6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Grantee has attained age 53 with at least 10 years of service.</w:t>
      </w:r>
    </w:p>
    <w:p>
      <w:pPr>
        <w:spacing w:after="0" w:line="131" w:lineRule="exact"/>
        <w:rPr>
          <w:rFonts w:ascii="Times New Roman" w:cs="Times New Roman" w:eastAsia="Times New Roman" w:hAnsi="Times New Roman"/>
          <w:sz w:val="18"/>
          <w:szCs w:val="18"/>
          <w:color w:val="auto"/>
        </w:rPr>
      </w:pPr>
    </w:p>
    <w:p>
      <w:pPr>
        <w:ind w:left="560" w:right="80" w:hanging="319"/>
        <w:spacing w:after="0" w:line="237" w:lineRule="auto"/>
        <w:tabs>
          <w:tab w:leader="none" w:pos="68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w:t>
      </w:r>
    </w:p>
    <w:p>
      <w:pPr>
        <w:sectPr>
          <w:pgSz w:w="11900" w:h="16838" w:orient="portrait"/>
          <w:cols w:equalWidth="0" w:num="2">
            <w:col w:w="5200" w:space="720"/>
            <w:col w:w="5200"/>
          </w:cols>
          <w:pgMar w:left="320" w:top="1143" w:right="459" w:bottom="1440" w:gutter="0" w:footer="0" w:header="0"/>
        </w:sectPr>
      </w:pPr>
    </w:p>
    <w:bookmarkStart w:id="41" w:name="page42"/>
    <w:bookmarkEnd w:id="41"/>
    <w:p>
      <w:pPr>
        <w:ind w:left="580" w:right="140"/>
        <w:spacing w:after="0" w:line="237" w:lineRule="auto"/>
        <w:rPr>
          <w:sz w:val="20"/>
          <w:szCs w:val="20"/>
          <w:color w:val="auto"/>
        </w:rPr>
      </w:pPr>
      <w:r>
        <w:rPr>
          <w:rFonts w:ascii="Times New Roman" w:cs="Times New Roman" w:eastAsia="Times New Roman" w:hAnsi="Times New Roman"/>
          <w:sz w:val="18"/>
          <w:szCs w:val="18"/>
          <w:color w:val="auto"/>
        </w:rPr>
        <w:t>the time of such termination, the sum of the Grantee’s age and years of service is at least 75.</w:t>
      </w:r>
    </w:p>
    <w:p>
      <w:pPr>
        <w:spacing w:after="0" w:line="127" w:lineRule="exact"/>
        <w:rPr>
          <w:sz w:val="20"/>
          <w:szCs w:val="20"/>
          <w:color w:val="auto"/>
        </w:rPr>
      </w:pPr>
    </w:p>
    <w:p>
      <w:pPr>
        <w:jc w:val="both"/>
        <w:ind w:right="280" w:firstLine="405"/>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is used as defined in the Plan; provided, however, the Committee in determining such Fair Market Value for purposes of the award may utilize such other exchange, market,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 as it deems appropriate.</w:t>
      </w:r>
    </w:p>
    <w:p>
      <w:pPr>
        <w:spacing w:after="0" w:line="120" w:lineRule="exact"/>
        <w:rPr>
          <w:sz w:val="20"/>
          <w:szCs w:val="20"/>
          <w:color w:val="auto"/>
        </w:rPr>
      </w:pPr>
    </w:p>
    <w:p>
      <w:pPr>
        <w:ind w:right="320" w:firstLine="405"/>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without the Grantee’s express written consent, the occurrence of any one or more of the following:</w:t>
      </w:r>
    </w:p>
    <w:p>
      <w:pPr>
        <w:spacing w:after="0" w:line="81" w:lineRule="exact"/>
        <w:rPr>
          <w:sz w:val="20"/>
          <w:szCs w:val="20"/>
          <w:color w:val="auto"/>
        </w:rPr>
      </w:pPr>
    </w:p>
    <w:p>
      <w:pPr>
        <w:ind w:left="580" w:right="120" w:hanging="329"/>
        <w:spacing w:after="0" w:line="212" w:lineRule="auto"/>
        <w:tabs>
          <w:tab w:leader="none" w:pos="5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31" w:lineRule="exact"/>
        <w:rPr>
          <w:sz w:val="20"/>
          <w:szCs w:val="20"/>
          <w:color w:val="auto"/>
        </w:rPr>
      </w:pPr>
    </w:p>
    <w:p>
      <w:pPr>
        <w:ind w:left="580" w:hanging="143"/>
        <w:spacing w:after="0" w:line="236" w:lineRule="auto"/>
        <w:rPr>
          <w:sz w:val="20"/>
          <w:szCs w:val="20"/>
          <w:color w:val="auto"/>
        </w:rPr>
      </w:pPr>
      <w:r>
        <w:rPr>
          <w:rFonts w:ascii="Times New Roman" w:cs="Times New Roman" w:eastAsia="Times New Roman" w:hAnsi="Times New Roman"/>
          <w:sz w:val="17"/>
          <w:szCs w:val="17"/>
          <w:color w:val="auto"/>
        </w:rPr>
        <w:t>In addition, if the Grantee is a vice president, the Grantee’s loss of vice-president status will constitute “Good Reason”; provided</w:t>
      </w:r>
    </w:p>
    <w:p>
      <w:pPr>
        <w:ind w:left="580" w:right="120"/>
        <w:spacing w:after="0" w:line="220" w:lineRule="auto"/>
        <w:rPr>
          <w:sz w:val="20"/>
          <w:szCs w:val="20"/>
          <w:color w:val="auto"/>
        </w:rPr>
      </w:pPr>
      <w:r>
        <w:rPr>
          <w:rFonts w:ascii="Times New Roman" w:cs="Times New Roman" w:eastAsia="Times New Roman" w:hAnsi="Times New Roman"/>
          <w:sz w:val="17"/>
          <w:szCs w:val="17"/>
          <w:color w:val="auto"/>
        </w:rPr>
        <w:t>that the loss of the title of “vice president” will not, in and of itself, constitute Good Reason if the Grantee’s lack of a vice president title is generally consistent with the manner in which</w:t>
      </w:r>
    </w:p>
    <w:p>
      <w:pPr>
        <w:spacing w:after="0" w:line="2" w:lineRule="exact"/>
        <w:rPr>
          <w:sz w:val="20"/>
          <w:szCs w:val="20"/>
          <w:color w:val="auto"/>
        </w:rPr>
      </w:pPr>
    </w:p>
    <w:p>
      <w:pPr>
        <w:ind w:left="580" w:right="100"/>
        <w:spacing w:after="0" w:line="220" w:lineRule="auto"/>
        <w:rPr>
          <w:sz w:val="20"/>
          <w:szCs w:val="20"/>
          <w:color w:val="auto"/>
        </w:rPr>
      </w:pPr>
      <w:r>
        <w:rPr>
          <w:rFonts w:ascii="Times New Roman" w:cs="Times New Roman" w:eastAsia="Times New Roman" w:hAnsi="Times New Roman"/>
          <w:sz w:val="17"/>
          <w:szCs w:val="17"/>
          <w:color w:val="auto"/>
        </w:rPr>
        <w:t>the title of vice president is used within the Grantee’s business unit or if the loss of the title is the result of a promotion to a higher level office. For the purposes of the preceding sentence,</w:t>
      </w:r>
    </w:p>
    <w:p>
      <w:pPr>
        <w:spacing w:after="0" w:line="2" w:lineRule="exact"/>
        <w:rPr>
          <w:sz w:val="20"/>
          <w:szCs w:val="20"/>
          <w:color w:val="auto"/>
        </w:rPr>
      </w:pPr>
    </w:p>
    <w:p>
      <w:pPr>
        <w:ind w:left="580" w:right="20"/>
        <w:spacing w:after="0" w:line="220" w:lineRule="auto"/>
        <w:rPr>
          <w:sz w:val="20"/>
          <w:szCs w:val="20"/>
          <w:color w:val="auto"/>
        </w:rPr>
      </w:pPr>
      <w:r>
        <w:rPr>
          <w:rFonts w:ascii="Times New Roman" w:cs="Times New Roman" w:eastAsia="Times New Roman" w:hAnsi="Times New Roman"/>
          <w:sz w:val="17"/>
          <w:szCs w:val="17"/>
          <w:color w:val="auto"/>
        </w:rPr>
        <w:t>the Grantee’s lack of a vice-president title will only be considered generally consistent with the manner in which such title is used if most persons in the business unit with authorities,</w:t>
      </w:r>
    </w:p>
    <w:p>
      <w:pPr>
        <w:spacing w:after="0" w:line="2" w:lineRule="exact"/>
        <w:rPr>
          <w:sz w:val="20"/>
          <w:szCs w:val="20"/>
          <w:color w:val="auto"/>
        </w:rPr>
      </w:pPr>
    </w:p>
    <w:p>
      <w:pPr>
        <w:ind w:left="580"/>
        <w:spacing w:after="0" w:line="218" w:lineRule="auto"/>
        <w:rPr>
          <w:sz w:val="20"/>
          <w:szCs w:val="20"/>
          <w:color w:val="auto"/>
        </w:rPr>
      </w:pPr>
      <w:r>
        <w:rPr>
          <w:rFonts w:ascii="Times New Roman" w:cs="Times New Roman" w:eastAsia="Times New Roman" w:hAnsi="Times New Roman"/>
          <w:sz w:val="18"/>
          <w:szCs w:val="18"/>
          <w:color w:val="auto"/>
        </w:rPr>
        <w:t>duties, and responsibilities comparable to those of the Grantee immediately prior to the commencement of the Protected Period do not have the title of vice-president.</w:t>
      </w:r>
    </w:p>
    <w:p>
      <w:pPr>
        <w:spacing w:after="0" w:line="131" w:lineRule="exact"/>
        <w:rPr>
          <w:sz w:val="20"/>
          <w:szCs w:val="20"/>
          <w:color w:val="auto"/>
        </w:rPr>
      </w:pPr>
    </w:p>
    <w:p>
      <w:pPr>
        <w:ind w:left="580" w:right="40" w:hanging="329"/>
        <w:spacing w:after="0" w:line="224" w:lineRule="auto"/>
        <w:tabs>
          <w:tab w:leader="none" w:pos="6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by the Company in the Grantee’s annualized rate of base salary as in effect at the start of the Protected Period, or as the same shall be increased from time to time.</w:t>
      </w:r>
    </w:p>
    <w:p>
      <w:pPr>
        <w:spacing w:after="0" w:line="131" w:lineRule="exact"/>
        <w:rPr>
          <w:rFonts w:ascii="Times New Roman" w:cs="Times New Roman" w:eastAsia="Times New Roman" w:hAnsi="Times New Roman"/>
          <w:sz w:val="18"/>
          <w:szCs w:val="18"/>
          <w:color w:val="auto"/>
        </w:rPr>
      </w:pPr>
    </w:p>
    <w:p>
      <w:pPr>
        <w:ind w:left="580" w:right="200" w:hanging="329"/>
        <w:spacing w:after="0" w:line="226" w:lineRule="auto"/>
        <w:tabs>
          <w:tab w:leader="none" w:pos="6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aggregate value of the Grantee’s level of participation in any of the Company’s short and/or long-term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br w:type="column"/>
      </w:r>
    </w:p>
    <w:p>
      <w:pPr>
        <w:ind w:left="560" w:right="180"/>
        <w:spacing w:after="0" w:line="216" w:lineRule="auto"/>
        <w:rPr>
          <w:sz w:val="20"/>
          <w:szCs w:val="20"/>
          <w:color w:val="auto"/>
        </w:rPr>
      </w:pPr>
      <w:r>
        <w:rPr>
          <w:rFonts w:ascii="Times New Roman" w:cs="Times New Roman" w:eastAsia="Times New Roman" w:hAnsi="Times New Roman"/>
          <w:sz w:val="18"/>
          <w:szCs w:val="18"/>
          <w:color w:val="auto"/>
        </w:rPr>
        <w:t>compensation plans (excluding stock-based incentive compensation plans), employee benefit or retirement plans, or policies, practices, or arrangements in which the Grantee</w:t>
      </w:r>
    </w:p>
    <w:p>
      <w:pPr>
        <w:spacing w:after="0" w:line="1" w:lineRule="exact"/>
        <w:rPr>
          <w:sz w:val="20"/>
          <w:szCs w:val="20"/>
          <w:color w:val="auto"/>
        </w:rPr>
      </w:pPr>
    </w:p>
    <w:p>
      <w:pPr>
        <w:ind w:left="560" w:right="160"/>
        <w:spacing w:after="0" w:line="220" w:lineRule="auto"/>
        <w:rPr>
          <w:sz w:val="20"/>
          <w:szCs w:val="20"/>
          <w:color w:val="auto"/>
        </w:rPr>
      </w:pPr>
      <w:r>
        <w:rPr>
          <w:rFonts w:ascii="Times New Roman" w:cs="Times New Roman" w:eastAsia="Times New Roman" w:hAnsi="Times New Roman"/>
          <w:sz w:val="17"/>
          <w:szCs w:val="17"/>
          <w:color w:val="auto"/>
        </w:rPr>
        <w:t>participates immediately prior to the start of the Protected Period; provided, however, that a reduction in the aggregate value shall not be deemed to be “Good Reason” if the reduced</w:t>
      </w:r>
    </w:p>
    <w:p>
      <w:pPr>
        <w:spacing w:after="0" w:line="2" w:lineRule="exact"/>
        <w:rPr>
          <w:sz w:val="20"/>
          <w:szCs w:val="20"/>
          <w:color w:val="auto"/>
        </w:rPr>
      </w:pPr>
    </w:p>
    <w:p>
      <w:pPr>
        <w:ind w:left="560"/>
        <w:spacing w:after="0" w:line="220" w:lineRule="auto"/>
        <w:rPr>
          <w:sz w:val="20"/>
          <w:szCs w:val="20"/>
          <w:color w:val="auto"/>
        </w:rPr>
      </w:pPr>
      <w:r>
        <w:rPr>
          <w:rFonts w:ascii="Times New Roman" w:cs="Times New Roman" w:eastAsia="Times New Roman" w:hAnsi="Times New Roman"/>
          <w:sz w:val="17"/>
          <w:szCs w:val="17"/>
          <w:color w:val="auto"/>
        </w:rPr>
        <w:t>value remains substantially consistent with the average level of other employees who have positions commensurate with the position held by the Grantee immediately prior to the start of the</w:t>
      </w: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Protected Period.</w:t>
      </w:r>
    </w:p>
    <w:p>
      <w:pPr>
        <w:spacing w:after="0" w:line="124" w:lineRule="exact"/>
        <w:rPr>
          <w:sz w:val="20"/>
          <w:szCs w:val="20"/>
          <w:color w:val="auto"/>
        </w:rPr>
      </w:pPr>
    </w:p>
    <w:p>
      <w:pPr>
        <w:ind w:left="560" w:hanging="319"/>
        <w:spacing w:after="0" w:line="215" w:lineRule="auto"/>
        <w:tabs>
          <w:tab w:leader="none" w:pos="6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30" w:lineRule="exact"/>
        <w:rPr>
          <w:rFonts w:ascii="Times New Roman" w:cs="Times New Roman" w:eastAsia="Times New Roman" w:hAnsi="Times New Roman"/>
          <w:sz w:val="18"/>
          <w:szCs w:val="18"/>
          <w:color w:val="auto"/>
        </w:rPr>
      </w:pPr>
    </w:p>
    <w:p>
      <w:pPr>
        <w:ind w:left="560" w:right="100" w:hanging="319"/>
        <w:spacing w:after="0" w:line="216" w:lineRule="auto"/>
        <w:tabs>
          <w:tab w:leader="none" w:pos="6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Grantee’s right to terminate employment for Good Reason</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shall not be affected by the Grantee’s incapacity due to physical or mental illness. The Grantee’s continued employment shall not constitute a consent to, or a waiver of rights with respect to, any circumstances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constituting Good Reason herein.</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Service Retirement</w:t>
      </w:r>
      <w:r>
        <w:rPr>
          <w:rFonts w:ascii="Times New Roman" w:cs="Times New Roman" w:eastAsia="Times New Roman" w:hAnsi="Times New Roman"/>
          <w:sz w:val="18"/>
          <w:szCs w:val="18"/>
          <w:color w:val="auto"/>
        </w:rPr>
        <w:t>” means an Early or Normal</w:t>
      </w:r>
    </w:p>
    <w:p>
      <w:pPr>
        <w:spacing w:after="0" w:line="6" w:lineRule="exact"/>
        <w:rPr>
          <w:sz w:val="20"/>
          <w:szCs w:val="20"/>
          <w:color w:val="auto"/>
        </w:rPr>
      </w:pPr>
    </w:p>
    <w:p>
      <w:pPr>
        <w:jc w:val="both"/>
        <w:ind w:right="160"/>
        <w:spacing w:after="0" w:line="220" w:lineRule="auto"/>
        <w:rPr>
          <w:sz w:val="20"/>
          <w:szCs w:val="20"/>
          <w:color w:val="auto"/>
        </w:rPr>
      </w:pPr>
      <w:r>
        <w:rPr>
          <w:rFonts w:ascii="Times New Roman" w:cs="Times New Roman" w:eastAsia="Times New Roman" w:hAnsi="Times New Roman"/>
          <w:sz w:val="17"/>
          <w:szCs w:val="17"/>
          <w:color w:val="auto"/>
        </w:rPr>
        <w:t>Retirement by the Grantee where the Grantee accepts a position in the federal government or a state or local government and an accelerated distribution under the award is permitted under Code Section 409A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such government employment and related ethics rules.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Employee</w:t>
      </w:r>
      <w:r>
        <w:rPr>
          <w:rFonts w:ascii="Times New Roman" w:cs="Times New Roman" w:eastAsia="Times New Roman" w:hAnsi="Times New Roman"/>
          <w:sz w:val="18"/>
          <w:szCs w:val="18"/>
          <w:color w:val="auto"/>
        </w:rPr>
        <w:t>” means an employee treated as a “specified</w:t>
      </w:r>
    </w:p>
    <w:p>
      <w:pPr>
        <w:spacing w:after="0" w:line="6"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employee” under Code section 409A(a)(2)(B)(i) of the Company or an Affiliated Company (i.e., a key employee (as defined in Code section 416(i) without regard to paragraph (5) thereof)) if the Company’s or an</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Affiliated Company’s stock is publicly traded on an established securities market or otherwise. The Company shall determine in accordance with a uniform Company policy which participants are Key</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Employees as of each December 31 in accordance with IRS regulations or other guidance under Section 409A. Such determination shall be effective for the</w:t>
      </w:r>
    </w:p>
    <w:p>
      <w:pPr>
        <w:sectPr>
          <w:pgSz w:w="11900" w:h="16838" w:orient="portrait"/>
          <w:cols w:equalWidth="0" w:num="2">
            <w:col w:w="5200" w:space="720"/>
            <w:col w:w="5200"/>
          </w:cols>
          <w:pgMar w:left="320" w:top="1147" w:right="459" w:bottom="1440" w:gutter="0" w:footer="0" w:header="0"/>
        </w:sectPr>
      </w:pPr>
    </w:p>
    <w:bookmarkStart w:id="42" w:name="page43"/>
    <w:bookmarkEnd w:id="42"/>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twelve (12) month period commencing on April 1 of the following year.</w:t>
      </w:r>
    </w:p>
    <w:p>
      <w:pPr>
        <w:spacing w:after="0" w:line="181" w:lineRule="exact"/>
        <w:rPr>
          <w:sz w:val="20"/>
          <w:szCs w:val="20"/>
          <w:color w:val="auto"/>
        </w:rPr>
      </w:pPr>
    </w:p>
    <w:p>
      <w:pPr>
        <w:ind w:right="420" w:firstLine="405"/>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Normal Retirement</w:t>
      </w:r>
      <w:r>
        <w:rPr>
          <w:rFonts w:ascii="Times New Roman" w:cs="Times New Roman" w:eastAsia="Times New Roman" w:hAnsi="Times New Roman"/>
          <w:sz w:val="17"/>
          <w:szCs w:val="17"/>
          <w:color w:val="auto"/>
        </w:rPr>
        <w:t>” means that the Grantee terminates employment after attaining age 65 with at least 10 years of service</w:t>
      </w:r>
    </w:p>
    <w:p>
      <w:pPr>
        <w:spacing w:after="0" w:line="1"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(other than in connection with a termination by the Company or a subsidiary for Cause). In the case of a Grantee who is an officer of the Company subject to the Company’s mandatory retirement at age 65</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policy and who, at the applicable time, is not otherwise eligible for Normal Retirement as defined in the preceding sentence, “Normal Retirement” as to that Grantee means that the Grantee’s employment is</w:t>
      </w:r>
    </w:p>
    <w:p>
      <w:pPr>
        <w:spacing w:after="0" w:line="2"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terminated pursuant to such mandatory retirement policy (regardless of the Grantee’s years of service and other than in connection with a termination by the Company or a subsidiary for Cause).</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used as defined in the Plan.</w:t>
      </w:r>
    </w:p>
    <w:p>
      <w:pPr>
        <w:spacing w:after="0" w:line="158" w:lineRule="exact"/>
        <w:rPr>
          <w:sz w:val="20"/>
          <w:szCs w:val="20"/>
          <w:color w:val="auto"/>
        </w:rPr>
      </w:pPr>
    </w:p>
    <w:p>
      <w:pPr>
        <w:ind w:right="60" w:firstLine="405"/>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Northrop Grumman 2011 Long-Term Incentive Stock Plan, as it may be amended form time to time.</w:t>
      </w:r>
    </w:p>
    <w:p>
      <w:pPr>
        <w:spacing w:after="0" w:line="128" w:lineRule="exact"/>
        <w:rPr>
          <w:sz w:val="20"/>
          <w:szCs w:val="20"/>
          <w:color w:val="auto"/>
        </w:rPr>
      </w:pPr>
    </w:p>
    <w:p>
      <w:pPr>
        <w:ind w:right="60" w:firstLine="405"/>
        <w:spacing w:after="0" w:line="227"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Protected Period</w:t>
      </w:r>
      <w:r>
        <w:rPr>
          <w:rFonts w:ascii="Times New Roman" w:cs="Times New Roman" w:eastAsia="Times New Roman" w:hAnsi="Times New Roman"/>
          <w:sz w:val="18"/>
          <w:szCs w:val="18"/>
          <w:color w:val="auto"/>
        </w:rPr>
        <w:t>” corresponding to a Change in Control of the Company shall be a period of time determined in accordance with the following:</w:t>
      </w:r>
    </w:p>
    <w:p>
      <w:pPr>
        <w:spacing w:after="0" w:line="132" w:lineRule="exact"/>
        <w:rPr>
          <w:sz w:val="20"/>
          <w:szCs w:val="20"/>
          <w:color w:val="auto"/>
        </w:rPr>
      </w:pPr>
    </w:p>
    <w:p>
      <w:pPr>
        <w:ind w:left="580" w:hanging="329"/>
        <w:spacing w:after="0" w:line="215" w:lineRule="auto"/>
        <w:tabs>
          <w:tab w:leader="none" w:pos="60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36" w:lineRule="exact"/>
        <w:rPr>
          <w:rFonts w:ascii="Times New Roman" w:cs="Times New Roman" w:eastAsia="Times New Roman" w:hAnsi="Times New Roman"/>
          <w:sz w:val="18"/>
          <w:szCs w:val="18"/>
          <w:color w:val="auto"/>
        </w:rPr>
      </w:pPr>
    </w:p>
    <w:p>
      <w:pPr>
        <w:ind w:left="580" w:hanging="329"/>
        <w:spacing w:after="0" w:line="216" w:lineRule="auto"/>
        <w:tabs>
          <w:tab w:leader="none" w:pos="65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18" w:lineRule="exact"/>
        <w:rPr>
          <w:rFonts w:ascii="Times New Roman" w:cs="Times New Roman" w:eastAsia="Times New Roman" w:hAnsi="Times New Roman"/>
          <w:sz w:val="18"/>
          <w:szCs w:val="18"/>
          <w:color w:val="auto"/>
        </w:rPr>
      </w:pPr>
    </w:p>
    <w:p>
      <w:pPr>
        <w:ind w:left="700" w:hanging="449"/>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Change in Control not described in clause</w:t>
      </w:r>
    </w:p>
    <w:p>
      <w:pPr>
        <w:spacing w:after="0" w:line="2" w:lineRule="exact"/>
        <w:rPr>
          <w:rFonts w:ascii="Times New Roman" w:cs="Times New Roman" w:eastAsia="Times New Roman" w:hAnsi="Times New Roman"/>
          <w:sz w:val="18"/>
          <w:szCs w:val="18"/>
          <w:color w:val="auto"/>
        </w:rPr>
      </w:pPr>
    </w:p>
    <w:p>
      <w:pPr>
        <w:jc w:val="both"/>
        <w:ind w:left="580" w:right="140" w:hanging="5"/>
        <w:spacing w:after="0" w:line="218" w:lineRule="auto"/>
        <w:tabs>
          <w:tab w:leader="none" w:pos="79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the Protected Period shall commence on the date that is six (6) months prior to the Change in Control and shall continue through and including the date of the Change in Control.</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from Service</w:t>
      </w:r>
      <w:r>
        <w:rPr>
          <w:rFonts w:ascii="Times New Roman" w:cs="Times New Roman" w:eastAsia="Times New Roman" w:hAnsi="Times New Roman"/>
          <w:sz w:val="18"/>
          <w:szCs w:val="18"/>
          <w:color w:val="auto"/>
        </w:rPr>
        <w:t>” means when the Grantee dies, retires,</w:t>
      </w:r>
    </w:p>
    <w:p>
      <w:pPr>
        <w:spacing w:after="0" w:line="6"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or otherwise has a termination of employment with the Company and its subsidiaries that constitutes a “separation from service” within the meaning of United States Treasury Regulation Section 1.409A-1(h)(1),</w:t>
      </w:r>
    </w:p>
    <w:p>
      <w:pPr>
        <w:spacing w:after="0" w:line="2" w:lineRule="exact"/>
        <w:rPr>
          <w:sz w:val="20"/>
          <w:szCs w:val="20"/>
          <w:color w:val="auto"/>
        </w:rPr>
      </w:pPr>
    </w:p>
    <w:p>
      <w:pPr>
        <w:ind w:right="740"/>
        <w:spacing w:after="0" w:line="226" w:lineRule="auto"/>
        <w:rPr>
          <w:sz w:val="20"/>
          <w:szCs w:val="20"/>
          <w:color w:val="auto"/>
        </w:rPr>
      </w:pPr>
      <w:r>
        <w:rPr>
          <w:rFonts w:ascii="Times New Roman" w:cs="Times New Roman" w:eastAsia="Times New Roman" w:hAnsi="Times New Roman"/>
          <w:sz w:val="18"/>
          <w:szCs w:val="18"/>
          <w:color w:val="auto"/>
        </w:rPr>
        <w:t>without regard to the optional alternative definitions available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br w:type="column"/>
      </w:r>
    </w:p>
    <w:p>
      <w:pPr>
        <w:jc w:val="both"/>
        <w:ind w:firstLine="40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Successor</w:t>
      </w:r>
      <w:r>
        <w:rPr>
          <w:rFonts w:ascii="Times New Roman" w:cs="Times New Roman" w:eastAsia="Times New Roman" w:hAnsi="Times New Roman"/>
          <w:sz w:val="17"/>
          <w:szCs w:val="17"/>
          <w:color w:val="auto"/>
        </w:rPr>
        <w:t>” means the person acquiring a Grantee’s rights to a grant under the Plan by will or by the laws of descent or distribution.</w:t>
      </w:r>
    </w:p>
    <w:p>
      <w:pPr>
        <w:sectPr>
          <w:pgSz w:w="11900" w:h="16838" w:orient="portrait"/>
          <w:cols w:equalWidth="0" w:num="2">
            <w:col w:w="5200" w:space="720"/>
            <w:col w:w="4960"/>
          </w:cols>
          <w:pgMar w:left="320" w:top="1143" w:right="6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NORTHROP GRUMMAN CORPORATION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2024 RESTRICTED PERFORMANCE STOCK RIGHTS GRANT AGREEMENT</w:t>
      </w:r>
    </w:p>
    <w:p>
      <w:pPr>
        <w:ind w:right="140" w:firstLine="648"/>
        <w:spacing w:after="0" w:line="220" w:lineRule="auto"/>
        <w:rPr>
          <w:sz w:val="20"/>
          <w:szCs w:val="20"/>
          <w:color w:val="auto"/>
        </w:rPr>
      </w:pPr>
      <w:r>
        <w:rPr>
          <w:rFonts w:ascii="Times New Roman" w:cs="Times New Roman" w:eastAsia="Times New Roman" w:hAnsi="Times New Roman"/>
          <w:sz w:val="17"/>
          <w:szCs w:val="17"/>
          <w:color w:val="auto"/>
        </w:rPr>
        <w:t>This 2024 Restricted Performance Stock Rights Grant Agreement (“Agreement”) applies to certain “Restricted Performance Stock Rights” (“RPSRs”) granted by Northrop Grumman Corporation (the “Company”) in 2024 under its 2011 Long-Term Incentive Stock Plan. If you were granted an RPSR award by the Company in 2024, the date of grant of your RPSR award and the target number of RPSRs applicable to your award are set forth in the</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letter from the Company announcing your RPSR award (your “Grant Letter”) and are also reflected in the electronic stock plan award recordkeeping system (“Stock Plan System”) maintained by the Company or its designee. This Agreement applies only with respect to the 2024 RPSR award, and you are subject to this Agreement upon accepting your grant. If you were granted an RPSR award, you are referred to as the “Grantee” with respect to your award.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are generally defined in Section 12 below if not otherwise defined herein.</w:t>
      </w:r>
    </w:p>
    <w:p>
      <w:pPr>
        <w:spacing w:after="0" w:line="165" w:lineRule="exact"/>
        <w:rPr>
          <w:sz w:val="20"/>
          <w:szCs w:val="20"/>
          <w:color w:val="auto"/>
        </w:rPr>
      </w:pPr>
    </w:p>
    <w:p>
      <w:pPr>
        <w:ind w:right="300" w:firstLine="648"/>
        <w:spacing w:after="0" w:line="236" w:lineRule="auto"/>
        <w:rPr>
          <w:sz w:val="20"/>
          <w:szCs w:val="20"/>
          <w:color w:val="auto"/>
        </w:rPr>
      </w:pPr>
      <w:r>
        <w:rPr>
          <w:rFonts w:ascii="Times New Roman" w:cs="Times New Roman" w:eastAsia="Times New Roman" w:hAnsi="Times New Roman"/>
          <w:sz w:val="17"/>
          <w:szCs w:val="17"/>
          <w:color w:val="auto"/>
        </w:rPr>
        <w:t>Each RPSR represents a right to receive one share of the Company’s Common Stock, or cash of equivalent value as provided herein subject to vesting as provided herein. The performance period applicable to your award is January 1, 2024 to December 31, 2026 (the “Performance Period”). The</w:t>
      </w:r>
    </w:p>
    <w:p>
      <w:pPr>
        <w:jc w:val="both"/>
        <w:ind w:right="60"/>
        <w:spacing w:after="0" w:line="220" w:lineRule="auto"/>
        <w:rPr>
          <w:sz w:val="20"/>
          <w:szCs w:val="20"/>
          <w:color w:val="auto"/>
        </w:rPr>
      </w:pPr>
      <w:r>
        <w:rPr>
          <w:rFonts w:ascii="Times New Roman" w:cs="Times New Roman" w:eastAsia="Times New Roman" w:hAnsi="Times New Roman"/>
          <w:sz w:val="17"/>
          <w:szCs w:val="17"/>
          <w:color w:val="auto"/>
        </w:rPr>
        <w:t>target number of RPSRs subject to your award is subject to adjustment as provided herein. The RPSR award is subject to all of the terms and conditions set forth in this Agreement, and is further subject to all of the terms and conditions of the Plan, as it may be amended from time to time, and any rules adopted by the Committee, as such rules are in effect from time to time. If you do not formally accept your RPSR award, by entering into this Agreement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instructions and time limit set forth in your Grant Letter, you will be deemed to have forfeited your RPSR award.</w:t>
      </w: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0" w:hanging="392"/>
        <w:spacing w:after="0"/>
        <w:tabs>
          <w:tab w:leader="none" w:pos="4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Payment of RPSRs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60" w:firstLine="405"/>
        <w:spacing w:after="0" w:line="216" w:lineRule="auto"/>
        <w:rPr>
          <w:sz w:val="20"/>
          <w:szCs w:val="20"/>
          <w:color w:val="auto"/>
        </w:rPr>
      </w:pPr>
      <w:r>
        <w:rPr>
          <w:rFonts w:ascii="Times New Roman" w:cs="Times New Roman" w:eastAsia="Times New Roman" w:hAnsi="Times New Roman"/>
          <w:sz w:val="18"/>
          <w:szCs w:val="18"/>
          <w:color w:val="auto"/>
        </w:rPr>
        <w:t>The RPSRs are subject to the vesting and payment provisions established by the Committee with respect to the Performance Period. RPSRs (and any Dividend Equivalents (as defined below)) that vest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such provisions will be paid as provided below.</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i w:val="1"/>
          <w:iCs w:val="1"/>
          <w:color w:val="auto"/>
        </w:rPr>
        <w:t>Performance-Based Vesting of RPSRs</w:t>
      </w:r>
      <w:r>
        <w:rPr>
          <w:rFonts w:ascii="Times New Roman" w:cs="Times New Roman" w:eastAsia="Times New Roman" w:hAnsi="Times New Roman"/>
          <w:sz w:val="18"/>
          <w:szCs w:val="18"/>
          <w:color w:val="auto"/>
        </w:rPr>
        <w:t>. Subject to Sections 2,</w:t>
      </w:r>
    </w:p>
    <w:p>
      <w:pPr>
        <w:spacing w:after="0" w:line="219" w:lineRule="auto"/>
        <w:rPr>
          <w:sz w:val="20"/>
          <w:szCs w:val="20"/>
          <w:color w:val="auto"/>
        </w:rPr>
      </w:pPr>
      <w:r>
        <w:rPr>
          <w:rFonts w:ascii="Times New Roman" w:cs="Times New Roman" w:eastAsia="Times New Roman" w:hAnsi="Times New Roman"/>
          <w:sz w:val="18"/>
          <w:szCs w:val="18"/>
          <w:color w:val="auto"/>
        </w:rPr>
        <w:t>3, 4 and 6 below, the RPSRs subject to the award shall vest and become</w:t>
      </w:r>
    </w:p>
    <w:p>
      <w:pPr>
        <w:ind w:right="180"/>
        <w:spacing w:after="0" w:line="220" w:lineRule="auto"/>
        <w:rPr>
          <w:sz w:val="20"/>
          <w:szCs w:val="20"/>
          <w:color w:val="auto"/>
        </w:rPr>
      </w:pPr>
      <w:r>
        <w:rPr>
          <w:rFonts w:ascii="Times New Roman" w:cs="Times New Roman" w:eastAsia="Times New Roman" w:hAnsi="Times New Roman"/>
          <w:sz w:val="17"/>
          <w:szCs w:val="17"/>
          <w:color w:val="auto"/>
        </w:rPr>
        <w:t>nonforfeitable based on the performance methodology and goals established by the Committee for the Performance Period. At the conclusion of the Performance Period, the Committee shall determine</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whether and the extent to which the performance goals have been achieved. The percentage of target RPSRs subject to the award (if any) that have vested for the Performance Period (the “Earnout Percentage”)</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shall be determined by the Committee based on the methodology and goals as established by the Committee, and its determination of the Earnout Percentage shall be conclusive and binding. Any RPSRs (and</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related Dividend Equivalents) subject to the award that are not vested as of the conclusion of the Performance Period after giving effect to the Committee’s determinations under this Section 1.1 shall terminate and</w:t>
      </w:r>
    </w:p>
    <w:p>
      <w:pPr>
        <w:spacing w:after="0" w:line="2" w:lineRule="exact"/>
        <w:rPr>
          <w:sz w:val="20"/>
          <w:szCs w:val="20"/>
          <w:color w:val="auto"/>
        </w:rPr>
      </w:pPr>
    </w:p>
    <w:p>
      <w:pPr>
        <w:jc w:val="right"/>
        <w:ind w:right="380"/>
        <w:spacing w:after="0" w:line="313" w:lineRule="auto"/>
        <w:rPr>
          <w:sz w:val="20"/>
          <w:szCs w:val="20"/>
          <w:color w:val="auto"/>
        </w:rPr>
      </w:pPr>
      <w:r>
        <w:rPr>
          <w:rFonts w:ascii="Times New Roman" w:cs="Times New Roman" w:eastAsia="Times New Roman" w:hAnsi="Times New Roman"/>
          <w:sz w:val="18"/>
          <w:szCs w:val="18"/>
          <w:color w:val="auto"/>
        </w:rPr>
        <w:t xml:space="preserve">become null and void as of the last day of the Performance Period. </w:t>
      </w: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i w:val="1"/>
          <w:iCs w:val="1"/>
          <w:color w:val="auto"/>
        </w:rPr>
        <w:t>Payment of RPSRs</w:t>
      </w:r>
      <w:r>
        <w:rPr>
          <w:rFonts w:ascii="Times New Roman" w:cs="Times New Roman" w:eastAsia="Times New Roman" w:hAnsi="Times New Roman"/>
          <w:sz w:val="18"/>
          <w:szCs w:val="18"/>
          <w:color w:val="auto"/>
        </w:rPr>
        <w:t>. The number of RPSRs payable at the</w:t>
      </w:r>
    </w:p>
    <w:p>
      <w:pPr>
        <w:ind w:right="20"/>
        <w:spacing w:after="0" w:line="208" w:lineRule="auto"/>
        <w:rPr>
          <w:sz w:val="20"/>
          <w:szCs w:val="20"/>
          <w:color w:val="auto"/>
        </w:rPr>
      </w:pPr>
      <w:r>
        <w:rPr>
          <w:rFonts w:ascii="Times New Roman" w:cs="Times New Roman" w:eastAsia="Times New Roman" w:hAnsi="Times New Roman"/>
          <w:sz w:val="18"/>
          <w:szCs w:val="18"/>
          <w:color w:val="auto"/>
        </w:rPr>
        <w:t>conclusion of the Performance Period (“Vested RPSRs”) shall be determined by multiplying the Earnout Percentage by the target number of RPSRs subject to the award. The Vested RPSRs and any RPSRs that</w:t>
      </w:r>
    </w:p>
    <w:p>
      <w:pPr>
        <w:spacing w:after="0" w:line="2"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vest and become payable pursuant to Section 2 or 6 may be paid out in either an equivalent number of shares of Common Stock, or, in the discretion of the Committee, in cash or in a combination of shares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 w:right="160"/>
        <w:spacing w:after="0" w:line="222" w:lineRule="auto"/>
        <w:rPr>
          <w:sz w:val="20"/>
          <w:szCs w:val="20"/>
          <w:color w:val="auto"/>
        </w:rPr>
      </w:pPr>
      <w:r>
        <w:rPr>
          <w:rFonts w:ascii="Times New Roman" w:cs="Times New Roman" w:eastAsia="Times New Roman" w:hAnsi="Times New Roman"/>
          <w:sz w:val="18"/>
          <w:szCs w:val="18"/>
          <w:color w:val="auto"/>
        </w:rPr>
        <w:t>Common Stock and cash. In the event of a cash payment, the amount of payment for each Vested RPSR to be paid in cash will equal the Fair</w:t>
      </w:r>
    </w:p>
    <w:p>
      <w:pPr>
        <w:spacing w:after="0" w:line="2" w:lineRule="exact"/>
        <w:rPr>
          <w:sz w:val="20"/>
          <w:szCs w:val="20"/>
          <w:color w:val="auto"/>
        </w:rPr>
      </w:pPr>
    </w:p>
    <w:p>
      <w:pPr>
        <w:jc w:val="both"/>
        <w:ind w:left="2" w:right="120"/>
        <w:spacing w:after="0" w:line="220" w:lineRule="auto"/>
        <w:rPr>
          <w:sz w:val="20"/>
          <w:szCs w:val="20"/>
          <w:color w:val="auto"/>
        </w:rPr>
      </w:pPr>
      <w:r>
        <w:rPr>
          <w:rFonts w:ascii="Times New Roman" w:cs="Times New Roman" w:eastAsia="Times New Roman" w:hAnsi="Times New Roman"/>
          <w:sz w:val="17"/>
          <w:szCs w:val="17"/>
          <w:color w:val="auto"/>
        </w:rPr>
        <w:t>Market Value (as defined below) of a share of Common Stock as of the date the Committee determines the extent to which the applicable RPSR performance criteria have been achieved. Vested RPSRs will be paid</w:t>
      </w:r>
    </w:p>
    <w:p>
      <w:pPr>
        <w:spacing w:after="0" w:line="2" w:lineRule="exact"/>
        <w:rPr>
          <w:sz w:val="20"/>
          <w:szCs w:val="20"/>
          <w:color w:val="auto"/>
        </w:rPr>
      </w:pPr>
    </w:p>
    <w:p>
      <w:pPr>
        <w:ind w:left="2" w:right="260"/>
        <w:spacing w:after="0" w:line="226" w:lineRule="auto"/>
        <w:rPr>
          <w:sz w:val="20"/>
          <w:szCs w:val="20"/>
          <w:color w:val="auto"/>
        </w:rPr>
      </w:pPr>
      <w:r>
        <w:rPr>
          <w:rFonts w:ascii="Times New Roman" w:cs="Times New Roman" w:eastAsia="Times New Roman" w:hAnsi="Times New Roman"/>
          <w:sz w:val="18"/>
          <w:szCs w:val="18"/>
          <w:color w:val="auto"/>
        </w:rPr>
        <w:t>within 60 days of the vesting date, but in no event later than March 15 of the year following the last day of the Performance Period.</w:t>
      </w:r>
    </w:p>
    <w:p>
      <w:pPr>
        <w:spacing w:after="0" w:line="126" w:lineRule="exact"/>
        <w:rPr>
          <w:sz w:val="20"/>
          <w:szCs w:val="20"/>
          <w:color w:val="auto"/>
        </w:rPr>
      </w:pPr>
    </w:p>
    <w:p>
      <w:pPr>
        <w:ind w:left="2" w:right="320" w:firstLine="324"/>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1.3. </w:t>
      </w:r>
      <w:r>
        <w:rPr>
          <w:rFonts w:ascii="Times New Roman" w:cs="Times New Roman" w:eastAsia="Times New Roman" w:hAnsi="Times New Roman"/>
          <w:sz w:val="17"/>
          <w:szCs w:val="17"/>
          <w:b w:val="1"/>
          <w:bCs w:val="1"/>
          <w:i w:val="1"/>
          <w:iCs w:val="1"/>
          <w:color w:val="auto"/>
        </w:rPr>
        <w:t>Dividend Equivalents</w:t>
      </w:r>
      <w:r>
        <w:rPr>
          <w:rFonts w:ascii="Times New Roman" w:cs="Times New Roman" w:eastAsia="Times New Roman" w:hAnsi="Times New Roman"/>
          <w:sz w:val="17"/>
          <w:szCs w:val="17"/>
          <w:color w:val="auto"/>
        </w:rPr>
        <w:t>. The Grantee shall be entitled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payment for Dividend Equivalents (if any) with respect to any Vested RPSRs and any RPSRs that vest and become payable pursuant to</w:t>
      </w:r>
    </w:p>
    <w:p>
      <w:pPr>
        <w:spacing w:after="0" w:line="2" w:lineRule="exact"/>
        <w:rPr>
          <w:sz w:val="20"/>
          <w:szCs w:val="20"/>
          <w:color w:val="auto"/>
        </w:rPr>
      </w:pPr>
    </w:p>
    <w:p>
      <w:pPr>
        <w:ind w:left="2" w:right="140"/>
        <w:spacing w:after="0" w:line="220" w:lineRule="auto"/>
        <w:rPr>
          <w:sz w:val="20"/>
          <w:szCs w:val="20"/>
          <w:color w:val="auto"/>
        </w:rPr>
      </w:pPr>
      <w:r>
        <w:rPr>
          <w:rFonts w:ascii="Times New Roman" w:cs="Times New Roman" w:eastAsia="Times New Roman" w:hAnsi="Times New Roman"/>
          <w:sz w:val="17"/>
          <w:szCs w:val="17"/>
          <w:color w:val="auto"/>
        </w:rPr>
        <w:t>Section 2 or 6. For purposes of this Agreement, “Dividend Equivalents” means the aggregate amount of dividends paid by the Company on a number of shares of Common Stock equivalent to the number of Vested</w:t>
      </w:r>
    </w:p>
    <w:p>
      <w:pPr>
        <w:spacing w:after="0" w:line="2" w:lineRule="exact"/>
        <w:rPr>
          <w:sz w:val="20"/>
          <w:szCs w:val="20"/>
          <w:color w:val="auto"/>
        </w:rPr>
      </w:pPr>
    </w:p>
    <w:p>
      <w:pPr>
        <w:ind w:left="2" w:right="120"/>
        <w:spacing w:after="0" w:line="208" w:lineRule="auto"/>
        <w:rPr>
          <w:sz w:val="20"/>
          <w:szCs w:val="20"/>
          <w:color w:val="auto"/>
        </w:rPr>
      </w:pPr>
      <w:r>
        <w:rPr>
          <w:rFonts w:ascii="Times New Roman" w:cs="Times New Roman" w:eastAsia="Times New Roman" w:hAnsi="Times New Roman"/>
          <w:sz w:val="18"/>
          <w:szCs w:val="18"/>
          <w:color w:val="auto"/>
        </w:rPr>
        <w:t>RPSRs (or the number of RPSRs that vest and become payable pursuant to Section 2 or 6) during the period from the beginning of the Performance Period until the date the Vested RPSRs (or the RPSRs that</w:t>
      </w:r>
    </w:p>
    <w:p>
      <w:pPr>
        <w:spacing w:after="0" w:line="2" w:lineRule="exact"/>
        <w:rPr>
          <w:sz w:val="20"/>
          <w:szCs w:val="20"/>
          <w:color w:val="auto"/>
        </w:rPr>
      </w:pPr>
    </w:p>
    <w:p>
      <w:pPr>
        <w:ind w:left="2" w:right="300"/>
        <w:spacing w:after="0" w:line="220" w:lineRule="auto"/>
        <w:rPr>
          <w:sz w:val="20"/>
          <w:szCs w:val="20"/>
          <w:color w:val="auto"/>
        </w:rPr>
      </w:pPr>
      <w:r>
        <w:rPr>
          <w:rFonts w:ascii="Times New Roman" w:cs="Times New Roman" w:eastAsia="Times New Roman" w:hAnsi="Times New Roman"/>
          <w:sz w:val="17"/>
          <w:szCs w:val="17"/>
          <w:color w:val="auto"/>
        </w:rPr>
        <w:t>vest and become payable pursuant to Section 2 or 6) are paid, without interest or other adjustments to reflect the time value of money. For these purposes, any Vested RPSRs or RPSRs that vest and become</w:t>
      </w:r>
    </w:p>
    <w:p>
      <w:pPr>
        <w:spacing w:after="0" w:line="2" w:lineRule="exact"/>
        <w:rPr>
          <w:sz w:val="20"/>
          <w:szCs w:val="20"/>
          <w:color w:val="auto"/>
        </w:rPr>
      </w:pPr>
    </w:p>
    <w:p>
      <w:pPr>
        <w:ind w:left="2" w:right="160"/>
        <w:spacing w:after="0" w:line="208" w:lineRule="auto"/>
        <w:rPr>
          <w:sz w:val="20"/>
          <w:szCs w:val="20"/>
          <w:color w:val="auto"/>
        </w:rPr>
      </w:pPr>
      <w:r>
        <w:rPr>
          <w:rFonts w:ascii="Times New Roman" w:cs="Times New Roman" w:eastAsia="Times New Roman" w:hAnsi="Times New Roman"/>
          <w:sz w:val="18"/>
          <w:szCs w:val="18"/>
          <w:color w:val="auto"/>
        </w:rPr>
        <w:t>payable pursuant to Section 2 or 6 in excess of the target number of RPSRs subject to the award shall be considered to have been granted at the beginning of the Performance Period. Dividend Equivalents (if any)</w:t>
      </w:r>
    </w:p>
    <w:p>
      <w:pPr>
        <w:spacing w:after="0" w:line="2" w:lineRule="exact"/>
        <w:rPr>
          <w:sz w:val="20"/>
          <w:szCs w:val="20"/>
          <w:color w:val="auto"/>
        </w:rPr>
      </w:pPr>
    </w:p>
    <w:p>
      <w:pPr>
        <w:ind w:left="2" w:right="320"/>
        <w:spacing w:after="0" w:line="218" w:lineRule="auto"/>
        <w:rPr>
          <w:sz w:val="20"/>
          <w:szCs w:val="20"/>
          <w:color w:val="auto"/>
        </w:rPr>
      </w:pPr>
      <w:r>
        <w:rPr>
          <w:rFonts w:ascii="Times New Roman" w:cs="Times New Roman" w:eastAsia="Times New Roman" w:hAnsi="Times New Roman"/>
          <w:sz w:val="18"/>
          <w:szCs w:val="18"/>
          <w:color w:val="auto"/>
        </w:rPr>
        <w:t>will be paid at the same time as the Vested RPSRs (or the RPSRs that vest and become payable pursuant to Section 2 or 6) to which they relate are paid. Dividend Equivalents will be paid in cash.</w:t>
      </w:r>
    </w:p>
    <w:p>
      <w:pPr>
        <w:spacing w:after="0" w:line="127" w:lineRule="exact"/>
        <w:rPr>
          <w:sz w:val="20"/>
          <w:szCs w:val="20"/>
          <w:color w:val="auto"/>
        </w:rPr>
      </w:pPr>
    </w:p>
    <w:p>
      <w:pPr>
        <w:ind w:left="182" w:hanging="182"/>
        <w:spacing w:after="0"/>
        <w:tabs>
          <w:tab w:leader="none" w:pos="18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Early Termination of Award; Termination of Employment</w:t>
      </w:r>
      <w:r>
        <w:rPr>
          <w:rFonts w:ascii="Times New Roman" w:cs="Times New Roman" w:eastAsia="Times New Roman" w:hAnsi="Times New Roman"/>
          <w:sz w:val="18"/>
          <w:szCs w:val="18"/>
          <w:color w:val="auto"/>
        </w:rPr>
        <w:t>.</w:t>
      </w:r>
    </w:p>
    <w:p>
      <w:pPr>
        <w:spacing w:after="0" w:line="621" w:lineRule="exact"/>
        <w:rPr>
          <w:sz w:val="20"/>
          <w:szCs w:val="20"/>
          <w:color w:val="auto"/>
        </w:rPr>
      </w:pPr>
    </w:p>
    <w:p>
      <w:pPr>
        <w:sectPr>
          <w:pgSz w:w="11900" w:h="16838" w:orient="portrait"/>
          <w:cols w:equalWidth="0" w:num="2">
            <w:col w:w="5200" w:space="718"/>
            <w:col w:w="5322"/>
          </w:cols>
          <w:pgMar w:left="320" w:top="94" w:right="3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16"/>
          <w:szCs w:val="16"/>
          <w:color w:val="auto"/>
        </w:rPr>
        <w:t>ELT (2024 RPSR Agreement)</w:t>
      </w:r>
      <w:r>
        <w:rPr>
          <w:sz w:val="20"/>
          <w:szCs w:val="20"/>
          <w:color w:val="auto"/>
        </w:rPr>
        <w:tab/>
      </w: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94" w:right="339" w:bottom="1440" w:gutter="0" w:footer="0" w:header="0"/>
          <w:type w:val="continuous"/>
        </w:sectPr>
      </w:pPr>
    </w:p>
    <w:bookmarkStart w:id="44" w:name="page45"/>
    <w:bookmarkEnd w:id="44"/>
    <w:p>
      <w:pPr>
        <w:ind w:right="180" w:firstLine="324"/>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RPSRs (and related Dividend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award shall terminate and become null and void prior to the conclusion of the Performance Period if and when (a) the award</w:t>
      </w:r>
    </w:p>
    <w:p>
      <w:pPr>
        <w:spacing w:after="0" w:line="3"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terminates in connection with a Change in Control pursuant to Section 6 below, or (b) except as provided below in this Section 2 and in Section 6, the Grantee ceases for any reason to be an employee of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one of its subsidiaries.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i w:val="1"/>
          <w:iCs w:val="1"/>
          <w:color w:val="auto"/>
        </w:rPr>
        <w:t>Termination of Employment Due to Retirement, Death or</w:t>
      </w:r>
    </w:p>
    <w:p>
      <w:pPr>
        <w:spacing w:after="0" w:line="6"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The number of RPSRs (and related Dividend Equivalents)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the award shall vest on a prorated basis as provided herein if the Grantee’s employment by the Company and its subsidiaries</w:t>
      </w:r>
    </w:p>
    <w:p>
      <w:pPr>
        <w:spacing w:after="0" w:line="2" w:lineRule="exact"/>
        <w:rPr>
          <w:sz w:val="20"/>
          <w:szCs w:val="20"/>
          <w:color w:val="auto"/>
        </w:rPr>
      </w:pPr>
    </w:p>
    <w:p>
      <w:pPr>
        <w:ind w:right="220"/>
        <w:spacing w:after="0" w:line="220" w:lineRule="auto"/>
        <w:rPr>
          <w:sz w:val="20"/>
          <w:szCs w:val="20"/>
          <w:color w:val="auto"/>
        </w:rPr>
      </w:pPr>
      <w:r>
        <w:rPr>
          <w:rFonts w:ascii="Times New Roman" w:cs="Times New Roman" w:eastAsia="Times New Roman" w:hAnsi="Times New Roman"/>
          <w:sz w:val="17"/>
          <w:szCs w:val="17"/>
          <w:color w:val="auto"/>
        </w:rPr>
        <w:t xml:space="preserve">terminates due to the Grantee’s Early Retirement, death, or Disability </w:t>
      </w:r>
      <w:r>
        <w:rPr>
          <w:rFonts w:ascii="Times New Roman" w:cs="Times New Roman" w:eastAsia="Times New Roman" w:hAnsi="Times New Roman"/>
          <w:sz w:val="17"/>
          <w:szCs w:val="17"/>
          <w:u w:val="single" w:color="auto"/>
          <w:color w:val="auto"/>
        </w:rPr>
        <w:t>and</w:t>
      </w:r>
      <w:r>
        <w:rPr>
          <w:rFonts w:ascii="Times New Roman" w:cs="Times New Roman" w:eastAsia="Times New Roman" w:hAnsi="Times New Roman"/>
          <w:sz w:val="17"/>
          <w:szCs w:val="17"/>
          <w:color w:val="auto"/>
        </w:rPr>
        <w:t>, in each case, only if the Grantee has completed at least six (6) consecutive calendar months of employment with the Company or a</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subsidiary during the three-year Performance Period. Such prorating of RPSRs (and related Dividend Equivalents) shall be based on the number of calendar days the Grantee was actually employed by the</w:t>
      </w:r>
    </w:p>
    <w:p>
      <w:pPr>
        <w:spacing w:after="0" w:line="2" w:lineRule="exact"/>
        <w:rPr>
          <w:sz w:val="20"/>
          <w:szCs w:val="20"/>
          <w:color w:val="auto"/>
        </w:rPr>
      </w:pPr>
    </w:p>
    <w:p>
      <w:pPr>
        <w:ind w:right="80"/>
        <w:spacing w:after="0" w:line="211" w:lineRule="auto"/>
        <w:rPr>
          <w:sz w:val="20"/>
          <w:szCs w:val="20"/>
          <w:color w:val="auto"/>
        </w:rPr>
      </w:pPr>
      <w:r>
        <w:rPr>
          <w:rFonts w:ascii="Times New Roman" w:cs="Times New Roman" w:eastAsia="Times New Roman" w:hAnsi="Times New Roman"/>
          <w:sz w:val="18"/>
          <w:szCs w:val="18"/>
          <w:color w:val="auto"/>
        </w:rPr>
        <w:t>Company or one of its subsidiaries over the number of calendar days in the Performance Period (the number of prorated RPSRs, the “Prorated</w:t>
      </w:r>
    </w:p>
    <w:p>
      <w:pPr>
        <w:spacing w:after="0" w:line="219" w:lineRule="auto"/>
        <w:rPr>
          <w:sz w:val="20"/>
          <w:szCs w:val="20"/>
          <w:color w:val="auto"/>
        </w:rPr>
      </w:pPr>
      <w:r>
        <w:rPr>
          <w:rFonts w:ascii="Times New Roman" w:cs="Times New Roman" w:eastAsia="Times New Roman" w:hAnsi="Times New Roman"/>
          <w:sz w:val="18"/>
          <w:szCs w:val="18"/>
          <w:color w:val="auto"/>
        </w:rPr>
        <w:t>RPSRs”). If the Grantee ceases to be employed by the Company or one</w:t>
      </w:r>
    </w:p>
    <w:p>
      <w:pPr>
        <w:spacing w:after="0" w:line="1"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7"/>
          <w:szCs w:val="17"/>
          <w:color w:val="auto"/>
        </w:rPr>
        <w:t>of its subsidiaries due to the Grantee’s Normal Retirement and such Normal Retirement occurs more than six (6) months after the Grant Date, the RPSRs will vest as if the employee had remained an employee</w:t>
      </w:r>
    </w:p>
    <w:p>
      <w:pPr>
        <w:spacing w:after="0" w:line="236" w:lineRule="auto"/>
        <w:rPr>
          <w:sz w:val="20"/>
          <w:szCs w:val="20"/>
          <w:color w:val="auto"/>
        </w:rPr>
      </w:pPr>
      <w:r>
        <w:rPr>
          <w:rFonts w:ascii="Times New Roman" w:cs="Times New Roman" w:eastAsia="Times New Roman" w:hAnsi="Times New Roman"/>
          <w:sz w:val="18"/>
          <w:szCs w:val="18"/>
          <w:color w:val="auto"/>
        </w:rPr>
        <w:t>for the full Performance Period. Any RPSRs (and related Dividend</w:t>
      </w:r>
    </w:p>
    <w:p>
      <w:pPr>
        <w:ind w:right="60"/>
        <w:spacing w:after="0" w:line="208" w:lineRule="auto"/>
        <w:rPr>
          <w:sz w:val="20"/>
          <w:szCs w:val="20"/>
          <w:color w:val="auto"/>
        </w:rPr>
      </w:pPr>
      <w:r>
        <w:rPr>
          <w:rFonts w:ascii="Times New Roman" w:cs="Times New Roman" w:eastAsia="Times New Roman" w:hAnsi="Times New Roman"/>
          <w:sz w:val="18"/>
          <w:szCs w:val="18"/>
          <w:color w:val="auto"/>
        </w:rPr>
        <w:t>Equivalents) subject to the award that do not vest in accordance with this Section 2.2 upon a termination of the Grantee’s employment due to Early Retirement or Normal Retirement (collectively “Retirement”),</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death or Disability shall terminate immediately upon such termination of employment.</w:t>
      </w:r>
    </w:p>
    <w:p>
      <w:pPr>
        <w:spacing w:after="0" w:line="128" w:lineRule="exact"/>
        <w:rPr>
          <w:sz w:val="20"/>
          <w:szCs w:val="20"/>
          <w:color w:val="auto"/>
        </w:rPr>
      </w:pPr>
    </w:p>
    <w:p>
      <w:pPr>
        <w:ind w:right="80" w:firstLine="180"/>
        <w:spacing w:after="0" w:line="229" w:lineRule="auto"/>
        <w:rPr>
          <w:sz w:val="20"/>
          <w:szCs w:val="20"/>
          <w:color w:val="auto"/>
        </w:rPr>
      </w:pPr>
      <w:r>
        <w:rPr>
          <w:rFonts w:ascii="Times New Roman" w:cs="Times New Roman" w:eastAsia="Times New Roman" w:hAnsi="Times New Roman"/>
          <w:sz w:val="17"/>
          <w:szCs w:val="17"/>
          <w:i w:val="1"/>
          <w:iCs w:val="1"/>
          <w:color w:val="auto"/>
        </w:rPr>
        <w:t>Death or Disability</w:t>
      </w:r>
      <w:r>
        <w:rPr>
          <w:rFonts w:ascii="Times New Roman" w:cs="Times New Roman" w:eastAsia="Times New Roman" w:hAnsi="Times New Roman"/>
          <w:sz w:val="17"/>
          <w:szCs w:val="17"/>
          <w:color w:val="auto"/>
        </w:rPr>
        <w:t>. In the case of death or Disability (a) the Earnout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Percentage of the Grantee’s Prorated RPSRs (and related Dividend Equivalents) will be deemed to be 100% (target), regardless of actual</w:t>
      </w:r>
    </w:p>
    <w:p>
      <w:pPr>
        <w:spacing w:after="0" w:line="2" w:lineRule="exact"/>
        <w:rPr>
          <w:sz w:val="20"/>
          <w:szCs w:val="20"/>
          <w:color w:val="auto"/>
        </w:rPr>
      </w:pPr>
    </w:p>
    <w:p>
      <w:pPr>
        <w:ind w:right="380"/>
        <w:spacing w:after="0" w:line="208" w:lineRule="auto"/>
        <w:rPr>
          <w:sz w:val="20"/>
          <w:szCs w:val="20"/>
          <w:color w:val="auto"/>
        </w:rPr>
      </w:pPr>
      <w:r>
        <w:rPr>
          <w:rFonts w:ascii="Times New Roman" w:cs="Times New Roman" w:eastAsia="Times New Roman" w:hAnsi="Times New Roman"/>
          <w:sz w:val="18"/>
          <w:szCs w:val="18"/>
          <w:color w:val="auto"/>
        </w:rPr>
        <w:t>performance, and (b) payment of the Prorated RPSRs (and related Dividend Equivalents) that vest pursuant to this Section 2.2 will be made within 60 days of the Grantee’s death or Disability, but in no</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event later than March 15 of the year following the date of the death or Disability.</w:t>
      </w:r>
    </w:p>
    <w:p>
      <w:pPr>
        <w:spacing w:after="0" w:line="1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Retirement in General</w:t>
      </w:r>
      <w:r>
        <w:rPr>
          <w:rFonts w:ascii="Times New Roman" w:cs="Times New Roman" w:eastAsia="Times New Roman" w:hAnsi="Times New Roman"/>
          <w:sz w:val="18"/>
          <w:szCs w:val="18"/>
          <w:color w:val="auto"/>
        </w:rPr>
        <w:t>. Subject to the following provisions of this</w:t>
      </w:r>
    </w:p>
    <w:p>
      <w:pPr>
        <w:spacing w:after="0" w:line="4"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8"/>
          <w:szCs w:val="18"/>
          <w:color w:val="auto"/>
        </w:rPr>
        <w:t>Section 2.2, in the case of Retirement, the Earnout Percentage will be used to calculate the Grantee’s Vested RPSRs, and payment of the Vested RPSRs (and related Dividend Equivalents) will be made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Section 1.2 above.</w:t>
      </w:r>
    </w:p>
    <w:p>
      <w:pPr>
        <w:spacing w:after="0" w:line="165" w:lineRule="exact"/>
        <w:rPr>
          <w:sz w:val="20"/>
          <w:szCs w:val="20"/>
          <w:color w:val="auto"/>
        </w:rPr>
      </w:pPr>
    </w:p>
    <w:p>
      <w:pPr>
        <w:ind w:right="20" w:firstLine="180"/>
        <w:spacing w:after="0" w:line="222" w:lineRule="auto"/>
        <w:rPr>
          <w:sz w:val="20"/>
          <w:szCs w:val="20"/>
          <w:color w:val="auto"/>
        </w:rPr>
      </w:pPr>
      <w:r>
        <w:rPr>
          <w:rFonts w:ascii="Times New Roman" w:cs="Times New Roman" w:eastAsia="Times New Roman" w:hAnsi="Times New Roman"/>
          <w:sz w:val="18"/>
          <w:szCs w:val="18"/>
          <w:color w:val="auto"/>
        </w:rPr>
        <w:t>In determining the Grantee’s eligibility for Retirement, service is measured by dividing (a) the number of days the Grantee was employed</w:t>
      </w:r>
    </w:p>
    <w:p>
      <w:pPr>
        <w:spacing w:after="0" w:line="2"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8"/>
          <w:szCs w:val="18"/>
          <w:color w:val="auto"/>
        </w:rPr>
        <w:t>by the Company or a subsidiary in the period commencing with his or her last date of hire by the Company or a subsidiary through and including the date on which the Grantee is last employed by the</w:t>
      </w:r>
    </w:p>
    <w:p>
      <w:pPr>
        <w:spacing w:after="0" w:line="2" w:lineRule="exact"/>
        <w:rPr>
          <w:sz w:val="20"/>
          <w:szCs w:val="20"/>
          <w:color w:val="auto"/>
        </w:rPr>
      </w:pPr>
    </w:p>
    <w:p>
      <w:pPr>
        <w:ind w:right="560"/>
        <w:spacing w:after="0" w:line="226" w:lineRule="auto"/>
        <w:rPr>
          <w:sz w:val="20"/>
          <w:szCs w:val="20"/>
          <w:color w:val="auto"/>
        </w:rPr>
      </w:pPr>
      <w:r>
        <w:rPr>
          <w:rFonts w:ascii="Times New Roman" w:cs="Times New Roman" w:eastAsia="Times New Roman" w:hAnsi="Times New Roman"/>
          <w:sz w:val="18"/>
          <w:szCs w:val="18"/>
          <w:color w:val="auto"/>
        </w:rPr>
        <w:t>Company or a subsidiary, by (b) 365. If the Grantee ceased to be employed by the Company or a subsidiary and was later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spacing w:after="0" w:line="229" w:lineRule="auto"/>
        <w:rPr>
          <w:sz w:val="20"/>
          <w:szCs w:val="20"/>
          <w:color w:val="auto"/>
        </w:rPr>
      </w:pPr>
      <w:r>
        <w:rPr>
          <w:rFonts w:ascii="Times New Roman" w:cs="Times New Roman" w:eastAsia="Times New Roman" w:hAnsi="Times New Roman"/>
          <w:sz w:val="17"/>
          <w:szCs w:val="17"/>
          <w:color w:val="auto"/>
        </w:rPr>
        <w:t>rehired by the Company or a subsidiary, the Grantee’s service prior to the break in service shall be disregarded in determining service for such purposes; provided that, if the Grantee’s employment with the Company</w:t>
      </w:r>
    </w:p>
    <w:p>
      <w:pPr>
        <w:ind w:right="220"/>
        <w:spacing w:after="0" w:line="220" w:lineRule="auto"/>
        <w:rPr>
          <w:sz w:val="20"/>
          <w:szCs w:val="20"/>
          <w:color w:val="auto"/>
        </w:rPr>
      </w:pPr>
      <w:r>
        <w:rPr>
          <w:rFonts w:ascii="Times New Roman" w:cs="Times New Roman" w:eastAsia="Times New Roman" w:hAnsi="Times New Roman"/>
          <w:sz w:val="17"/>
          <w:szCs w:val="17"/>
          <w:color w:val="auto"/>
        </w:rPr>
        <w:t>or a subsidiary had terminated due to the Grantee’s Retirement, or by the Company or a subsidiary as part of a reduction in force (in each case, other than a termination by the Company or a subsidiary for</w:t>
      </w:r>
    </w:p>
    <w:p>
      <w:pPr>
        <w:spacing w:after="0" w:line="2"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8"/>
          <w:szCs w:val="18"/>
          <w:color w:val="auto"/>
        </w:rPr>
        <w:t>Cause) and, within the two-year period following such termination of employment (the “break in service”) the Grantee was subsequently rehired by the Company or a subsidiary, then the Grantee’s period of</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service with the Company or a subsidiary prior to and ending with the break in service will be included in determining service for such purposes. In the event the Grantee is employed by a business that is</w:t>
      </w:r>
    </w:p>
    <w:p>
      <w:pPr>
        <w:spacing w:after="0" w:line="2"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17"/>
          <w:szCs w:val="17"/>
          <w:color w:val="auto"/>
        </w:rPr>
        <w:t>acquired by the Company or a subsidiary, the Company shall have discretion to determine whether the Grantee’s service prior to the acquisition will be included in determining service for such purposes.</w:t>
      </w:r>
    </w:p>
    <w:p>
      <w:pPr>
        <w:spacing w:after="0" w:line="170" w:lineRule="exact"/>
        <w:rPr>
          <w:sz w:val="20"/>
          <w:szCs w:val="20"/>
          <w:color w:val="auto"/>
        </w:rPr>
      </w:pPr>
    </w:p>
    <w:p>
      <w:pPr>
        <w:ind w:right="80" w:firstLine="180"/>
        <w:spacing w:after="0" w:line="229" w:lineRule="auto"/>
        <w:rPr>
          <w:sz w:val="20"/>
          <w:szCs w:val="20"/>
          <w:color w:val="auto"/>
        </w:rPr>
      </w:pPr>
      <w:r>
        <w:rPr>
          <w:rFonts w:ascii="Times New Roman" w:cs="Times New Roman" w:eastAsia="Times New Roman" w:hAnsi="Times New Roman"/>
          <w:sz w:val="17"/>
          <w:szCs w:val="17"/>
          <w:i w:val="1"/>
          <w:iCs w:val="1"/>
          <w:color w:val="auto"/>
        </w:rPr>
        <w:t xml:space="preserve">Retirement Due to Government Service. </w:t>
      </w:r>
      <w:r>
        <w:rPr>
          <w:rFonts w:ascii="Times New Roman" w:cs="Times New Roman" w:eastAsia="Times New Roman" w:hAnsi="Times New Roman"/>
          <w:sz w:val="17"/>
          <w:szCs w:val="17"/>
          <w:color w:val="auto"/>
        </w:rPr>
        <w:t>In the case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Governmental Service Retirement by the Grantee (a) the Performance Period used to calculate the Grantee’s Vested RPSRs will be deemed to</w:t>
      </w:r>
    </w:p>
    <w:p>
      <w:pPr>
        <w:spacing w:after="0" w:line="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have ended as of the most recent date that performance has been measured by the Company with respect to the RPSRs prior to the Grantee’s Retirement (but in no event shall such date be more than one</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year before the Grantee’s Retirement), (b) the Earnout Percentage of the Grantee’s Prorated RPSRs (and related Dividend Equivalents) will be determined based on actual performance for that short Performance</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Period, and (c) payment of the Prorated RPSRs that become Vested RPSRs (and Dividend Equivalents thereon) will be made within 20 days after Retirement.</w:t>
      </w:r>
    </w:p>
    <w:p>
      <w:pPr>
        <w:spacing w:after="0" w:line="168" w:lineRule="exact"/>
        <w:rPr>
          <w:sz w:val="20"/>
          <w:szCs w:val="20"/>
          <w:color w:val="auto"/>
        </w:rPr>
      </w:pPr>
    </w:p>
    <w:p>
      <w:pPr>
        <w:ind w:right="20" w:firstLine="324"/>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i w:val="1"/>
          <w:iCs w:val="1"/>
          <w:color w:val="auto"/>
        </w:rPr>
        <w:t>Other Terminations of Employment</w:t>
      </w:r>
      <w:r>
        <w:rPr>
          <w:rFonts w:ascii="Times New Roman" w:cs="Times New Roman" w:eastAsia="Times New Roman" w:hAnsi="Times New Roman"/>
          <w:sz w:val="18"/>
          <w:szCs w:val="18"/>
          <w:color w:val="auto"/>
        </w:rPr>
        <w:t>. Subject to Section 6.2,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RPSRs (and related Dividend Equivalents) subject to the award shall terminate immediately upon a termination of the Grantee’s</w:t>
      </w:r>
    </w:p>
    <w:p>
      <w:pPr>
        <w:spacing w:after="0" w:line="3"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employment: (a) for any reason other than due to the Grantee’s Retirement, death or Disability; or (b) for Retirement, death or Disability, if the six-month employment requirement under Section 2.2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is not satisfied.</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i w:val="1"/>
          <w:iCs w:val="1"/>
          <w:color w:val="auto"/>
        </w:rPr>
        <w:t>Leave of Absence</w:t>
      </w:r>
      <w:r>
        <w:rPr>
          <w:rFonts w:ascii="Times New Roman" w:cs="Times New Roman" w:eastAsia="Times New Roman" w:hAnsi="Times New Roman"/>
          <w:sz w:val="18"/>
          <w:szCs w:val="18"/>
          <w:color w:val="auto"/>
        </w:rPr>
        <w:t>. Unless the Committee otherwise provides</w:t>
      </w:r>
    </w:p>
    <w:p>
      <w:pPr>
        <w:spacing w:after="0" w:line="6"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(at the time of the leave or otherwise), if the Grantee is granted a leave of absence by the Company, the Grantee (a) shall not be deemed to have incurred a termination of employment at the time such leave</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commences for purposes of the award, and (b) shall be deemed to be employed by the Company for the duration of such approved leave of absence for purposes of the award. A termination of employment shall</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be deemed to have occurred if the Grantee does not timely return to active employment upon the expiration of such approved leave or if the Grantee commences a leave that is not approved by the Company.</w:t>
      </w:r>
    </w:p>
    <w:p>
      <w:pPr>
        <w:spacing w:after="0" w:line="127" w:lineRule="exact"/>
        <w:rPr>
          <w:sz w:val="20"/>
          <w:szCs w:val="20"/>
          <w:color w:val="auto"/>
        </w:rPr>
      </w:pPr>
    </w:p>
    <w:p>
      <w:pPr>
        <w:ind w:right="180" w:firstLine="405"/>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i w:val="1"/>
          <w:iCs w:val="1"/>
          <w:color w:val="auto"/>
        </w:rPr>
        <w:t>Salary Continuation</w:t>
      </w:r>
      <w:r>
        <w:rPr>
          <w:rFonts w:ascii="Times New Roman" w:cs="Times New Roman" w:eastAsia="Times New Roman" w:hAnsi="Times New Roman"/>
          <w:sz w:val="18"/>
          <w:szCs w:val="18"/>
          <w:color w:val="auto"/>
        </w:rPr>
        <w:t>. Subject to Section 2.4 above,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as used herein means active employment by the</w:t>
      </w:r>
    </w:p>
    <w:p>
      <w:pPr>
        <w:jc w:val="both"/>
        <w:ind w:right="260"/>
        <w:spacing w:after="0" w:line="218" w:lineRule="auto"/>
        <w:rPr>
          <w:sz w:val="20"/>
          <w:szCs w:val="20"/>
          <w:color w:val="auto"/>
        </w:rPr>
      </w:pPr>
      <w:r>
        <w:rPr>
          <w:rFonts w:ascii="Times New Roman" w:cs="Times New Roman" w:eastAsia="Times New Roman" w:hAnsi="Times New Roman"/>
          <w:sz w:val="18"/>
          <w:szCs w:val="18"/>
          <w:color w:val="auto"/>
        </w:rPr>
        <w:t>Company and salary continuation without active employment (other than a leave of absence approved by the Company that is covered by Section 2.4) will not, in and of itself,</w:t>
      </w:r>
    </w:p>
    <w:p>
      <w:pPr>
        <w:sectPr>
          <w:pgSz w:w="11900" w:h="16838" w:orient="portrait"/>
          <w:cols w:equalWidth="0" w:num="2">
            <w:col w:w="5220" w:space="700"/>
            <w:col w:w="5200"/>
          </w:cols>
          <w:pgMar w:left="320" w:top="1143" w:right="459" w:bottom="1440" w:gutter="0" w:footer="0" w:header="0"/>
        </w:sectPr>
      </w:pPr>
    </w:p>
    <w:bookmarkStart w:id="45" w:name="page46"/>
    <w:bookmarkEnd w:id="45"/>
    <w:p>
      <w:pPr>
        <w:ind w:right="160"/>
        <w:spacing w:after="0" w:line="229" w:lineRule="auto"/>
        <w:rPr>
          <w:sz w:val="20"/>
          <w:szCs w:val="20"/>
          <w:color w:val="auto"/>
        </w:rPr>
      </w:pPr>
      <w:r>
        <w:rPr>
          <w:rFonts w:ascii="Times New Roman" w:cs="Times New Roman" w:eastAsia="Times New Roman" w:hAnsi="Times New Roman"/>
          <w:sz w:val="17"/>
          <w:szCs w:val="17"/>
          <w:color w:val="auto"/>
        </w:rPr>
        <w:t>constitute “employment” for purposes hereof (in the case of salary continuation without active employment, the Grantee’s cessation of active employee status shall, subject to Section 2.4, be deemed to be a</w:t>
      </w:r>
    </w:p>
    <w:p>
      <w:pPr>
        <w:ind w:right="60"/>
        <w:spacing w:after="0" w:line="218" w:lineRule="auto"/>
        <w:rPr>
          <w:sz w:val="20"/>
          <w:szCs w:val="20"/>
          <w:color w:val="auto"/>
        </w:rPr>
      </w:pPr>
      <w:r>
        <w:rPr>
          <w:rFonts w:ascii="Times New Roman" w:cs="Times New Roman" w:eastAsia="Times New Roman" w:hAnsi="Times New Roman"/>
          <w:sz w:val="18"/>
          <w:szCs w:val="18"/>
          <w:color w:val="auto"/>
        </w:rPr>
        <w:t>termination of “employment” for purposes hereof). Furthermore, salary continuation will not, in and of itself, constitute a leave of absence approved by the Company for purposes of the award.</w:t>
      </w:r>
    </w:p>
    <w:p>
      <w:pPr>
        <w:spacing w:after="0" w:line="127" w:lineRule="exact"/>
        <w:rPr>
          <w:sz w:val="20"/>
          <w:szCs w:val="20"/>
          <w:color w:val="auto"/>
        </w:rPr>
      </w:pPr>
    </w:p>
    <w:p>
      <w:pPr>
        <w:ind w:firstLine="405"/>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b w:val="1"/>
          <w:bCs w:val="1"/>
          <w:i w:val="1"/>
          <w:iCs w:val="1"/>
          <w:color w:val="auto"/>
        </w:rPr>
        <w:t>Sale or Spinoff of Subsidiary or Business Unit</w:t>
      </w:r>
      <w:r>
        <w:rPr>
          <w:rFonts w:ascii="Times New Roman" w:cs="Times New Roman" w:eastAsia="Times New Roman" w:hAnsi="Times New Roman"/>
          <w:sz w:val="18"/>
          <w:szCs w:val="18"/>
          <w:color w:val="auto"/>
        </w:rPr>
        <w:t>. For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RPSRs (and related Dividend Equivalents) subject to the award, a</w:t>
      </w:r>
    </w:p>
    <w:p>
      <w:pPr>
        <w:spacing w:after="0" w:line="208" w:lineRule="auto"/>
        <w:rPr>
          <w:sz w:val="20"/>
          <w:szCs w:val="20"/>
          <w:color w:val="auto"/>
        </w:rPr>
      </w:pPr>
      <w:r>
        <w:rPr>
          <w:rFonts w:ascii="Times New Roman" w:cs="Times New Roman" w:eastAsia="Times New Roman" w:hAnsi="Times New Roman"/>
          <w:sz w:val="18"/>
          <w:szCs w:val="18"/>
          <w:color w:val="auto"/>
        </w:rPr>
        <w:t>termination of employment of the Grantee shall be deemed to have occurred if the Grantee is employed by a subsidiary or business unit and that subsidiary or business unit is sold, spun off, or otherwise divested,</w:t>
      </w:r>
    </w:p>
    <w:p>
      <w:pPr>
        <w:spacing w:after="0" w:line="2" w:lineRule="exact"/>
        <w:rPr>
          <w:sz w:val="20"/>
          <w:szCs w:val="20"/>
          <w:color w:val="auto"/>
        </w:rPr>
      </w:pPr>
    </w:p>
    <w:p>
      <w:pPr>
        <w:ind w:right="240"/>
        <w:spacing w:after="0" w:line="208" w:lineRule="auto"/>
        <w:rPr>
          <w:sz w:val="20"/>
          <w:szCs w:val="20"/>
          <w:color w:val="auto"/>
        </w:rPr>
      </w:pPr>
      <w:r>
        <w:rPr>
          <w:rFonts w:ascii="Times New Roman" w:cs="Times New Roman" w:eastAsia="Times New Roman" w:hAnsi="Times New Roman"/>
          <w:sz w:val="18"/>
          <w:szCs w:val="18"/>
          <w:color w:val="auto"/>
        </w:rPr>
        <w:t>the Grantee does not otherwise continue to be employed by the Company or one of its subsidiaries after such event, and the divested entity or business (or its successor or a parent company) does not</w:t>
      </w:r>
    </w:p>
    <w:p>
      <w:pPr>
        <w:spacing w:after="0" w:line="2" w:lineRule="exact"/>
        <w:rPr>
          <w:sz w:val="20"/>
          <w:szCs w:val="20"/>
          <w:color w:val="auto"/>
        </w:rPr>
      </w:pPr>
    </w:p>
    <w:p>
      <w:pPr>
        <w:jc w:val="both"/>
        <w:ind w:right="160"/>
        <w:spacing w:after="0" w:line="208" w:lineRule="auto"/>
        <w:rPr>
          <w:sz w:val="20"/>
          <w:szCs w:val="20"/>
          <w:color w:val="auto"/>
        </w:rPr>
      </w:pPr>
      <w:r>
        <w:rPr>
          <w:rFonts w:ascii="Times New Roman" w:cs="Times New Roman" w:eastAsia="Times New Roman" w:hAnsi="Times New Roman"/>
          <w:sz w:val="18"/>
          <w:szCs w:val="18"/>
          <w:color w:val="auto"/>
        </w:rPr>
        <w:t>assume the award in connection with such transaction. In the event of such a termination of employment, the termination shall be deemed to be a Retirement treated as provided for in Section 2.2 (subject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b w:val="1"/>
          <w:bCs w:val="1"/>
          <w:i w:val="1"/>
          <w:iCs w:val="1"/>
          <w:color w:val="auto"/>
        </w:rPr>
        <w:t>Continuance of Employment Required</w:t>
      </w:r>
      <w:r>
        <w:rPr>
          <w:rFonts w:ascii="Times New Roman" w:cs="Times New Roman" w:eastAsia="Times New Roman" w:hAnsi="Times New Roman"/>
          <w:sz w:val="18"/>
          <w:szCs w:val="18"/>
          <w:color w:val="auto"/>
        </w:rPr>
        <w:t>. Except as expressly</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provided in Section 2.2, Section 2.4 and in Section 6, the vesting of the RPSRs (and related Dividend Equivalents) subject to the award requires continued employment through the last day of the Performance Period</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as a condition to the vesting of any portion of the award. Employment for only a portion of the Performance Period, even if a substantial portion, will not entitle the Grantee to any proportionate vesting or</w:t>
      </w:r>
    </w:p>
    <w:p>
      <w:pPr>
        <w:spacing w:after="0" w:line="2" w:lineRule="exact"/>
        <w:rPr>
          <w:sz w:val="20"/>
          <w:szCs w:val="20"/>
          <w:color w:val="auto"/>
        </w:rPr>
      </w:pPr>
    </w:p>
    <w:p>
      <w:pPr>
        <w:jc w:val="both"/>
        <w:ind w:right="40"/>
        <w:spacing w:after="0" w:line="208" w:lineRule="auto"/>
        <w:rPr>
          <w:sz w:val="20"/>
          <w:szCs w:val="20"/>
          <w:color w:val="auto"/>
        </w:rPr>
      </w:pPr>
      <w:r>
        <w:rPr>
          <w:rFonts w:ascii="Times New Roman" w:cs="Times New Roman" w:eastAsia="Times New Roman" w:hAnsi="Times New Roman"/>
          <w:sz w:val="18"/>
          <w:szCs w:val="18"/>
          <w:color w:val="auto"/>
        </w:rPr>
        <w:t>avoid or mitigate a termination of rights and benefits upon or following a termination of employment. Nothing contained in this Agreement, the Grant Letter, the Stock Plan System, or the Plan constitutes 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employment commitment by the Company or any subsidiary, affects the Grantee’s status (if the Grantee is otherwise an at-will employee) as an</w:t>
      </w:r>
    </w:p>
    <w:p>
      <w:pPr>
        <w:spacing w:after="0" w:line="1" w:lineRule="exact"/>
        <w:rPr>
          <w:sz w:val="20"/>
          <w:szCs w:val="20"/>
          <w:color w:val="auto"/>
        </w:rPr>
      </w:pPr>
    </w:p>
    <w:p>
      <w:pPr>
        <w:ind w:right="180"/>
        <w:spacing w:after="0" w:line="211" w:lineRule="auto"/>
        <w:rPr>
          <w:sz w:val="20"/>
          <w:szCs w:val="20"/>
          <w:color w:val="auto"/>
        </w:rPr>
      </w:pPr>
      <w:r>
        <w:rPr>
          <w:rFonts w:ascii="Times New Roman" w:cs="Times New Roman" w:eastAsia="Times New Roman" w:hAnsi="Times New Roman"/>
          <w:sz w:val="18"/>
          <w:szCs w:val="18"/>
          <w:color w:val="auto"/>
        </w:rPr>
        <w:t>employee at will who is subject to termination without cause, confers upon the Grantee any right to continue in the employ of the Company</w:t>
      </w:r>
    </w:p>
    <w:p>
      <w:pPr>
        <w:spacing w:after="0" w:line="1" w:lineRule="exact"/>
        <w:rPr>
          <w:sz w:val="20"/>
          <w:szCs w:val="20"/>
          <w:color w:val="auto"/>
        </w:rPr>
      </w:pPr>
    </w:p>
    <w:p>
      <w:pPr>
        <w:ind w:right="300"/>
        <w:spacing w:after="0" w:line="218" w:lineRule="auto"/>
        <w:rPr>
          <w:sz w:val="20"/>
          <w:szCs w:val="20"/>
          <w:color w:val="auto"/>
        </w:rPr>
      </w:pPr>
      <w:r>
        <w:rPr>
          <w:rFonts w:ascii="Times New Roman" w:cs="Times New Roman" w:eastAsia="Times New Roman" w:hAnsi="Times New Roman"/>
          <w:sz w:val="18"/>
          <w:szCs w:val="18"/>
          <w:color w:val="auto"/>
        </w:rPr>
        <w:t>or any subsidiary, or interferes in any way with the right of the Company or of any subsidiary to terminate such employment at any time.</w:t>
      </w:r>
    </w:p>
    <w:p>
      <w:pPr>
        <w:spacing w:after="0" w:line="127" w:lineRule="exact"/>
        <w:rPr>
          <w:sz w:val="20"/>
          <w:szCs w:val="20"/>
          <w:color w:val="auto"/>
        </w:rPr>
      </w:pPr>
    </w:p>
    <w:p>
      <w:pPr>
        <w:ind w:right="200" w:firstLine="405"/>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2.8 </w:t>
      </w:r>
      <w:r>
        <w:rPr>
          <w:rFonts w:ascii="Times New Roman" w:cs="Times New Roman" w:eastAsia="Times New Roman" w:hAnsi="Times New Roman"/>
          <w:sz w:val="18"/>
          <w:szCs w:val="18"/>
          <w:b w:val="1"/>
          <w:bCs w:val="1"/>
          <w:i w:val="1"/>
          <w:iCs w:val="1"/>
          <w:color w:val="auto"/>
        </w:rPr>
        <w:t>Death</w:t>
      </w:r>
      <w:r>
        <w:rPr>
          <w:rFonts w:ascii="Times New Roman" w:cs="Times New Roman" w:eastAsia="Times New Roman" w:hAnsi="Times New Roman"/>
          <w:sz w:val="18"/>
          <w:szCs w:val="18"/>
          <w:color w:val="auto"/>
        </w:rPr>
        <w:t>. In the event of the Grantee’s death subsequent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of RPSRs but prior to the delivery of shares or other payment</w:t>
      </w:r>
    </w:p>
    <w:p>
      <w:pPr>
        <w:ind w:right="60"/>
        <w:spacing w:after="0" w:line="208" w:lineRule="auto"/>
        <w:rPr>
          <w:sz w:val="20"/>
          <w:szCs w:val="20"/>
          <w:color w:val="auto"/>
        </w:rPr>
      </w:pPr>
      <w:r>
        <w:rPr>
          <w:rFonts w:ascii="Times New Roman" w:cs="Times New Roman" w:eastAsia="Times New Roman" w:hAnsi="Times New Roman"/>
          <w:sz w:val="18"/>
          <w:szCs w:val="18"/>
          <w:color w:val="auto"/>
        </w:rPr>
        <w:t>with respect to such RPSRs (and related Dividend Equivalents), the Grantee’s Successor shall be entitled to any payments to which the Grantee would have been entitled under this Agreement with respect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RPSRs.</w:t>
      </w:r>
    </w:p>
    <w:p>
      <w:pPr>
        <w:spacing w:after="0" w:line="120" w:lineRule="exact"/>
        <w:rPr>
          <w:sz w:val="20"/>
          <w:szCs w:val="20"/>
          <w:color w:val="auto"/>
        </w:rPr>
      </w:pPr>
    </w:p>
    <w:p>
      <w:pPr>
        <w:ind w:left="260" w:hanging="171"/>
        <w:spacing w:after="0"/>
        <w:tabs>
          <w:tab w:leader="none" w:pos="2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and Other Restrictions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 w:firstLine="405"/>
        <w:spacing w:after="0" w:line="238" w:lineRule="auto"/>
        <w:rPr>
          <w:sz w:val="20"/>
          <w:szCs w:val="20"/>
          <w:color w:val="auto"/>
        </w:rPr>
      </w:pPr>
      <w:r>
        <w:rPr>
          <w:rFonts w:ascii="Times New Roman" w:cs="Times New Roman" w:eastAsia="Times New Roman" w:hAnsi="Times New Roman"/>
          <w:sz w:val="17"/>
          <w:szCs w:val="17"/>
          <w:b w:val="1"/>
          <w:bCs w:val="1"/>
          <w:color w:val="auto"/>
        </w:rPr>
        <w:t>3.1</w:t>
      </w:r>
      <w:r>
        <w:rPr>
          <w:rFonts w:ascii="Times New Roman" w:cs="Times New Roman" w:eastAsia="Times New Roman" w:hAnsi="Times New Roman"/>
          <w:sz w:val="17"/>
          <w:szCs w:val="17"/>
          <w:b w:val="1"/>
          <w:bCs w:val="1"/>
          <w:i w:val="1"/>
          <w:iCs w:val="1"/>
          <w:color w:val="auto"/>
        </w:rPr>
        <w:t>Non-Transferability</w:t>
      </w:r>
      <w:r>
        <w:rPr>
          <w:rFonts w:ascii="Times New Roman" w:cs="Times New Roman" w:eastAsia="Times New Roman" w:hAnsi="Times New Roman"/>
          <w:sz w:val="17"/>
          <w:szCs w:val="17"/>
          <w:color w:val="auto"/>
        </w:rPr>
        <w:t>. The award, as well as the RPSRs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Dividend Equivalents) subject to the award, are non-transferable</w:t>
      </w:r>
    </w:p>
    <w:p>
      <w:pPr>
        <w:spacing w:after="0" w:line="1"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and shall not be subject in any manner to sale, transfer, anticipation, alienation, assignment, pledge, encumbrance or charge. The foregoing transfer restrictions shall not apply to transfers to the Company.</w:t>
      </w:r>
    </w:p>
    <w:p>
      <w:pPr>
        <w:spacing w:after="0" w:line="2"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Notwithstanding the foregoing, the Company may honor any transfer required pursuant to the terms of a court order in a divorce or similar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ind w:left="2" w:right="180"/>
        <w:spacing w:after="0" w:line="229" w:lineRule="auto"/>
        <w:rPr>
          <w:sz w:val="20"/>
          <w:szCs w:val="20"/>
          <w:color w:val="auto"/>
        </w:rPr>
      </w:pPr>
      <w:r>
        <w:rPr>
          <w:rFonts w:ascii="Times New Roman" w:cs="Times New Roman" w:eastAsia="Times New Roman" w:hAnsi="Times New Roman"/>
          <w:sz w:val="17"/>
          <w:szCs w:val="17"/>
          <w:color w:val="auto"/>
        </w:rPr>
        <w:t>domestic relations matter to the extent that such transfer does not adversely affect the Company’s ability to register the offer and sale of the underlying shares on a Form S-8 Registration Statement and such</w:t>
      </w:r>
    </w:p>
    <w:p>
      <w:pPr>
        <w:jc w:val="both"/>
        <w:ind w:left="2" w:right="80"/>
        <w:spacing w:after="0" w:line="226" w:lineRule="auto"/>
        <w:rPr>
          <w:sz w:val="20"/>
          <w:szCs w:val="20"/>
          <w:color w:val="auto"/>
        </w:rPr>
      </w:pPr>
      <w:r>
        <w:rPr>
          <w:rFonts w:ascii="Times New Roman" w:cs="Times New Roman" w:eastAsia="Times New Roman" w:hAnsi="Times New Roman"/>
          <w:sz w:val="18"/>
          <w:szCs w:val="18"/>
          <w:color w:val="auto"/>
        </w:rPr>
        <w:t>transfer is otherwise in compliance with all applicable legal, regulatory and listing requirements.</w:t>
      </w:r>
    </w:p>
    <w:p>
      <w:pPr>
        <w:spacing w:after="0" w:line="153"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i w:val="1"/>
          <w:iCs w:val="1"/>
          <w:color w:val="auto"/>
        </w:rPr>
        <w:t>Forfeiture or Recoupment of Awards</w:t>
      </w:r>
      <w:r>
        <w:rPr>
          <w:rFonts w:ascii="Times New Roman" w:cs="Times New Roman" w:eastAsia="Times New Roman" w:hAnsi="Times New Roman"/>
          <w:sz w:val="18"/>
          <w:szCs w:val="18"/>
          <w:color w:val="auto"/>
        </w:rPr>
        <w:t>. If, prior to payment or</w:t>
      </w:r>
    </w:p>
    <w:p>
      <w:pPr>
        <w:spacing w:after="0" w:line="6" w:lineRule="exact"/>
        <w:rPr>
          <w:sz w:val="20"/>
          <w:szCs w:val="20"/>
          <w:color w:val="auto"/>
        </w:rPr>
      </w:pPr>
    </w:p>
    <w:p>
      <w:pPr>
        <w:jc w:val="both"/>
        <w:ind w:left="2" w:right="80"/>
        <w:spacing w:after="0" w:line="220" w:lineRule="auto"/>
        <w:rPr>
          <w:sz w:val="20"/>
          <w:szCs w:val="20"/>
          <w:color w:val="auto"/>
        </w:rPr>
      </w:pPr>
      <w:r>
        <w:rPr>
          <w:rFonts w:ascii="Times New Roman" w:cs="Times New Roman" w:eastAsia="Times New Roman" w:hAnsi="Times New Roman"/>
          <w:sz w:val="17"/>
          <w:szCs w:val="17"/>
          <w:color w:val="auto"/>
        </w:rPr>
        <w:t>issuance of shares with respect to the award, Grantee’s employment is terminated for Cause (or Grantee has engaged in misconduct that could have resulted in Grantee’s termination of employment for Cause if</w:t>
      </w:r>
    </w:p>
    <w:p>
      <w:pPr>
        <w:spacing w:after="0" w:line="2" w:lineRule="exact"/>
        <w:rPr>
          <w:sz w:val="20"/>
          <w:szCs w:val="20"/>
          <w:color w:val="auto"/>
        </w:rPr>
      </w:pPr>
    </w:p>
    <w:p>
      <w:pPr>
        <w:ind w:left="2" w:right="60"/>
        <w:spacing w:after="0" w:line="220" w:lineRule="auto"/>
        <w:rPr>
          <w:sz w:val="20"/>
          <w:szCs w:val="20"/>
          <w:color w:val="auto"/>
        </w:rPr>
      </w:pPr>
      <w:r>
        <w:rPr>
          <w:rFonts w:ascii="Times New Roman" w:cs="Times New Roman" w:eastAsia="Times New Roman" w:hAnsi="Times New Roman"/>
          <w:sz w:val="17"/>
          <w:szCs w:val="17"/>
          <w:color w:val="auto"/>
        </w:rPr>
        <w:t>Grantee had remained an employee), the Company may reduce or eliminate any payments or issuances of shares with respect to the award. You agree to be bound by and fully comply with the Company’s</w:t>
      </w:r>
    </w:p>
    <w:p>
      <w:pPr>
        <w:spacing w:after="0" w:line="2" w:lineRule="exact"/>
        <w:rPr>
          <w:sz w:val="20"/>
          <w:szCs w:val="20"/>
          <w:color w:val="auto"/>
        </w:rPr>
      </w:pPr>
    </w:p>
    <w:p>
      <w:pPr>
        <w:ind w:left="2" w:right="60"/>
        <w:spacing w:after="0" w:line="220" w:lineRule="auto"/>
        <w:rPr>
          <w:sz w:val="20"/>
          <w:szCs w:val="20"/>
          <w:color w:val="auto"/>
        </w:rPr>
      </w:pPr>
      <w:r>
        <w:rPr>
          <w:rFonts w:ascii="Times New Roman" w:cs="Times New Roman" w:eastAsia="Times New Roman" w:hAnsi="Times New Roman"/>
          <w:sz w:val="17"/>
          <w:szCs w:val="17"/>
          <w:color w:val="auto"/>
        </w:rPr>
        <w:t>Policy Regarding the Recoupment of Certain Incentive Compensation Payments filed as Exhibit 97 to the Company’s 10-K for the year ended December 31, 2023 and as in effect from time to time (“Recoupment</w:t>
      </w:r>
    </w:p>
    <w:p>
      <w:pPr>
        <w:spacing w:after="0" w:line="2" w:lineRule="exact"/>
        <w:rPr>
          <w:sz w:val="20"/>
          <w:szCs w:val="20"/>
          <w:color w:val="auto"/>
        </w:rPr>
      </w:pPr>
    </w:p>
    <w:p>
      <w:pPr>
        <w:jc w:val="both"/>
        <w:ind w:left="2"/>
        <w:spacing w:after="0" w:line="220" w:lineRule="auto"/>
        <w:rPr>
          <w:sz w:val="20"/>
          <w:szCs w:val="20"/>
          <w:color w:val="auto"/>
        </w:rPr>
      </w:pPr>
      <w:r>
        <w:rPr>
          <w:rFonts w:ascii="Times New Roman" w:cs="Times New Roman" w:eastAsia="Times New Roman" w:hAnsi="Times New Roman"/>
          <w:sz w:val="17"/>
          <w:szCs w:val="17"/>
          <w:color w:val="auto"/>
        </w:rPr>
        <w:t>Policy”). Any payments or issuances of shares with respect to the award are subject to recoupment pursuant to the Recoupment Policy as well as any recoupment or similar provisions of applicable law, and the Grantee</w:t>
      </w:r>
    </w:p>
    <w:p>
      <w:pPr>
        <w:spacing w:after="0" w:line="2" w:lineRule="exact"/>
        <w:rPr>
          <w:sz w:val="20"/>
          <w:szCs w:val="20"/>
          <w:color w:val="auto"/>
        </w:rPr>
      </w:pPr>
    </w:p>
    <w:p>
      <w:pPr>
        <w:ind w:left="2" w:right="20"/>
        <w:spacing w:after="0" w:line="208" w:lineRule="auto"/>
        <w:rPr>
          <w:sz w:val="20"/>
          <w:szCs w:val="20"/>
          <w:color w:val="auto"/>
        </w:rPr>
      </w:pPr>
      <w:r>
        <w:rPr>
          <w:rFonts w:ascii="Times New Roman" w:cs="Times New Roman" w:eastAsia="Times New Roman" w:hAnsi="Times New Roman"/>
          <w:sz w:val="18"/>
          <w:szCs w:val="18"/>
          <w:color w:val="auto"/>
        </w:rPr>
        <w:t>shall promptly make any reimbursement requested by the Board or Committee pursuant to such policy or applicable law with respect to the award. The Grantee agrees, by accepting the award, that the Company</w:t>
      </w:r>
    </w:p>
    <w:p>
      <w:pPr>
        <w:spacing w:after="0" w:line="2" w:lineRule="exact"/>
        <w:rPr>
          <w:sz w:val="20"/>
          <w:szCs w:val="20"/>
          <w:color w:val="auto"/>
        </w:rPr>
      </w:pPr>
    </w:p>
    <w:p>
      <w:pPr>
        <w:jc w:val="both"/>
        <w:ind w:left="2" w:right="100"/>
        <w:spacing w:after="0" w:line="220" w:lineRule="auto"/>
        <w:rPr>
          <w:sz w:val="20"/>
          <w:szCs w:val="20"/>
          <w:color w:val="auto"/>
        </w:rPr>
      </w:pPr>
      <w:r>
        <w:rPr>
          <w:rFonts w:ascii="Times New Roman" w:cs="Times New Roman" w:eastAsia="Times New Roman" w:hAnsi="Times New Roman"/>
          <w:sz w:val="17"/>
          <w:szCs w:val="17"/>
          <w:color w:val="auto"/>
        </w:rPr>
        <w:t>and its affiliates may deduct from any amounts it may owe the Grantee from time to time (such as wages or other compensation) to the extent of any amounts the Grantee is required to reimburse the Company</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pursuant to such policy or applicable law with respect to the award.</w:t>
      </w:r>
    </w:p>
    <w:p>
      <w:pPr>
        <w:spacing w:after="0" w:line="161" w:lineRule="exact"/>
        <w:rPr>
          <w:sz w:val="20"/>
          <w:szCs w:val="20"/>
          <w:color w:val="auto"/>
        </w:rPr>
      </w:pPr>
    </w:p>
    <w:p>
      <w:pPr>
        <w:ind w:left="642" w:hanging="642"/>
        <w:spacing w:after="0"/>
        <w:tabs>
          <w:tab w:leader="none" w:pos="64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Post-Employment Conduct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2" w:right="40" w:firstLine="405"/>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4.1 </w:t>
      </w:r>
      <w:r>
        <w:rPr>
          <w:rFonts w:ascii="Times New Roman" w:cs="Times New Roman" w:eastAsia="Times New Roman" w:hAnsi="Times New Roman"/>
          <w:sz w:val="17"/>
          <w:szCs w:val="17"/>
          <w:b w:val="1"/>
          <w:bCs w:val="1"/>
          <w:i w:val="1"/>
          <w:iCs w:val="1"/>
          <w:color w:val="auto"/>
        </w:rPr>
        <w:t>Executive Leadership Team Contribution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acknowledge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agree that as a member of the Executive Leadership Team (“ELT”), you are involved in managing the global operations of the Company,</w:t>
      </w:r>
    </w:p>
    <w:p>
      <w:pPr>
        <w:spacing w:after="0" w:line="2" w:lineRule="exact"/>
        <w:rPr>
          <w:sz w:val="20"/>
          <w:szCs w:val="20"/>
          <w:color w:val="auto"/>
        </w:rPr>
      </w:pPr>
    </w:p>
    <w:p>
      <w:pPr>
        <w:ind w:left="2" w:right="160"/>
        <w:spacing w:after="0" w:line="220" w:lineRule="auto"/>
        <w:rPr>
          <w:sz w:val="20"/>
          <w:szCs w:val="20"/>
          <w:color w:val="auto"/>
        </w:rPr>
      </w:pPr>
      <w:r>
        <w:rPr>
          <w:rFonts w:ascii="Times New Roman" w:cs="Times New Roman" w:eastAsia="Times New Roman" w:hAnsi="Times New Roman"/>
          <w:sz w:val="17"/>
          <w:szCs w:val="17"/>
          <w:color w:val="auto"/>
        </w:rPr>
        <w:t>incorporated in Delaware and headquartered in Virginia. You are involved in the most sensitive and proprietary matters affecting the Company, its subsidiaries, predecessors, and/or affiliates (collectively,</w:t>
      </w:r>
    </w:p>
    <w:p>
      <w:pPr>
        <w:spacing w:after="0" w:line="2" w:lineRule="exact"/>
        <w:rPr>
          <w:sz w:val="20"/>
          <w:szCs w:val="20"/>
          <w:color w:val="auto"/>
        </w:rPr>
      </w:pPr>
    </w:p>
    <w:p>
      <w:pPr>
        <w:ind w:left="2" w:right="120"/>
        <w:spacing w:after="0" w:line="220" w:lineRule="auto"/>
        <w:rPr>
          <w:sz w:val="20"/>
          <w:szCs w:val="20"/>
          <w:color w:val="auto"/>
        </w:rPr>
      </w:pPr>
      <w:r>
        <w:rPr>
          <w:rFonts w:ascii="Times New Roman" w:cs="Times New Roman" w:eastAsia="Times New Roman" w:hAnsi="Times New Roman"/>
          <w:sz w:val="17"/>
          <w:szCs w:val="17"/>
          <w:color w:val="auto"/>
        </w:rPr>
        <w:t>“Northrop Grumman”), including from a technical, strategic and financial perspective, and are widely exposed to confidential, sensitive and proprietary information concerning Northrop Grumman’s global</w:t>
      </w:r>
    </w:p>
    <w:p>
      <w:pPr>
        <w:spacing w:after="0" w:line="2" w:lineRule="exact"/>
        <w:rPr>
          <w:sz w:val="20"/>
          <w:szCs w:val="20"/>
          <w:color w:val="auto"/>
        </w:rPr>
      </w:pPr>
    </w:p>
    <w:p>
      <w:pPr>
        <w:ind w:left="2" w:right="220"/>
        <w:spacing w:after="0" w:line="220" w:lineRule="auto"/>
        <w:rPr>
          <w:sz w:val="20"/>
          <w:szCs w:val="20"/>
          <w:color w:val="auto"/>
        </w:rPr>
      </w:pPr>
      <w:r>
        <w:rPr>
          <w:rFonts w:ascii="Times New Roman" w:cs="Times New Roman" w:eastAsia="Times New Roman" w:hAnsi="Times New Roman"/>
          <w:sz w:val="17"/>
          <w:szCs w:val="17"/>
          <w:color w:val="auto"/>
        </w:rPr>
        <w:t>operations, at the headquarters and each of the operating sectors, including in the areas of autonomous systems, cyber, C4ISR, space, strike, sensors, electronics, and logistics and modernization. Your job</w:t>
      </w:r>
    </w:p>
    <w:p>
      <w:pPr>
        <w:spacing w:after="0" w:line="2" w:lineRule="exact"/>
        <w:rPr>
          <w:sz w:val="20"/>
          <w:szCs w:val="20"/>
          <w:color w:val="auto"/>
        </w:rPr>
      </w:pPr>
    </w:p>
    <w:p>
      <w:pPr>
        <w:ind w:left="2" w:right="20"/>
        <w:spacing w:after="0" w:line="220" w:lineRule="auto"/>
        <w:rPr>
          <w:sz w:val="20"/>
          <w:szCs w:val="20"/>
          <w:color w:val="auto"/>
        </w:rPr>
      </w:pPr>
      <w:r>
        <w:rPr>
          <w:rFonts w:ascii="Times New Roman" w:cs="Times New Roman" w:eastAsia="Times New Roman" w:hAnsi="Times New Roman"/>
          <w:sz w:val="17"/>
          <w:szCs w:val="17"/>
          <w:color w:val="auto"/>
        </w:rPr>
        <w:t>responsibilities require that you have a primary office location in Virginia and/or you spend substantial time at the corporate headquarters in Virginia, among other things, attending ELT and other leadership</w:t>
      </w:r>
    </w:p>
    <w:p>
      <w:pPr>
        <w:spacing w:after="0" w:line="2" w:lineRule="exact"/>
        <w:rPr>
          <w:sz w:val="20"/>
          <w:szCs w:val="20"/>
          <w:color w:val="auto"/>
        </w:rPr>
      </w:pPr>
    </w:p>
    <w:p>
      <w:pPr>
        <w:ind w:left="2" w:right="100"/>
        <w:spacing w:after="0" w:line="208" w:lineRule="auto"/>
        <w:rPr>
          <w:sz w:val="20"/>
          <w:szCs w:val="20"/>
          <w:color w:val="auto"/>
        </w:rPr>
      </w:pPr>
      <w:r>
        <w:rPr>
          <w:rFonts w:ascii="Times New Roman" w:cs="Times New Roman" w:eastAsia="Times New Roman" w:hAnsi="Times New Roman"/>
          <w:sz w:val="18"/>
          <w:szCs w:val="18"/>
          <w:color w:val="auto"/>
        </w:rPr>
        <w:t>meetings, and managing operations and employees in Virginia. You occupy one of the most senior executive positions in the Company and have far-reaching access to highly confidential, valuable and sensitive</w:t>
      </w:r>
    </w:p>
    <w:p>
      <w:pPr>
        <w:spacing w:after="0" w:line="2" w:lineRule="exact"/>
        <w:rPr>
          <w:sz w:val="20"/>
          <w:szCs w:val="20"/>
          <w:color w:val="auto"/>
        </w:rPr>
      </w:pPr>
    </w:p>
    <w:p>
      <w:pPr>
        <w:ind w:left="2" w:right="120"/>
        <w:spacing w:after="0" w:line="220" w:lineRule="auto"/>
        <w:rPr>
          <w:sz w:val="20"/>
          <w:szCs w:val="20"/>
          <w:color w:val="auto"/>
        </w:rPr>
      </w:pPr>
      <w:r>
        <w:rPr>
          <w:rFonts w:ascii="Times New Roman" w:cs="Times New Roman" w:eastAsia="Times New Roman" w:hAnsi="Times New Roman"/>
          <w:sz w:val="17"/>
          <w:szCs w:val="17"/>
          <w:color w:val="auto"/>
        </w:rPr>
        <w:t>information, customer, vendor and employee relationships, intellectual property, strategic and tactical plans, and financial information and plans. The Company has a legitimate business interest in restricting</w:t>
      </w:r>
    </w:p>
    <w:p>
      <w:pPr>
        <w:spacing w:after="0" w:line="2" w:lineRule="exact"/>
        <w:rPr>
          <w:sz w:val="20"/>
          <w:szCs w:val="20"/>
          <w:color w:val="auto"/>
        </w:rPr>
      </w:pPr>
    </w:p>
    <w:p>
      <w:pPr>
        <w:ind w:left="2" w:right="60"/>
        <w:spacing w:after="0" w:line="218" w:lineRule="auto"/>
        <w:rPr>
          <w:sz w:val="20"/>
          <w:szCs w:val="20"/>
          <w:color w:val="auto"/>
        </w:rPr>
      </w:pPr>
      <w:r>
        <w:rPr>
          <w:rFonts w:ascii="Times New Roman" w:cs="Times New Roman" w:eastAsia="Times New Roman" w:hAnsi="Times New Roman"/>
          <w:sz w:val="18"/>
          <w:szCs w:val="18"/>
          <w:color w:val="auto"/>
        </w:rPr>
        <w:t>your ability to compete in the specific manner set forth below. The Company has provided you this grant, subject to this Agreement and as consideration for the</w:t>
      </w:r>
    </w:p>
    <w:p>
      <w:pPr>
        <w:sectPr>
          <w:pgSz w:w="11900" w:h="16838" w:orient="portrait"/>
          <w:cols w:equalWidth="0" w:num="2">
            <w:col w:w="5200" w:space="718"/>
            <w:col w:w="5202"/>
          </w:cols>
          <w:pgMar w:left="320" w:top="1147" w:right="459" w:bottom="1440" w:gutter="0" w:footer="0" w:header="0"/>
        </w:sectPr>
      </w:pPr>
    </w:p>
    <w:bookmarkStart w:id="46" w:name="page47"/>
    <w:bookmarkEnd w:id="46"/>
    <w:p>
      <w:pPr>
        <w:spacing w:after="0" w:line="108"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restrictive covenants set forth in this Section 4; provided that the provisions of Sections 4.2 and 4.3 in this Agreement and prior grant agreements shall not apply where not permitted by applicable law.</w:t>
      </w:r>
    </w:p>
    <w:p>
      <w:pPr>
        <w:spacing w:after="0" w:line="194" w:lineRule="exact"/>
        <w:rPr>
          <w:sz w:val="20"/>
          <w:szCs w:val="20"/>
          <w:color w:val="auto"/>
        </w:rPr>
      </w:pPr>
    </w:p>
    <w:p>
      <w:pPr>
        <w:ind w:right="160" w:firstLine="324"/>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4.2 </w:t>
      </w:r>
      <w:r>
        <w:rPr>
          <w:rFonts w:ascii="Times New Roman" w:cs="Times New Roman" w:eastAsia="Times New Roman" w:hAnsi="Times New Roman"/>
          <w:sz w:val="17"/>
          <w:szCs w:val="17"/>
          <w:b w:val="1"/>
          <w:bCs w:val="1"/>
          <w:i w:val="1"/>
          <w:iCs w:val="1"/>
          <w:color w:val="auto"/>
        </w:rPr>
        <w:t>Non-Competition</w:t>
      </w:r>
      <w:r>
        <w:rPr>
          <w:rFonts w:ascii="Times New Roman" w:cs="Times New Roman" w:eastAsia="Times New Roman" w:hAnsi="Times New Roman"/>
          <w:sz w:val="17"/>
          <w:szCs w:val="17"/>
          <w:color w:val="auto"/>
        </w:rPr>
        <w:t>. For a period of twelve (12) months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date of the termination of Grantee’s employment for any reason (other than a Reduction-in-Force as determined at the Company’s sole</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discretion) (“Termination”), you will not, directly or indirectly, oversee, control, participate in, or support the design, operation, research, manufacture, marketing, sale, or distribution of “Competitive Products</w:t>
      </w:r>
    </w:p>
    <w:p>
      <w:pPr>
        <w:spacing w:after="0" w:line="2"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8"/>
          <w:szCs w:val="18"/>
          <w:color w:val="auto"/>
        </w:rPr>
        <w:t>and Services”. For the purpose of this section, “Competitive Products and Services” shall mean products or services that compete for resources with or are an alternative or potential alternative to, the</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products sold or services provided by Northrop Grumman, including without limitation products and services in the areas of autonomous systems, cyber, C4ISR, space, strike, sensors, electronics, and logistics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modernization.</w:t>
      </w:r>
    </w:p>
    <w:p>
      <w:pPr>
        <w:spacing w:after="0" w:line="188" w:lineRule="exact"/>
        <w:rPr>
          <w:sz w:val="20"/>
          <w:szCs w:val="20"/>
          <w:color w:val="auto"/>
        </w:rPr>
      </w:pPr>
    </w:p>
    <w:p>
      <w:pPr>
        <w:ind w:right="100" w:firstLine="405"/>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i w:val="1"/>
          <w:iCs w:val="1"/>
          <w:color w:val="auto"/>
        </w:rPr>
        <w:t>Non-Solicitation of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eighteen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from your Termination, you shall not, directly or</w:t>
      </w:r>
    </w:p>
    <w:p>
      <w:pPr>
        <w:ind w:right="80"/>
        <w:spacing w:after="0" w:line="207" w:lineRule="auto"/>
        <w:rPr>
          <w:sz w:val="20"/>
          <w:szCs w:val="20"/>
          <w:color w:val="auto"/>
        </w:rPr>
      </w:pPr>
      <w:r>
        <w:rPr>
          <w:rFonts w:ascii="Times New Roman" w:cs="Times New Roman" w:eastAsia="Times New Roman" w:hAnsi="Times New Roman"/>
          <w:sz w:val="18"/>
          <w:szCs w:val="18"/>
          <w:color w:val="auto"/>
        </w:rPr>
        <w:t>indirectly, solicit any customer, supplier, or teammate of Northrop Grumman with whom you engaged, or about whom you received confidential, sensitive, or proprietary information, in the course of your employment with Northrop Grumman, for purposes of providing</w:t>
      </w:r>
    </w:p>
    <w:p>
      <w:pPr>
        <w:spacing w:after="0" w:line="1"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products or services in competition with Northrop Grumman. In the case of a governmental, regulatory or administrative agency, commission, department or other governmental authority, the customer</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is determined by reference to the specific program offices or activities for which Northrop Grumman provides goods or services.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i w:val="1"/>
          <w:iCs w:val="1"/>
          <w:color w:val="auto"/>
        </w:rPr>
        <w:t>Non-Solicitation of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twenty-four</w:t>
      </w:r>
    </w:p>
    <w:p>
      <w:pPr>
        <w:spacing w:after="0" w:line="6" w:lineRule="exact"/>
        <w:rPr>
          <w:sz w:val="20"/>
          <w:szCs w:val="20"/>
          <w:color w:val="auto"/>
        </w:rPr>
      </w:pPr>
    </w:p>
    <w:p>
      <w:pPr>
        <w:ind w:right="20" w:firstLine="8"/>
        <w:spacing w:after="0" w:line="228" w:lineRule="auto"/>
        <w:tabs>
          <w:tab w:leader="none" w:pos="34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i w:val="1"/>
          <w:iCs w:val="1"/>
          <w:color w:val="auto"/>
        </w:rPr>
        <w:t>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not issue or communicate any</w:t>
      </w:r>
    </w:p>
    <w:p>
      <w:pPr>
        <w:spacing w:after="0" w:line="6"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8"/>
          <w:szCs w:val="18"/>
          <w:color w:val="auto"/>
        </w:rPr>
        <w:t>statement, whether verbal or written, or take any other action that disparages or may be interpreted to disparage the Company, its products, services, officers, directors, or employees; provided that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foregoing shall not apply to any truthful statements made in connection with a legal process, including government investigation or as otherwise provided by law.</w:t>
      </w:r>
    </w:p>
    <w:p>
      <w:pPr>
        <w:spacing w:after="0" w:line="195" w:lineRule="exact"/>
        <w:rPr>
          <w:sz w:val="20"/>
          <w:szCs w:val="20"/>
          <w:color w:val="auto"/>
        </w:rPr>
      </w:pPr>
    </w:p>
    <w:p>
      <w:pPr>
        <w:ind w:right="40" w:firstLine="405"/>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4.6 </w:t>
      </w:r>
      <w:r>
        <w:rPr>
          <w:rFonts w:ascii="Times New Roman" w:cs="Times New Roman" w:eastAsia="Times New Roman" w:hAnsi="Times New Roman"/>
          <w:sz w:val="17"/>
          <w:szCs w:val="17"/>
          <w:b w:val="1"/>
          <w:bCs w:val="1"/>
          <w:i w:val="1"/>
          <w:iCs w:val="1"/>
          <w:color w:val="auto"/>
        </w:rPr>
        <w:t>Exceptions.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may request an exception to the covenants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Sections 4.2, 4.3, or 4.4 by making a written request to the Company’s Chief Human Resources Officer, with such exceptions being considered</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at the sole discretion of the Company and communicated in writing to you.</w:t>
      </w:r>
    </w:p>
    <w:p>
      <w:pPr>
        <w:spacing w:after="0" w:line="180" w:lineRule="exact"/>
        <w:rPr>
          <w:sz w:val="20"/>
          <w:szCs w:val="20"/>
          <w:color w:val="auto"/>
        </w:rPr>
      </w:pPr>
    </w:p>
    <w:p>
      <w:pPr>
        <w:ind w:right="280" w:firstLine="405"/>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i w:val="1"/>
          <w:iCs w:val="1"/>
          <w:color w:val="auto"/>
        </w:rPr>
        <w:t>Reasonableness.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the restrictions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4.2, 4.3, and 4.4 are (i)</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br w:type="column"/>
      </w:r>
    </w:p>
    <w:p>
      <w:pPr>
        <w:ind w:left="2" w:right="60"/>
        <w:spacing w:after="0" w:line="229" w:lineRule="auto"/>
        <w:rPr>
          <w:sz w:val="20"/>
          <w:szCs w:val="20"/>
          <w:color w:val="auto"/>
        </w:rPr>
      </w:pPr>
      <w:r>
        <w:rPr>
          <w:rFonts w:ascii="Times New Roman" w:cs="Times New Roman" w:eastAsia="Times New Roman" w:hAnsi="Times New Roman"/>
          <w:sz w:val="17"/>
          <w:szCs w:val="17"/>
          <w:color w:val="auto"/>
        </w:rPr>
        <w:t>reasonable and necessary in all respects, including duration, territory and scope of activity, in order to protect the Company’s legitimate business interests, (ii) that the parties have attempted to limit your right</w:t>
      </w:r>
    </w:p>
    <w:p>
      <w:pPr>
        <w:ind w:left="2" w:right="340"/>
        <w:spacing w:after="0" w:line="220" w:lineRule="auto"/>
        <w:rPr>
          <w:sz w:val="20"/>
          <w:szCs w:val="20"/>
          <w:color w:val="auto"/>
        </w:rPr>
      </w:pPr>
      <w:r>
        <w:rPr>
          <w:rFonts w:ascii="Times New Roman" w:cs="Times New Roman" w:eastAsia="Times New Roman" w:hAnsi="Times New Roman"/>
          <w:sz w:val="17"/>
          <w:szCs w:val="17"/>
          <w:color w:val="auto"/>
        </w:rPr>
        <w:t>to compete only to the extent necessary to protect the Company’s legitimate business interests, and (iii) that you will be able to earn a livelihood without violating the restrictions in this section. It is the</w:t>
      </w:r>
    </w:p>
    <w:p>
      <w:pPr>
        <w:spacing w:after="0" w:line="2" w:lineRule="exact"/>
        <w:rPr>
          <w:sz w:val="20"/>
          <w:szCs w:val="20"/>
          <w:color w:val="auto"/>
        </w:rPr>
      </w:pPr>
    </w:p>
    <w:p>
      <w:pPr>
        <w:jc w:val="both"/>
        <w:ind w:left="2" w:right="100"/>
        <w:spacing w:after="0" w:line="208" w:lineRule="auto"/>
        <w:rPr>
          <w:sz w:val="20"/>
          <w:szCs w:val="20"/>
          <w:color w:val="auto"/>
        </w:rPr>
      </w:pPr>
      <w:r>
        <w:rPr>
          <w:rFonts w:ascii="Times New Roman" w:cs="Times New Roman" w:eastAsia="Times New Roman" w:hAnsi="Times New Roman"/>
          <w:sz w:val="18"/>
          <w:szCs w:val="18"/>
          <w:color w:val="auto"/>
        </w:rPr>
        <w:t>intent of the parties that the provisions of this section shall be enforced to the fullest extent permissible under applicable law. However, if any portion of Section 4.2, 4.3, or 4.4 is deemed unenforceable, the parties</w:t>
      </w:r>
    </w:p>
    <w:p>
      <w:pPr>
        <w:spacing w:after="0" w:line="2" w:lineRule="exact"/>
        <w:rPr>
          <w:sz w:val="20"/>
          <w:szCs w:val="20"/>
          <w:color w:val="auto"/>
        </w:rPr>
      </w:pPr>
    </w:p>
    <w:p>
      <w:pPr>
        <w:ind w:left="2" w:right="40"/>
        <w:spacing w:after="0" w:line="220" w:lineRule="auto"/>
        <w:rPr>
          <w:sz w:val="20"/>
          <w:szCs w:val="20"/>
          <w:color w:val="auto"/>
        </w:rPr>
      </w:pPr>
      <w:r>
        <w:rPr>
          <w:rFonts w:ascii="Times New Roman" w:cs="Times New Roman" w:eastAsia="Times New Roman" w:hAnsi="Times New Roman"/>
          <w:sz w:val="17"/>
          <w:szCs w:val="17"/>
          <w:color w:val="auto"/>
        </w:rPr>
        <w:t>agree that a court or arbitrator may revise the portion deemed unenforceable to the maximum extent possible to achieve the objective of the parties, and the remainder of the section shall remain in full force</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and affect.</w:t>
      </w:r>
    </w:p>
    <w:p>
      <w:pPr>
        <w:spacing w:after="0" w:line="188" w:lineRule="exact"/>
        <w:rPr>
          <w:sz w:val="20"/>
          <w:szCs w:val="20"/>
          <w:color w:val="auto"/>
        </w:rPr>
      </w:pPr>
    </w:p>
    <w:p>
      <w:pPr>
        <w:ind w:left="2" w:firstLine="405"/>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If you violate any provision in Section 4.2, 4.3, 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4.5 of this section, the Company shall have the right to terminate</w:t>
      </w:r>
    </w:p>
    <w:p>
      <w:pPr>
        <w:ind w:left="2" w:right="200"/>
        <w:spacing w:after="0" w:line="220" w:lineRule="auto"/>
        <w:rPr>
          <w:sz w:val="20"/>
          <w:szCs w:val="20"/>
          <w:color w:val="auto"/>
        </w:rPr>
      </w:pPr>
      <w:r>
        <w:rPr>
          <w:rFonts w:ascii="Times New Roman" w:cs="Times New Roman" w:eastAsia="Times New Roman" w:hAnsi="Times New Roman"/>
          <w:sz w:val="17"/>
          <w:szCs w:val="17"/>
          <w:color w:val="auto"/>
        </w:rPr>
        <w:t>without payment to you any unvested and/or unpaid RPSRs (and associated Dividend Equivalents) and require that you immediately deliver to the Company an amount in cash equal to the aggregate Fair</w:t>
      </w:r>
    </w:p>
    <w:p>
      <w:pPr>
        <w:spacing w:after="0" w:line="2" w:lineRule="exact"/>
        <w:rPr>
          <w:sz w:val="20"/>
          <w:szCs w:val="20"/>
          <w:color w:val="auto"/>
        </w:rPr>
      </w:pPr>
    </w:p>
    <w:p>
      <w:pPr>
        <w:ind w:left="2" w:right="80"/>
        <w:spacing w:after="0" w:line="220" w:lineRule="auto"/>
        <w:rPr>
          <w:sz w:val="20"/>
          <w:szCs w:val="20"/>
          <w:color w:val="auto"/>
        </w:rPr>
      </w:pPr>
      <w:r>
        <w:rPr>
          <w:rFonts w:ascii="Times New Roman" w:cs="Times New Roman" w:eastAsia="Times New Roman" w:hAnsi="Times New Roman"/>
          <w:sz w:val="17"/>
          <w:szCs w:val="17"/>
          <w:color w:val="auto"/>
        </w:rPr>
        <w:t>Market Value, determined as of the vesting and/or payment date of all RPSRs already received, including any Dividend Equivalents, within one year prior to the breach. Further, you acknowledge and agree that a</w:t>
      </w:r>
    </w:p>
    <w:p>
      <w:pPr>
        <w:spacing w:after="0" w:line="2" w:lineRule="exact"/>
        <w:rPr>
          <w:sz w:val="20"/>
          <w:szCs w:val="20"/>
          <w:color w:val="auto"/>
        </w:rPr>
      </w:pPr>
    </w:p>
    <w:p>
      <w:pPr>
        <w:jc w:val="both"/>
        <w:ind w:left="2" w:right="100"/>
        <w:spacing w:after="0" w:line="208" w:lineRule="auto"/>
        <w:rPr>
          <w:sz w:val="20"/>
          <w:szCs w:val="20"/>
          <w:color w:val="auto"/>
        </w:rPr>
      </w:pPr>
      <w:r>
        <w:rPr>
          <w:rFonts w:ascii="Times New Roman" w:cs="Times New Roman" w:eastAsia="Times New Roman" w:hAnsi="Times New Roman"/>
          <w:sz w:val="18"/>
          <w:szCs w:val="18"/>
          <w:color w:val="auto"/>
        </w:rPr>
        <w:t>breach of any of the provisions of this section will result in immediate, irreparable, and continuing damage to the Company for which there is no adequate remedy at law, and the Company will be entitled to</w:t>
      </w:r>
    </w:p>
    <w:p>
      <w:pPr>
        <w:spacing w:after="0" w:line="2" w:lineRule="exact"/>
        <w:rPr>
          <w:sz w:val="20"/>
          <w:szCs w:val="20"/>
          <w:color w:val="auto"/>
        </w:rPr>
      </w:pPr>
    </w:p>
    <w:p>
      <w:pPr>
        <w:jc w:val="both"/>
        <w:ind w:left="2" w:right="240"/>
        <w:spacing w:after="0" w:line="218" w:lineRule="auto"/>
        <w:rPr>
          <w:sz w:val="20"/>
          <w:szCs w:val="20"/>
          <w:color w:val="auto"/>
        </w:rPr>
      </w:pPr>
      <w:r>
        <w:rPr>
          <w:rFonts w:ascii="Times New Roman" w:cs="Times New Roman" w:eastAsia="Times New Roman" w:hAnsi="Times New Roman"/>
          <w:sz w:val="18"/>
          <w:szCs w:val="18"/>
          <w:color w:val="auto"/>
        </w:rPr>
        <w:t>injunctive relief, a decree of specific performance, and other relief as may be proper, including monetary damages, to the maximum extent available.</w:t>
      </w:r>
    </w:p>
    <w:p>
      <w:pPr>
        <w:spacing w:after="0" w:line="195" w:lineRule="exact"/>
        <w:rPr>
          <w:sz w:val="20"/>
          <w:szCs w:val="20"/>
          <w:color w:val="auto"/>
        </w:rPr>
      </w:pPr>
    </w:p>
    <w:p>
      <w:pPr>
        <w:ind w:left="322" w:right="620" w:hanging="322"/>
        <w:spacing w:after="0" w:line="239" w:lineRule="auto"/>
        <w:tabs>
          <w:tab w:leader="none" w:pos="322"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Laws; No Stockholder Rights Prior to Issuance</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both"/>
        <w:ind w:left="2" w:right="240" w:firstLine="405"/>
        <w:spacing w:after="0" w:line="216" w:lineRule="auto"/>
        <w:rPr>
          <w:sz w:val="20"/>
          <w:szCs w:val="20"/>
          <w:color w:val="auto"/>
        </w:rPr>
      </w:pPr>
      <w:r>
        <w:rPr>
          <w:rFonts w:ascii="Times New Roman" w:cs="Times New Roman" w:eastAsia="Times New Roman" w:hAnsi="Times New Roman"/>
          <w:sz w:val="18"/>
          <w:szCs w:val="18"/>
          <w:color w:val="auto"/>
        </w:rPr>
        <w:t>The Company’s obligation to make any payments or issue any shares with respect to the award is subject to full compliance with all then applicable requirements of law, the Securities and Exchange</w:t>
      </w:r>
    </w:p>
    <w:p>
      <w:pPr>
        <w:spacing w:after="0" w:line="1" w:lineRule="exact"/>
        <w:rPr>
          <w:sz w:val="20"/>
          <w:szCs w:val="20"/>
          <w:color w:val="auto"/>
        </w:rPr>
      </w:pPr>
    </w:p>
    <w:p>
      <w:pPr>
        <w:jc w:val="both"/>
        <w:ind w:left="2" w:right="140"/>
        <w:spacing w:after="0" w:line="208" w:lineRule="auto"/>
        <w:rPr>
          <w:sz w:val="20"/>
          <w:szCs w:val="20"/>
          <w:color w:val="auto"/>
        </w:rPr>
      </w:pPr>
      <w:r>
        <w:rPr>
          <w:rFonts w:ascii="Times New Roman" w:cs="Times New Roman" w:eastAsia="Times New Roman" w:hAnsi="Times New Roman"/>
          <w:sz w:val="18"/>
          <w:szCs w:val="18"/>
          <w:color w:val="auto"/>
        </w:rPr>
        <w:t>Commission, or other regulatory agencies having jurisdiction over the Company and its shares, and of any exchange upon which stock of the Company may be listed. The Grantee shall not have the rights and</w:t>
      </w:r>
    </w:p>
    <w:p>
      <w:pPr>
        <w:spacing w:after="0" w:line="2" w:lineRule="exact"/>
        <w:rPr>
          <w:sz w:val="20"/>
          <w:szCs w:val="20"/>
          <w:color w:val="auto"/>
        </w:rPr>
      </w:pPr>
    </w:p>
    <w:p>
      <w:pPr>
        <w:ind w:left="2"/>
        <w:spacing w:after="0" w:line="220" w:lineRule="auto"/>
        <w:rPr>
          <w:sz w:val="20"/>
          <w:szCs w:val="20"/>
          <w:color w:val="auto"/>
        </w:rPr>
      </w:pPr>
      <w:r>
        <w:rPr>
          <w:rFonts w:ascii="Times New Roman" w:cs="Times New Roman" w:eastAsia="Times New Roman" w:hAnsi="Times New Roman"/>
          <w:sz w:val="17"/>
          <w:szCs w:val="17"/>
          <w:color w:val="auto"/>
        </w:rPr>
        <w:t>privileges of a stockholder, including without limitation the right to vote or receive dividends (except as expressly provided in this Agreement with respect to Dividend Equivalents), with respect to any shares which</w:t>
      </w:r>
    </w:p>
    <w:p>
      <w:pPr>
        <w:spacing w:after="0" w:line="2" w:lineRule="exact"/>
        <w:rPr>
          <w:sz w:val="20"/>
          <w:szCs w:val="20"/>
          <w:color w:val="auto"/>
        </w:rPr>
      </w:pPr>
    </w:p>
    <w:p>
      <w:pPr>
        <w:jc w:val="both"/>
        <w:ind w:left="2" w:right="200"/>
        <w:spacing w:after="0" w:line="220" w:lineRule="auto"/>
        <w:rPr>
          <w:sz w:val="20"/>
          <w:szCs w:val="20"/>
          <w:color w:val="auto"/>
        </w:rPr>
      </w:pPr>
      <w:r>
        <w:rPr>
          <w:rFonts w:ascii="Times New Roman" w:cs="Times New Roman" w:eastAsia="Times New Roman" w:hAnsi="Times New Roman"/>
          <w:sz w:val="17"/>
          <w:szCs w:val="17"/>
          <w:color w:val="auto"/>
        </w:rPr>
        <w:t>may be issued in respect of the RPSRs until the date appearing on the certificate(s) for such shares (or, in the case of shares entered in book entry form, the date that the shares are actually recorded in such form</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for the benefit of the Grantee), if such shares become deliverable.</w:t>
      </w:r>
    </w:p>
    <w:p>
      <w:pPr>
        <w:spacing w:after="0" w:line="161" w:lineRule="exact"/>
        <w:rPr>
          <w:sz w:val="20"/>
          <w:szCs w:val="20"/>
          <w:color w:val="auto"/>
        </w:rPr>
      </w:pPr>
    </w:p>
    <w:p>
      <w:pPr>
        <w:ind w:left="642" w:hanging="642"/>
        <w:spacing w:after="0"/>
        <w:tabs>
          <w:tab w:leader="none" w:pos="64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Change in Control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 w:right="360" w:firstLine="405"/>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6.1 </w:t>
      </w:r>
      <w:r>
        <w:rPr>
          <w:rFonts w:ascii="Times New Roman" w:cs="Times New Roman" w:eastAsia="Times New Roman" w:hAnsi="Times New Roman"/>
          <w:sz w:val="17"/>
          <w:szCs w:val="17"/>
          <w:b w:val="1"/>
          <w:bCs w:val="1"/>
          <w:i w:val="1"/>
          <w:iCs w:val="1"/>
          <w:color w:val="auto"/>
        </w:rPr>
        <w:t>Adjustments</w:t>
      </w:r>
      <w:r>
        <w:rPr>
          <w:rFonts w:ascii="Times New Roman" w:cs="Times New Roman" w:eastAsia="Times New Roman" w:hAnsi="Times New Roman"/>
          <w:sz w:val="17"/>
          <w:szCs w:val="17"/>
          <w:color w:val="auto"/>
        </w:rPr>
        <w:t>. The RPSRs, Dividend Equivalents,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subject to the award are subject to adjustment upon the occurrence of events such as stock splits, stock dividends and other</w:t>
      </w:r>
    </w:p>
    <w:p>
      <w:pPr>
        <w:spacing w:after="0" w:line="2" w:lineRule="exact"/>
        <w:rPr>
          <w:sz w:val="20"/>
          <w:szCs w:val="20"/>
          <w:color w:val="auto"/>
        </w:rPr>
      </w:pPr>
    </w:p>
    <w:p>
      <w:pPr>
        <w:ind w:left="2" w:right="40"/>
        <w:spacing w:after="0" w:line="208" w:lineRule="auto"/>
        <w:rPr>
          <w:sz w:val="20"/>
          <w:szCs w:val="20"/>
          <w:color w:val="auto"/>
        </w:rPr>
      </w:pPr>
      <w:r>
        <w:rPr>
          <w:rFonts w:ascii="Times New Roman" w:cs="Times New Roman" w:eastAsia="Times New Roman" w:hAnsi="Times New Roman"/>
          <w:sz w:val="18"/>
          <w:szCs w:val="18"/>
          <w:color w:val="auto"/>
        </w:rPr>
        <w:t>changes in capitalization in accordance with Section 6(a) of the Plan. In addition, for RPSRs that do not use a relative total shareholder return metric as the applicable performance criterion, the applicable</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performance</w:t>
      </w:r>
    </w:p>
    <w:p>
      <w:pPr>
        <w:sectPr>
          <w:pgSz w:w="11900" w:h="16838" w:orient="portrait"/>
          <w:cols w:equalWidth="0" w:num="2">
            <w:col w:w="5220" w:space="698"/>
            <w:col w:w="5202"/>
          </w:cols>
          <w:pgMar w:left="320" w:top="1147" w:right="459" w:bottom="1440" w:gutter="0" w:footer="0" w:header="0"/>
        </w:sectPr>
      </w:pPr>
    </w:p>
    <w:bookmarkStart w:id="47" w:name="page48"/>
    <w:bookmarkEnd w:id="47"/>
    <w:p>
      <w:pPr>
        <w:spacing w:after="0" w:line="226" w:lineRule="auto"/>
        <w:rPr>
          <w:sz w:val="20"/>
          <w:szCs w:val="20"/>
          <w:color w:val="auto"/>
        </w:rPr>
      </w:pPr>
      <w:r>
        <w:rPr>
          <w:rFonts w:ascii="Times New Roman" w:cs="Times New Roman" w:eastAsia="Times New Roman" w:hAnsi="Times New Roman"/>
          <w:sz w:val="18"/>
          <w:szCs w:val="18"/>
          <w:color w:val="auto"/>
        </w:rPr>
        <w:t>criteria and goals are subject to adjustment pursuant to Section 8 of the Plan. Any such adjustment or determination not to make any adjustment shall be conclusive and binding.</w:t>
      </w:r>
    </w:p>
    <w:p>
      <w:pPr>
        <w:spacing w:after="0" w:line="127" w:lineRule="exact"/>
        <w:rPr>
          <w:sz w:val="20"/>
          <w:szCs w:val="20"/>
          <w:color w:val="auto"/>
        </w:rPr>
      </w:pPr>
    </w:p>
    <w:p>
      <w:pPr>
        <w:ind w:right="80" w:firstLine="405"/>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i w:val="1"/>
          <w:iCs w:val="1"/>
          <w:color w:val="auto"/>
        </w:rPr>
        <w:t>Possible Acceleration on Change in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provisions of Section 2 hereof, and further subject</w:t>
      </w:r>
    </w:p>
    <w:p>
      <w:pPr>
        <w:ind w:right="120"/>
        <w:spacing w:after="0" w:line="208" w:lineRule="auto"/>
        <w:rPr>
          <w:sz w:val="20"/>
          <w:szCs w:val="20"/>
          <w:color w:val="auto"/>
        </w:rPr>
      </w:pPr>
      <w:r>
        <w:rPr>
          <w:rFonts w:ascii="Times New Roman" w:cs="Times New Roman" w:eastAsia="Times New Roman" w:hAnsi="Times New Roman"/>
          <w:sz w:val="18"/>
          <w:szCs w:val="18"/>
          <w:color w:val="auto"/>
        </w:rPr>
        <w:t>to the Company’s ability to terminate the award as provided in Section 6.3 below, the Grantee shall be entitled to vesting of the award as provided below in the event of the Grantee’s termination of</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employment if at the time of the termination, the termination occurs either within the Protected Period corresponding to a Change in Control of the Company or within twenty-four (24) calendar months following</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the date of a Change in Control of the Company, and the Grantee’s employment by the Company and its subsidiaries is involuntarily terminated by the Company and its subsidiaries for reasons other than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or by the Grantee for Good Reason.</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Notwithstanding anything else contained herein to the contrary,</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the termination of the Grantee’s employment (or other events giving rise to Good Reason) shall not entitle the Grantee to any accelerated vesting pursuant to this Section 6.2 if there is objective evidence that, as</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of the commencement of the Protected Period, the Grantee had specifically been identified by the Company as an employee whose employment would be terminated as part of a corporate restructuring or</w:t>
      </w:r>
    </w:p>
    <w:p>
      <w:pPr>
        <w:spacing w:after="0" w:line="2"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downsizing program that commenced prior to the Protected Period and such termination of employment was expected at that time to occur within six (6) months.</w:t>
      </w:r>
    </w:p>
    <w:p>
      <w:pPr>
        <w:spacing w:after="0" w:line="131" w:lineRule="exact"/>
        <w:rPr>
          <w:sz w:val="20"/>
          <w:szCs w:val="20"/>
          <w:color w:val="auto"/>
        </w:rPr>
      </w:pPr>
    </w:p>
    <w:p>
      <w:pPr>
        <w:ind w:right="60" w:firstLine="405"/>
        <w:spacing w:after="0" w:line="222" w:lineRule="auto"/>
        <w:rPr>
          <w:sz w:val="20"/>
          <w:szCs w:val="20"/>
          <w:color w:val="auto"/>
        </w:rPr>
      </w:pPr>
      <w:r>
        <w:rPr>
          <w:rFonts w:ascii="Times New Roman" w:cs="Times New Roman" w:eastAsia="Times New Roman" w:hAnsi="Times New Roman"/>
          <w:sz w:val="18"/>
          <w:szCs w:val="18"/>
          <w:color w:val="auto"/>
        </w:rPr>
        <w:t>In the event the Grantee is entitled to payment in accordance with the foregoing provisions of this Section 6.2, then the Grantee will be</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eligible for payment of a number of RPSRs (and related Dividend Equivalents) determined in accordance with the following formula: (a) the Earnout Percentage determined in accordance with Section 1 but</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calculated based on performance for the portion of the three-year Performance Period ending on the last day of the month coinciding with or immediately preceding the date of the termination of the Grantee’s</w:t>
      </w:r>
    </w:p>
    <w:p>
      <w:pPr>
        <w:spacing w:after="0" w:line="2" w:lineRule="exact"/>
        <w:rPr>
          <w:sz w:val="20"/>
          <w:szCs w:val="20"/>
          <w:color w:val="auto"/>
        </w:rPr>
      </w:pPr>
    </w:p>
    <w:p>
      <w:pPr>
        <w:jc w:val="both"/>
        <w:ind w:right="180"/>
        <w:spacing w:after="0" w:line="204" w:lineRule="auto"/>
        <w:rPr>
          <w:sz w:val="20"/>
          <w:szCs w:val="20"/>
          <w:color w:val="auto"/>
        </w:rPr>
      </w:pPr>
      <w:r>
        <w:rPr>
          <w:rFonts w:ascii="Times New Roman" w:cs="Times New Roman" w:eastAsia="Times New Roman" w:hAnsi="Times New Roman"/>
          <w:sz w:val="18"/>
          <w:szCs w:val="18"/>
          <w:color w:val="auto"/>
        </w:rPr>
        <w:t>employment, multiplied by (b) the target number of RPSRs subject to the award. Payment of any amount due under this Section 6.2 will be made within 60 days of the date of the termination of Grantee’s</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18"/>
          <w:szCs w:val="18"/>
          <w:color w:val="auto"/>
        </w:rPr>
        <w:t>employment, but in no event later than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year following the Grantee’s termination of employment.</w:t>
      </w:r>
    </w:p>
    <w:p>
      <w:pPr>
        <w:spacing w:after="0" w:line="127" w:lineRule="exact"/>
        <w:rPr>
          <w:sz w:val="20"/>
          <w:szCs w:val="20"/>
          <w:color w:val="auto"/>
        </w:rPr>
      </w:pPr>
    </w:p>
    <w:p>
      <w:pPr>
        <w:ind w:right="60" w:firstLine="405"/>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6.3 </w:t>
      </w:r>
      <w:r>
        <w:rPr>
          <w:rFonts w:ascii="Times New Roman" w:cs="Times New Roman" w:eastAsia="Times New Roman" w:hAnsi="Times New Roman"/>
          <w:sz w:val="17"/>
          <w:szCs w:val="17"/>
          <w:b w:val="1"/>
          <w:bCs w:val="1"/>
          <w:i w:val="1"/>
          <w:iCs w:val="1"/>
          <w:color w:val="auto"/>
        </w:rPr>
        <w:t>Automatic Acceleration; Early Termination</w:t>
      </w:r>
      <w:r>
        <w:rPr>
          <w:rFonts w:ascii="Times New Roman" w:cs="Times New Roman" w:eastAsia="Times New Roman" w:hAnsi="Times New Roman"/>
          <w:sz w:val="17"/>
          <w:szCs w:val="17"/>
          <w:color w:val="auto"/>
        </w:rPr>
        <w:t>. If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undergoes a Change in Control triggered by clause (iii) or (iv) of the definition thereof and the Company is not the surviving entity and the</w:t>
      </w:r>
    </w:p>
    <w:p>
      <w:pPr>
        <w:spacing w:after="0" w:line="2" w:lineRule="exact"/>
        <w:rPr>
          <w:sz w:val="20"/>
          <w:szCs w:val="20"/>
          <w:color w:val="auto"/>
        </w:rPr>
      </w:pPr>
    </w:p>
    <w:p>
      <w:pPr>
        <w:jc w:val="both"/>
        <w:ind w:right="120"/>
        <w:spacing w:after="0" w:line="208" w:lineRule="auto"/>
        <w:rPr>
          <w:sz w:val="20"/>
          <w:szCs w:val="20"/>
          <w:color w:val="auto"/>
        </w:rPr>
      </w:pPr>
      <w:r>
        <w:rPr>
          <w:rFonts w:ascii="Times New Roman" w:cs="Times New Roman" w:eastAsia="Times New Roman" w:hAnsi="Times New Roman"/>
          <w:sz w:val="18"/>
          <w:szCs w:val="18"/>
          <w:color w:val="auto"/>
        </w:rPr>
        <w:t>successor to the Company (if any) (or a Parent thereof) does not agree in writing prior to the occurrence of the Change in Control to continue and assume the award following the Change in Control, or if for any</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other reason the award would not continue after the Change in Control, then upon the Change in Control the Grantee shall be entitled to a payment of the RPSRs (and related Dividend Equivalents) as provided</w:t>
      </w:r>
    </w:p>
    <w:p>
      <w:pPr>
        <w:spacing w:after="0" w:line="2" w:lineRule="exact"/>
        <w:rPr>
          <w:sz w:val="20"/>
          <w:szCs w:val="20"/>
          <w:color w:val="auto"/>
        </w:rPr>
      </w:pPr>
    </w:p>
    <w:p>
      <w:pPr>
        <w:jc w:val="both"/>
        <w:ind w:right="180"/>
        <w:spacing w:after="0" w:line="218" w:lineRule="auto"/>
        <w:rPr>
          <w:sz w:val="20"/>
          <w:szCs w:val="20"/>
          <w:color w:val="auto"/>
        </w:rPr>
      </w:pPr>
      <w:r>
        <w:rPr>
          <w:rFonts w:ascii="Times New Roman" w:cs="Times New Roman" w:eastAsia="Times New Roman" w:hAnsi="Times New Roman"/>
          <w:sz w:val="18"/>
          <w:szCs w:val="18"/>
          <w:color w:val="auto"/>
        </w:rPr>
        <w:t>below and the award shall terminate. Unless the Committee expressly provides otherwise in the circumstances, no acceleration of vesting of the award shall occur pursuant to this Section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ind w:left="2" w:right="20"/>
        <w:spacing w:after="0" w:line="216" w:lineRule="auto"/>
        <w:rPr>
          <w:sz w:val="20"/>
          <w:szCs w:val="20"/>
          <w:color w:val="auto"/>
        </w:rPr>
      </w:pPr>
      <w:r>
        <w:rPr>
          <w:rFonts w:ascii="Times New Roman" w:cs="Times New Roman" w:eastAsia="Times New Roman" w:hAnsi="Times New Roman"/>
          <w:sz w:val="18"/>
          <w:szCs w:val="18"/>
          <w:color w:val="auto"/>
        </w:rPr>
        <w:t>6.3 in connection with a Change in Control if either (a) the Company is the surviving entity, or (b) the successor to the Company (if any) (or a Parent thereof) agrees in writing prior to the Change in Control to</w:t>
      </w:r>
    </w:p>
    <w:p>
      <w:pPr>
        <w:spacing w:after="0" w:line="1" w:lineRule="exact"/>
        <w:rPr>
          <w:sz w:val="20"/>
          <w:szCs w:val="20"/>
          <w:color w:val="auto"/>
        </w:rPr>
      </w:pPr>
    </w:p>
    <w:p>
      <w:pPr>
        <w:ind w:left="2"/>
        <w:spacing w:after="0" w:line="220" w:lineRule="auto"/>
        <w:rPr>
          <w:sz w:val="20"/>
          <w:szCs w:val="20"/>
          <w:color w:val="auto"/>
        </w:rPr>
      </w:pPr>
      <w:r>
        <w:rPr>
          <w:rFonts w:ascii="Times New Roman" w:cs="Times New Roman" w:eastAsia="Times New Roman" w:hAnsi="Times New Roman"/>
          <w:sz w:val="17"/>
          <w:szCs w:val="17"/>
          <w:color w:val="auto"/>
        </w:rPr>
        <w:t>assume the award. The Committee may make adjustments pursuant to Section 6(a) of the Plan and/or deem an acceleration of vesting of the award pursuant to this Section 6.3 to occur sufficiently prior to an event</w:t>
      </w:r>
    </w:p>
    <w:p>
      <w:pPr>
        <w:spacing w:after="0" w:line="2" w:lineRule="exact"/>
        <w:rPr>
          <w:sz w:val="20"/>
          <w:szCs w:val="20"/>
          <w:color w:val="auto"/>
        </w:rPr>
      </w:pPr>
    </w:p>
    <w:p>
      <w:pPr>
        <w:jc w:val="both"/>
        <w:ind w:left="2" w:right="100"/>
        <w:spacing w:after="0" w:line="220" w:lineRule="auto"/>
        <w:rPr>
          <w:sz w:val="20"/>
          <w:szCs w:val="20"/>
          <w:color w:val="auto"/>
        </w:rPr>
      </w:pPr>
      <w:r>
        <w:rPr>
          <w:rFonts w:ascii="Times New Roman" w:cs="Times New Roman" w:eastAsia="Times New Roman" w:hAnsi="Times New Roman"/>
          <w:sz w:val="17"/>
          <w:szCs w:val="17"/>
          <w:color w:val="auto"/>
        </w:rPr>
        <w:t>if necessary or deemed appropriate to permit the Grantee to realize the benefits intended to be conveyed with respect to the shares underlying the award; provided, however, that, the Committee may reinstate the</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original terms of the award if the related event does not actually occur.</w:t>
      </w:r>
    </w:p>
    <w:p>
      <w:pPr>
        <w:spacing w:after="0" w:line="124"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In the event the Grantee is entitled to a payment in accordance</w:t>
      </w:r>
    </w:p>
    <w:p>
      <w:pPr>
        <w:spacing w:after="0" w:line="2" w:lineRule="exact"/>
        <w:rPr>
          <w:sz w:val="20"/>
          <w:szCs w:val="20"/>
          <w:color w:val="auto"/>
        </w:rPr>
      </w:pPr>
    </w:p>
    <w:p>
      <w:pPr>
        <w:ind w:left="2" w:right="80"/>
        <w:spacing w:after="0" w:line="220" w:lineRule="auto"/>
        <w:rPr>
          <w:sz w:val="20"/>
          <w:szCs w:val="20"/>
          <w:color w:val="auto"/>
        </w:rPr>
      </w:pPr>
      <w:r>
        <w:rPr>
          <w:rFonts w:ascii="Times New Roman" w:cs="Times New Roman" w:eastAsia="Times New Roman" w:hAnsi="Times New Roman"/>
          <w:sz w:val="17"/>
          <w:szCs w:val="17"/>
          <w:color w:val="auto"/>
        </w:rPr>
        <w:t>with the foregoing provisions of this Section 6.3, then the Grantee will be eligible for payment of a number of RPSRs (and related Dividend Equivalents) determined in accordance with the following formula: (a)</w:t>
      </w:r>
    </w:p>
    <w:p>
      <w:pPr>
        <w:spacing w:after="0" w:line="2" w:lineRule="exact"/>
        <w:rPr>
          <w:sz w:val="20"/>
          <w:szCs w:val="20"/>
          <w:color w:val="auto"/>
        </w:rPr>
      </w:pPr>
    </w:p>
    <w:p>
      <w:pPr>
        <w:ind w:left="2" w:right="60"/>
        <w:spacing w:after="0" w:line="208" w:lineRule="auto"/>
        <w:rPr>
          <w:sz w:val="20"/>
          <w:szCs w:val="20"/>
          <w:color w:val="auto"/>
        </w:rPr>
      </w:pPr>
      <w:r>
        <w:rPr>
          <w:rFonts w:ascii="Times New Roman" w:cs="Times New Roman" w:eastAsia="Times New Roman" w:hAnsi="Times New Roman"/>
          <w:sz w:val="18"/>
          <w:szCs w:val="18"/>
          <w:color w:val="auto"/>
        </w:rPr>
        <w:t>the Earnout Percentage determined in accordance with Section 1 but calculated based on performance for the portion of the three-year Performance Period ending on the date of the Change in Control of the</w:t>
      </w:r>
    </w:p>
    <w:p>
      <w:pPr>
        <w:spacing w:after="0" w:line="2" w:lineRule="exact"/>
        <w:rPr>
          <w:sz w:val="20"/>
          <w:szCs w:val="20"/>
          <w:color w:val="auto"/>
        </w:rPr>
      </w:pPr>
    </w:p>
    <w:p>
      <w:pPr>
        <w:jc w:val="both"/>
        <w:ind w:left="2" w:right="20"/>
        <w:spacing w:after="0" w:line="208" w:lineRule="auto"/>
        <w:rPr>
          <w:sz w:val="20"/>
          <w:szCs w:val="20"/>
          <w:color w:val="auto"/>
        </w:rPr>
      </w:pPr>
      <w:r>
        <w:rPr>
          <w:rFonts w:ascii="Times New Roman" w:cs="Times New Roman" w:eastAsia="Times New Roman" w:hAnsi="Times New Roman"/>
          <w:sz w:val="18"/>
          <w:szCs w:val="18"/>
          <w:color w:val="auto"/>
        </w:rPr>
        <w:t>Company, multiplied by (b) the target number of RPSRs subject to the award. Payment of any amount due under this Section 6.3 will be made within 60 days of the Change of Control, but in no event later than</w:t>
      </w:r>
    </w:p>
    <w:p>
      <w:pPr>
        <w:spacing w:after="0" w:line="2" w:lineRule="exact"/>
        <w:rPr>
          <w:sz w:val="20"/>
          <w:szCs w:val="20"/>
          <w:color w:val="auto"/>
        </w:rPr>
      </w:pPr>
    </w:p>
    <w:p>
      <w:pPr>
        <w:ind w:left="2"/>
        <w:spacing w:after="0" w:line="220" w:lineRule="auto"/>
        <w:rPr>
          <w:sz w:val="20"/>
          <w:szCs w:val="20"/>
          <w:color w:val="auto"/>
        </w:rPr>
      </w:pPr>
      <w:r>
        <w:rPr>
          <w:rFonts w:ascii="Times New Roman" w:cs="Times New Roman" w:eastAsia="Times New Roman" w:hAnsi="Times New Roman"/>
          <w:sz w:val="17"/>
          <w:szCs w:val="17"/>
          <w:color w:val="auto"/>
        </w:rPr>
        <w:t>March 15 of the year following the Change in Control. In the event the Grantee is employed by the Company or a subsidiary immediately prior to the Change in Control and is entitled to payment in accordance with</w:t>
      </w:r>
    </w:p>
    <w:p>
      <w:pPr>
        <w:spacing w:after="0" w:line="2" w:lineRule="exact"/>
        <w:rPr>
          <w:sz w:val="20"/>
          <w:szCs w:val="20"/>
          <w:color w:val="auto"/>
        </w:rPr>
      </w:pPr>
    </w:p>
    <w:p>
      <w:pPr>
        <w:ind w:left="2" w:right="100"/>
        <w:spacing w:after="0" w:line="208" w:lineRule="auto"/>
        <w:rPr>
          <w:sz w:val="20"/>
          <w:szCs w:val="20"/>
          <w:color w:val="auto"/>
        </w:rPr>
      </w:pPr>
      <w:r>
        <w:rPr>
          <w:rFonts w:ascii="Times New Roman" w:cs="Times New Roman" w:eastAsia="Times New Roman" w:hAnsi="Times New Roman"/>
          <w:sz w:val="18"/>
          <w:szCs w:val="18"/>
          <w:color w:val="auto"/>
        </w:rPr>
        <w:t>the foregoing provisions of this Section 6.3, then this Section 6.3 shall control as to the amount and timing of the payment of the award notwithstanding anything in Section 2.2 or 6.2 to the contrary. In the</w:t>
      </w:r>
    </w:p>
    <w:p>
      <w:pPr>
        <w:spacing w:after="0" w:line="2" w:lineRule="exact"/>
        <w:rPr>
          <w:sz w:val="20"/>
          <w:szCs w:val="20"/>
          <w:color w:val="auto"/>
        </w:rPr>
      </w:pPr>
    </w:p>
    <w:p>
      <w:pPr>
        <w:ind w:left="2"/>
        <w:spacing w:after="0" w:line="208" w:lineRule="auto"/>
        <w:rPr>
          <w:sz w:val="20"/>
          <w:szCs w:val="20"/>
          <w:color w:val="auto"/>
        </w:rPr>
      </w:pPr>
      <w:r>
        <w:rPr>
          <w:rFonts w:ascii="Times New Roman" w:cs="Times New Roman" w:eastAsia="Times New Roman" w:hAnsi="Times New Roman"/>
          <w:sz w:val="18"/>
          <w:szCs w:val="18"/>
          <w:color w:val="auto"/>
        </w:rPr>
        <w:t>event of the Grantee’s Retirement pursuant to Section 2.2 prior to a Change in Control described in the first paragraph of this Section 6.3 in which the award is to be terminated, the Earnout Percentage shall no</w:t>
      </w:r>
    </w:p>
    <w:p>
      <w:pPr>
        <w:spacing w:after="0" w:line="2" w:lineRule="exact"/>
        <w:rPr>
          <w:sz w:val="20"/>
          <w:szCs w:val="20"/>
          <w:color w:val="auto"/>
        </w:rPr>
      </w:pPr>
    </w:p>
    <w:p>
      <w:pPr>
        <w:ind w:left="2" w:right="200"/>
        <w:spacing w:after="0" w:line="220" w:lineRule="auto"/>
        <w:rPr>
          <w:sz w:val="20"/>
          <w:szCs w:val="20"/>
          <w:color w:val="auto"/>
        </w:rPr>
      </w:pPr>
      <w:r>
        <w:rPr>
          <w:rFonts w:ascii="Times New Roman" w:cs="Times New Roman" w:eastAsia="Times New Roman" w:hAnsi="Times New Roman"/>
          <w:sz w:val="17"/>
          <w:szCs w:val="17"/>
          <w:color w:val="auto"/>
        </w:rPr>
        <w:t>longer be based on the portion of the Performance Period otherwise considered for purposes of Section 2.2 but shall instead be calculated based on performance for the portion of the three-year Performance</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Period ending on the date of the Change in Control of the Company.</w:t>
      </w:r>
    </w:p>
    <w:p>
      <w:pPr>
        <w:spacing w:after="0" w:line="120" w:lineRule="exact"/>
        <w:rPr>
          <w:sz w:val="20"/>
          <w:szCs w:val="20"/>
          <w:color w:val="auto"/>
        </w:rPr>
      </w:pPr>
    </w:p>
    <w:p>
      <w:pPr>
        <w:ind w:left="382" w:hanging="382"/>
        <w:spacing w:after="0"/>
        <w:tabs>
          <w:tab w:leader="none" w:pos="38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 w:right="380" w:firstLine="405"/>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7.1 </w:t>
      </w:r>
      <w:r>
        <w:rPr>
          <w:rFonts w:ascii="Times New Roman" w:cs="Times New Roman" w:eastAsia="Times New Roman" w:hAnsi="Times New Roman"/>
          <w:sz w:val="17"/>
          <w:szCs w:val="17"/>
          <w:b w:val="1"/>
          <w:bCs w:val="1"/>
          <w:i w:val="1"/>
          <w:iCs w:val="1"/>
          <w:color w:val="auto"/>
        </w:rPr>
        <w:t>Tax Withholding</w:t>
      </w:r>
      <w:r>
        <w:rPr>
          <w:rFonts w:ascii="Times New Roman" w:cs="Times New Roman" w:eastAsia="Times New Roman" w:hAnsi="Times New Roman"/>
          <w:sz w:val="17"/>
          <w:szCs w:val="17"/>
          <w:color w:val="auto"/>
        </w:rPr>
        <w:t>. The Company or the subsidiary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employs the Grantee shall be entitled to require, as a condition of</w:t>
      </w:r>
    </w:p>
    <w:p>
      <w:pPr>
        <w:spacing w:after="0" w:line="1" w:lineRule="exact"/>
        <w:rPr>
          <w:sz w:val="20"/>
          <w:szCs w:val="20"/>
          <w:color w:val="auto"/>
        </w:rPr>
      </w:pPr>
    </w:p>
    <w:p>
      <w:pPr>
        <w:ind w:left="2" w:right="40"/>
        <w:spacing w:after="0" w:line="208" w:lineRule="auto"/>
        <w:rPr>
          <w:sz w:val="20"/>
          <w:szCs w:val="20"/>
          <w:color w:val="auto"/>
        </w:rPr>
      </w:pPr>
      <w:r>
        <w:rPr>
          <w:rFonts w:ascii="Times New Roman" w:cs="Times New Roman" w:eastAsia="Times New Roman" w:hAnsi="Times New Roman"/>
          <w:sz w:val="18"/>
          <w:szCs w:val="18"/>
          <w:color w:val="auto"/>
        </w:rPr>
        <w:t>making any payments or issuing any shares upon vesting of the RPSRs and related Dividend Equivalents, that the Grantee or other person entitled to such shares or other payment pay the minimum sums</w:t>
      </w:r>
    </w:p>
    <w:p>
      <w:pPr>
        <w:spacing w:after="0" w:line="2" w:lineRule="exact"/>
        <w:rPr>
          <w:sz w:val="20"/>
          <w:szCs w:val="20"/>
          <w:color w:val="auto"/>
        </w:rPr>
      </w:pPr>
    </w:p>
    <w:p>
      <w:pPr>
        <w:ind w:left="2" w:right="200"/>
        <w:spacing w:after="0" w:line="208" w:lineRule="auto"/>
        <w:rPr>
          <w:sz w:val="20"/>
          <w:szCs w:val="20"/>
          <w:color w:val="auto"/>
        </w:rPr>
      </w:pPr>
      <w:r>
        <w:rPr>
          <w:rFonts w:ascii="Times New Roman" w:cs="Times New Roman" w:eastAsia="Times New Roman" w:hAnsi="Times New Roman"/>
          <w:sz w:val="18"/>
          <w:szCs w:val="18"/>
          <w:color w:val="auto"/>
        </w:rPr>
        <w:t>required to be withheld by federal, state, local or other applicable tax law with respect to such vesting or payment. Alternatively, the Company or such subsidiary, in its discretion, may make such</w:t>
      </w:r>
    </w:p>
    <w:p>
      <w:pPr>
        <w:spacing w:after="0" w:line="2" w:lineRule="exact"/>
        <w:rPr>
          <w:sz w:val="20"/>
          <w:szCs w:val="20"/>
          <w:color w:val="auto"/>
        </w:rPr>
      </w:pPr>
    </w:p>
    <w:p>
      <w:pPr>
        <w:ind w:left="2" w:right="20"/>
        <w:spacing w:after="0" w:line="220" w:lineRule="auto"/>
        <w:rPr>
          <w:sz w:val="20"/>
          <w:szCs w:val="20"/>
          <w:color w:val="auto"/>
        </w:rPr>
      </w:pPr>
      <w:r>
        <w:rPr>
          <w:rFonts w:ascii="Times New Roman" w:cs="Times New Roman" w:eastAsia="Times New Roman" w:hAnsi="Times New Roman"/>
          <w:sz w:val="17"/>
          <w:szCs w:val="17"/>
          <w:color w:val="auto"/>
        </w:rPr>
        <w:t>provisions for the withholding of taxes as it deems appropriate (including, without limitation, withholding the taxes due from compensation otherwise payable to the Grantee or reducing the number</w:t>
      </w:r>
    </w:p>
    <w:p>
      <w:pPr>
        <w:spacing w:after="0" w:line="2" w:lineRule="exact"/>
        <w:rPr>
          <w:sz w:val="20"/>
          <w:szCs w:val="20"/>
          <w:color w:val="auto"/>
        </w:rPr>
      </w:pPr>
    </w:p>
    <w:p>
      <w:pPr>
        <w:ind w:left="2" w:right="160"/>
        <w:spacing w:after="0" w:line="218" w:lineRule="auto"/>
        <w:rPr>
          <w:sz w:val="20"/>
          <w:szCs w:val="20"/>
          <w:color w:val="auto"/>
        </w:rPr>
      </w:pPr>
      <w:r>
        <w:rPr>
          <w:rFonts w:ascii="Times New Roman" w:cs="Times New Roman" w:eastAsia="Times New Roman" w:hAnsi="Times New Roman"/>
          <w:sz w:val="18"/>
          <w:szCs w:val="18"/>
          <w:color w:val="auto"/>
        </w:rPr>
        <w:t>of shares otherwise deliverable with respect to the award (valued at their then Fair Market Value) by the amount necessary to satisfy such statutory minimum withholding obligations).</w:t>
      </w:r>
    </w:p>
    <w:p>
      <w:pPr>
        <w:sectPr>
          <w:pgSz w:w="11900" w:h="16838" w:orient="portrait"/>
          <w:cols w:equalWidth="0" w:num="2">
            <w:col w:w="5200" w:space="718"/>
            <w:col w:w="5162"/>
          </w:cols>
          <w:pgMar w:left="320" w:top="1147" w:right="499" w:bottom="1440" w:gutter="0" w:footer="0" w:header="0"/>
        </w:sectPr>
      </w:pPr>
    </w:p>
    <w:bookmarkStart w:id="48" w:name="page49"/>
    <w:bookmarkEnd w:id="48"/>
    <w:p>
      <w:pPr>
        <w:ind w:firstLine="405"/>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 The Company will pay all federal and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taxes, if any, and other fees and expenses in connection with the issuance of shares in connection with the vesting of the RPSRs.</w:t>
      </w:r>
    </w:p>
    <w:p>
      <w:pPr>
        <w:spacing w:after="0" w:line="128" w:lineRule="exact"/>
        <w:rPr>
          <w:sz w:val="20"/>
          <w:szCs w:val="20"/>
          <w:color w:val="auto"/>
        </w:rPr>
      </w:pPr>
    </w:p>
    <w:p>
      <w:pPr>
        <w:ind w:right="160" w:firstLine="405"/>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i w:val="1"/>
          <w:iCs w:val="1"/>
          <w:color w:val="auto"/>
        </w:rPr>
        <w:t>Compliance</w:t>
      </w:r>
      <w:r>
        <w:rPr>
          <w:rFonts w:ascii="Times New Roman" w:cs="Times New Roman" w:eastAsia="Times New Roman" w:hAnsi="Times New Roman"/>
          <w:sz w:val="18"/>
          <w:szCs w:val="18"/>
          <w:color w:val="auto"/>
        </w:rPr>
        <w:t>. This Agreement is designed to be exempt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Section 409A, and the Committee shall administer and construe</w:t>
      </w:r>
    </w:p>
    <w:p>
      <w:pPr>
        <w:ind w:right="120"/>
        <w:spacing w:after="0" w:line="226" w:lineRule="auto"/>
        <w:rPr>
          <w:sz w:val="20"/>
          <w:szCs w:val="20"/>
          <w:color w:val="auto"/>
        </w:rPr>
      </w:pPr>
      <w:r>
        <w:rPr>
          <w:rFonts w:ascii="Times New Roman" w:cs="Times New Roman" w:eastAsia="Times New Roman" w:hAnsi="Times New Roman"/>
          <w:sz w:val="18"/>
          <w:szCs w:val="18"/>
          <w:color w:val="auto"/>
        </w:rPr>
        <w:t>the award in such a way as to be exempt from and to avoid adverse tax consequences under Code Section 409A.</w:t>
      </w:r>
    </w:p>
    <w:p>
      <w:pPr>
        <w:spacing w:after="0" w:line="126" w:lineRule="exact"/>
        <w:rPr>
          <w:sz w:val="20"/>
          <w:szCs w:val="20"/>
          <w:color w:val="auto"/>
        </w:rPr>
      </w:pPr>
    </w:p>
    <w:p>
      <w:pPr>
        <w:ind w:right="160" w:firstLine="405"/>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i w:val="1"/>
          <w:iCs w:val="1"/>
          <w:color w:val="auto"/>
        </w:rPr>
        <w:t>Unfunded Arrangement</w:t>
      </w:r>
      <w:r>
        <w:rPr>
          <w:rFonts w:ascii="Times New Roman" w:cs="Times New Roman" w:eastAsia="Times New Roman" w:hAnsi="Times New Roman"/>
          <w:sz w:val="18"/>
          <w:szCs w:val="18"/>
          <w:color w:val="auto"/>
        </w:rPr>
        <w:t>. The right of the Grantee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under the award shall be an unsecured contractual claim against the Company. As such, neither the Grantee nor any Successor</w:t>
      </w:r>
    </w:p>
    <w:p>
      <w:pPr>
        <w:spacing w:after="0" w:line="3"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18"/>
          <w:szCs w:val="18"/>
          <w:color w:val="auto"/>
        </w:rPr>
        <w:t>shall have any rights in or against any specific assets of the Company based on the award. Awards shall at all times be considered entirely unfunded for tax purposes.</w:t>
      </w:r>
    </w:p>
    <w:p>
      <w:pPr>
        <w:spacing w:after="0" w:line="127" w:lineRule="exact"/>
        <w:rPr>
          <w:sz w:val="20"/>
          <w:szCs w:val="20"/>
          <w:color w:val="auto"/>
        </w:rPr>
      </w:pPr>
    </w:p>
    <w:p>
      <w:pPr>
        <w:ind w:right="40" w:firstLine="405"/>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7.5 </w:t>
      </w:r>
      <w:r>
        <w:rPr>
          <w:rFonts w:ascii="Times New Roman" w:cs="Times New Roman" w:eastAsia="Times New Roman" w:hAnsi="Times New Roman"/>
          <w:sz w:val="17"/>
          <w:szCs w:val="17"/>
          <w:b w:val="1"/>
          <w:bCs w:val="1"/>
          <w:i w:val="1"/>
          <w:iCs w:val="1"/>
          <w:color w:val="auto"/>
        </w:rPr>
        <w:t>Code Section 280G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Notwithstanding any other provision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to the contrary, in the event that any amounts payable to</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7"/>
          <w:szCs w:val="17"/>
          <w:color w:val="auto"/>
        </w:rPr>
        <w:t>you as a result of Section 6.2 or 6.3 hereof, either alone or together with amounts payable pursuant to any other plan, program or arrangement</w:t>
      </w:r>
    </w:p>
    <w:p>
      <w:pPr>
        <w:spacing w:after="0" w:line="1" w:lineRule="exact"/>
        <w:rPr>
          <w:sz w:val="20"/>
          <w:szCs w:val="20"/>
          <w:color w:val="auto"/>
        </w:rPr>
      </w:pPr>
    </w:p>
    <w:p>
      <w:pPr>
        <w:ind w:right="20" w:firstLine="8"/>
        <w:spacing w:after="0" w:line="210" w:lineRule="auto"/>
        <w:tabs>
          <w:tab w:leader="none" w:pos="2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38"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Arbitration</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This Agreement shall be governed by the laws of the State of</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Delaware. You agree to be bound by and fully comply with Northrop Grumman Manual USHR 2-32, Arbitration and Mediation (“USHR 2-32”). Any cause of action or claim arising out of or related to the terms</w:t>
      </w:r>
    </w:p>
    <w:p>
      <w:pPr>
        <w:spacing w:after="0" w:line="2" w:lineRule="exact"/>
        <w:rPr>
          <w:sz w:val="20"/>
          <w:szCs w:val="20"/>
          <w:color w:val="auto"/>
        </w:rPr>
      </w:pP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and conditions applicable to this grant will be determined through final and binding arbitration, in accordance with USHR 2-32, provided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br w:type="column"/>
      </w:r>
    </w:p>
    <w:p>
      <w:pPr>
        <w:ind w:left="2" w:right="100"/>
        <w:spacing w:after="0" w:line="229" w:lineRule="auto"/>
        <w:rPr>
          <w:sz w:val="20"/>
          <w:szCs w:val="20"/>
          <w:color w:val="auto"/>
        </w:rPr>
      </w:pPr>
      <w:r>
        <w:rPr>
          <w:rFonts w:ascii="Times New Roman" w:cs="Times New Roman" w:eastAsia="Times New Roman" w:hAnsi="Times New Roman"/>
          <w:sz w:val="17"/>
          <w:szCs w:val="17"/>
          <w:color w:val="auto"/>
        </w:rPr>
        <w:t>prevailing party in the arbitration shall be entitled to receive from the losing party reasonably incurred attorneys’ fees and costs. You and the Company agree that any arbitration hearing and related proceedings</w:t>
      </w:r>
    </w:p>
    <w:p>
      <w:pPr>
        <w:ind w:left="2" w:right="20"/>
        <w:spacing w:after="0" w:line="220" w:lineRule="auto"/>
        <w:rPr>
          <w:sz w:val="20"/>
          <w:szCs w:val="20"/>
          <w:color w:val="auto"/>
        </w:rPr>
      </w:pPr>
      <w:r>
        <w:rPr>
          <w:rFonts w:ascii="Times New Roman" w:cs="Times New Roman" w:eastAsia="Times New Roman" w:hAnsi="Times New Roman"/>
          <w:sz w:val="17"/>
          <w:szCs w:val="17"/>
          <w:color w:val="auto"/>
        </w:rPr>
        <w:t>shall be convened and conducted in Falls Church, VA. If you or the Company believes they require immediate relief to enforce or challenge this Agreement, before arbitration is commenced or concluded, either</w:t>
      </w:r>
    </w:p>
    <w:p>
      <w:pPr>
        <w:spacing w:after="0" w:line="2" w:lineRule="exact"/>
        <w:rPr>
          <w:sz w:val="20"/>
          <w:szCs w:val="20"/>
          <w:color w:val="auto"/>
        </w:rPr>
      </w:pPr>
    </w:p>
    <w:p>
      <w:pPr>
        <w:ind w:left="2" w:right="80"/>
        <w:spacing w:after="0" w:line="220" w:lineRule="auto"/>
        <w:rPr>
          <w:sz w:val="20"/>
          <w:szCs w:val="20"/>
          <w:color w:val="auto"/>
        </w:rPr>
      </w:pPr>
      <w:r>
        <w:rPr>
          <w:rFonts w:ascii="Times New Roman" w:cs="Times New Roman" w:eastAsia="Times New Roman" w:hAnsi="Times New Roman"/>
          <w:sz w:val="17"/>
          <w:szCs w:val="17"/>
          <w:color w:val="auto"/>
        </w:rPr>
        <w:t>party may seek injunctive or other provisional equitable relief from a state or federal court in the Commonwealth of Virginia. All court actions or proceedings arising under this Agreement shall be heard in a</w:t>
      </w:r>
    </w:p>
    <w:p>
      <w:pPr>
        <w:spacing w:after="0" w:line="2" w:lineRule="exact"/>
        <w:rPr>
          <w:sz w:val="20"/>
          <w:szCs w:val="20"/>
          <w:color w:val="auto"/>
        </w:rPr>
      </w:pPr>
    </w:p>
    <w:p>
      <w:pPr>
        <w:ind w:left="2" w:right="60"/>
        <w:spacing w:after="0" w:line="220" w:lineRule="auto"/>
        <w:rPr>
          <w:sz w:val="20"/>
          <w:szCs w:val="20"/>
          <w:color w:val="auto"/>
        </w:rPr>
      </w:pPr>
      <w:r>
        <w:rPr>
          <w:rFonts w:ascii="Times New Roman" w:cs="Times New Roman" w:eastAsia="Times New Roman" w:hAnsi="Times New Roman"/>
          <w:sz w:val="17"/>
          <w:szCs w:val="17"/>
          <w:color w:val="auto"/>
        </w:rPr>
        <w:t>state or federal court in the Commonwealth of Virginia. The Company and you hereby agree to the jurisdiction of the state and federal courts in the Commonwealth of Virginia and waive any right to object to such</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actions on grounds of venue, jurisdiction or convenience.</w:t>
      </w:r>
    </w:p>
    <w:p>
      <w:pPr>
        <w:spacing w:after="0" w:line="120" w:lineRule="exact"/>
        <w:rPr>
          <w:sz w:val="20"/>
          <w:szCs w:val="20"/>
          <w:color w:val="auto"/>
        </w:rPr>
      </w:pPr>
    </w:p>
    <w:p>
      <w:pPr>
        <w:ind w:left="382" w:hanging="382"/>
        <w:spacing w:after="0"/>
        <w:tabs>
          <w:tab w:leader="none" w:pos="382"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Committee Authority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2" w:right="20" w:firstLine="405"/>
        <w:spacing w:after="0" w:line="236" w:lineRule="auto"/>
        <w:rPr>
          <w:sz w:val="20"/>
          <w:szCs w:val="20"/>
          <w:color w:val="auto"/>
        </w:rPr>
      </w:pPr>
      <w:r>
        <w:rPr>
          <w:rFonts w:ascii="Times New Roman" w:cs="Times New Roman" w:eastAsia="Times New Roman" w:hAnsi="Times New Roman"/>
          <w:sz w:val="17"/>
          <w:szCs w:val="17"/>
          <w:color w:val="auto"/>
        </w:rPr>
        <w:t>The Committee has the discretionary authority to determine any questions as to the date when the Grantee’s employment terminated and</w:t>
      </w:r>
    </w:p>
    <w:p>
      <w:pPr>
        <w:ind w:left="2" w:right="120"/>
        <w:spacing w:after="0" w:line="208" w:lineRule="auto"/>
        <w:rPr>
          <w:sz w:val="20"/>
          <w:szCs w:val="20"/>
          <w:color w:val="auto"/>
        </w:rPr>
      </w:pPr>
      <w:r>
        <w:rPr>
          <w:rFonts w:ascii="Times New Roman" w:cs="Times New Roman" w:eastAsia="Times New Roman" w:hAnsi="Times New Roman"/>
          <w:sz w:val="18"/>
          <w:szCs w:val="18"/>
          <w:color w:val="auto"/>
        </w:rPr>
        <w:t>the cause of such termination and to interpret any provision of this Agreement, the Grant Letter, the Stock Plan System, the Plan, and any other applicable rules. Any action taken by, or inaction of, the</w:t>
      </w:r>
    </w:p>
    <w:p>
      <w:pPr>
        <w:spacing w:after="0" w:line="2" w:lineRule="exact"/>
        <w:rPr>
          <w:sz w:val="20"/>
          <w:szCs w:val="20"/>
          <w:color w:val="auto"/>
        </w:rPr>
      </w:pPr>
    </w:p>
    <w:p>
      <w:pPr>
        <w:ind w:left="2" w:right="40"/>
        <w:spacing w:after="0" w:line="220" w:lineRule="auto"/>
        <w:rPr>
          <w:sz w:val="20"/>
          <w:szCs w:val="20"/>
          <w:color w:val="auto"/>
        </w:rPr>
      </w:pPr>
      <w:r>
        <w:rPr>
          <w:rFonts w:ascii="Times New Roman" w:cs="Times New Roman" w:eastAsia="Times New Roman" w:hAnsi="Times New Roman"/>
          <w:sz w:val="17"/>
          <w:szCs w:val="17"/>
          <w:color w:val="auto"/>
        </w:rPr>
        <w:t>Committee relating to or pursuant to this Agreement, the Grant Letter, the Stock Plan System, the Plan, or any other applicable rules shall be within the absolute discretion of the Committee and shall be conclusive</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and binding on all persons.</w:t>
      </w:r>
    </w:p>
    <w:p>
      <w:pPr>
        <w:spacing w:after="0" w:line="120" w:lineRule="exact"/>
        <w:rPr>
          <w:sz w:val="20"/>
          <w:szCs w:val="20"/>
          <w:color w:val="auto"/>
        </w:rPr>
      </w:pPr>
    </w:p>
    <w:p>
      <w:pPr>
        <w:ind w:left="402" w:hanging="402"/>
        <w:spacing w:after="0"/>
        <w:tabs>
          <w:tab w:leader="none" w:pos="40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Plan; Amendment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2" w:right="20" w:firstLine="405"/>
        <w:spacing w:after="0" w:line="236" w:lineRule="auto"/>
        <w:rPr>
          <w:sz w:val="20"/>
          <w:szCs w:val="20"/>
          <w:color w:val="auto"/>
        </w:rPr>
      </w:pPr>
      <w:r>
        <w:rPr>
          <w:rFonts w:ascii="Times New Roman" w:cs="Times New Roman" w:eastAsia="Times New Roman" w:hAnsi="Times New Roman"/>
          <w:sz w:val="17"/>
          <w:szCs w:val="17"/>
          <w:color w:val="auto"/>
        </w:rPr>
        <w:t>The RPSRs (and related Dividend Equivalents) subject to the award are governed by, and the Grantee’s rights are subject to, all of the</w:t>
      </w:r>
    </w:p>
    <w:p>
      <w:pPr>
        <w:ind w:left="2" w:right="200"/>
        <w:spacing w:after="0" w:line="220" w:lineRule="auto"/>
        <w:rPr>
          <w:sz w:val="20"/>
          <w:szCs w:val="20"/>
          <w:color w:val="auto"/>
        </w:rPr>
      </w:pPr>
      <w:r>
        <w:rPr>
          <w:rFonts w:ascii="Times New Roman" w:cs="Times New Roman" w:eastAsia="Times New Roman" w:hAnsi="Times New Roman"/>
          <w:sz w:val="17"/>
          <w:szCs w:val="17"/>
          <w:color w:val="auto"/>
        </w:rPr>
        <w:t>terms and conditions of the Plan and any other rules adopted by the Committee, as the foregoing may be amended from time to time. The Grantee shall have no rights with respect to any amendment of this</w:t>
      </w:r>
    </w:p>
    <w:p>
      <w:pPr>
        <w:spacing w:after="0" w:line="2" w:lineRule="exact"/>
        <w:rPr>
          <w:sz w:val="20"/>
          <w:szCs w:val="20"/>
          <w:color w:val="auto"/>
        </w:rPr>
      </w:pPr>
    </w:p>
    <w:p>
      <w:pPr>
        <w:jc w:val="both"/>
        <w:ind w:left="2" w:right="60"/>
        <w:spacing w:after="0" w:line="208" w:lineRule="auto"/>
        <w:rPr>
          <w:sz w:val="20"/>
          <w:szCs w:val="20"/>
          <w:color w:val="auto"/>
        </w:rPr>
      </w:pPr>
      <w:r>
        <w:rPr>
          <w:rFonts w:ascii="Times New Roman" w:cs="Times New Roman" w:eastAsia="Times New Roman" w:hAnsi="Times New Roman"/>
          <w:sz w:val="18"/>
          <w:szCs w:val="18"/>
          <w:color w:val="auto"/>
        </w:rPr>
        <w:t>Agreement or the Plan unless such amendment is in writing and signed by a duly authorized officer of the Company. In the event of a conflict between the provisions of the Grant Letter and/or the Stock Plan</w:t>
      </w:r>
    </w:p>
    <w:p>
      <w:pPr>
        <w:spacing w:after="0" w:line="2" w:lineRule="exact"/>
        <w:rPr>
          <w:sz w:val="20"/>
          <w:szCs w:val="20"/>
          <w:color w:val="auto"/>
        </w:rPr>
      </w:pPr>
    </w:p>
    <w:p>
      <w:pPr>
        <w:jc w:val="both"/>
        <w:ind w:left="2" w:right="500"/>
        <w:spacing w:after="0" w:line="218" w:lineRule="auto"/>
        <w:rPr>
          <w:sz w:val="20"/>
          <w:szCs w:val="20"/>
          <w:color w:val="auto"/>
        </w:rPr>
      </w:pPr>
      <w:r>
        <w:rPr>
          <w:rFonts w:ascii="Times New Roman" w:cs="Times New Roman" w:eastAsia="Times New Roman" w:hAnsi="Times New Roman"/>
          <w:sz w:val="18"/>
          <w:szCs w:val="18"/>
          <w:color w:val="auto"/>
        </w:rPr>
        <w:t>System and the provisions of this Agreement and/or the Plan, the provisions of this Agreement and/or the Plan, as applicable, shall control.</w:t>
      </w:r>
    </w:p>
    <w:p>
      <w:pPr>
        <w:spacing w:after="0" w:line="127" w:lineRule="exact"/>
        <w:rPr>
          <w:sz w:val="20"/>
          <w:szCs w:val="20"/>
          <w:color w:val="auto"/>
        </w:rPr>
      </w:pPr>
    </w:p>
    <w:p>
      <w:pPr>
        <w:ind w:left="382" w:hanging="382"/>
        <w:spacing w:after="0"/>
        <w:tabs>
          <w:tab w:leader="none" w:pos="38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Required Holding Period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2" w:right="160" w:firstLine="180"/>
        <w:spacing w:after="0" w:line="216" w:lineRule="auto"/>
        <w:rPr>
          <w:sz w:val="20"/>
          <w:szCs w:val="20"/>
          <w:color w:val="auto"/>
        </w:rPr>
      </w:pPr>
      <w:r>
        <w:rPr>
          <w:rFonts w:ascii="Times New Roman" w:cs="Times New Roman" w:eastAsia="Times New Roman" w:hAnsi="Times New Roman"/>
          <w:sz w:val="18"/>
          <w:szCs w:val="18"/>
          <w:color w:val="auto"/>
        </w:rPr>
        <w:t>The holding requirements of this Section 11 shall apply to any Grantee who is an elected or appointed officer of the Company on the date any RPSRs are paid (or, if earlier, on the date the Grantee’s</w:t>
      </w:r>
    </w:p>
    <w:p>
      <w:pPr>
        <w:spacing w:after="0" w:line="1" w:lineRule="exact"/>
        <w:rPr>
          <w:sz w:val="20"/>
          <w:szCs w:val="20"/>
          <w:color w:val="auto"/>
        </w:rPr>
      </w:pPr>
    </w:p>
    <w:p>
      <w:pPr>
        <w:ind w:left="2"/>
        <w:spacing w:after="0" w:line="208" w:lineRule="auto"/>
        <w:rPr>
          <w:sz w:val="20"/>
          <w:szCs w:val="20"/>
          <w:color w:val="auto"/>
        </w:rPr>
      </w:pPr>
      <w:r>
        <w:rPr>
          <w:rFonts w:ascii="Times New Roman" w:cs="Times New Roman" w:eastAsia="Times New Roman" w:hAnsi="Times New Roman"/>
          <w:sz w:val="18"/>
          <w:szCs w:val="18"/>
          <w:color w:val="auto"/>
        </w:rPr>
        <w:t>employment by the Company and its subsidiaries terminates for any reason). Any Grantee subject to this Section 11 shall not be permitted to sell, transfer, anticipate, alienate, assign, pledge, encumber or charge</w:t>
      </w:r>
    </w:p>
    <w:p>
      <w:pPr>
        <w:spacing w:after="0" w:line="2" w:lineRule="exact"/>
        <w:rPr>
          <w:sz w:val="20"/>
          <w:szCs w:val="20"/>
          <w:color w:val="auto"/>
        </w:rPr>
      </w:pPr>
    </w:p>
    <w:p>
      <w:pPr>
        <w:ind w:left="2" w:right="40"/>
        <w:spacing w:after="0" w:line="220" w:lineRule="auto"/>
        <w:rPr>
          <w:sz w:val="20"/>
          <w:szCs w:val="20"/>
          <w:color w:val="auto"/>
        </w:rPr>
      </w:pPr>
      <w:r>
        <w:rPr>
          <w:rFonts w:ascii="Times New Roman" w:cs="Times New Roman" w:eastAsia="Times New Roman" w:hAnsi="Times New Roman"/>
          <w:sz w:val="17"/>
          <w:szCs w:val="17"/>
          <w:color w:val="auto"/>
        </w:rPr>
        <w:t>the number of shares equal to 50% of the total payout of Vested RPSRs (net of taxes withheld) until the earlier of (A) the third anniversary of the date such shares of Common Stock are paid to the Grantee, (B) the</w:t>
      </w:r>
    </w:p>
    <w:p>
      <w:pPr>
        <w:spacing w:after="0" w:line="2" w:lineRule="exact"/>
        <w:rPr>
          <w:sz w:val="20"/>
          <w:szCs w:val="20"/>
          <w:color w:val="auto"/>
        </w:rPr>
      </w:pPr>
    </w:p>
    <w:p>
      <w:pPr>
        <w:ind w:left="2" w:right="140"/>
        <w:spacing w:after="0" w:line="220" w:lineRule="auto"/>
        <w:rPr>
          <w:sz w:val="20"/>
          <w:szCs w:val="20"/>
          <w:color w:val="auto"/>
        </w:rPr>
      </w:pPr>
      <w:r>
        <w:rPr>
          <w:rFonts w:ascii="Times New Roman" w:cs="Times New Roman" w:eastAsia="Times New Roman" w:hAnsi="Times New Roman"/>
          <w:sz w:val="17"/>
          <w:szCs w:val="17"/>
          <w:color w:val="auto"/>
        </w:rPr>
        <w:t>date the Grantee’s employment by the Company and its subsidiaries terminates due to the Grantee’s death or Disability, (C) the occurrence of a Change in Control that results in termination and payment under</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Section 6.2 or 6.3 above, or (D) with</w:t>
      </w:r>
    </w:p>
    <w:p>
      <w:pPr>
        <w:sectPr>
          <w:pgSz w:w="11900" w:h="16838" w:orient="portrait"/>
          <w:cols w:equalWidth="0" w:num="2">
            <w:col w:w="5220" w:space="698"/>
            <w:col w:w="5182"/>
          </w:cols>
          <w:pgMar w:left="320" w:top="1143" w:right="479" w:bottom="1440" w:gutter="0" w:footer="0" w:header="0"/>
        </w:sectPr>
      </w:pPr>
    </w:p>
    <w:bookmarkStart w:id="49" w:name="page50"/>
    <w:bookmarkEnd w:id="49"/>
    <w:p>
      <w:pPr>
        <w:spacing w:after="0" w:line="4"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respected to Grantee’s entering a U.S. federal government position only, the latest of (i) the date the Grantee’s employment with the Company terminates, or (ii) the date the Grantee formally accepts the government</w:t>
      </w:r>
    </w:p>
    <w:p>
      <w:pPr>
        <w:ind w:right="120"/>
        <w:spacing w:after="0" w:line="208" w:lineRule="auto"/>
        <w:rPr>
          <w:sz w:val="20"/>
          <w:szCs w:val="20"/>
          <w:color w:val="auto"/>
        </w:rPr>
      </w:pPr>
      <w:r>
        <w:rPr>
          <w:rFonts w:ascii="Times New Roman" w:cs="Times New Roman" w:eastAsia="Times New Roman" w:hAnsi="Times New Roman"/>
          <w:sz w:val="18"/>
          <w:szCs w:val="18"/>
          <w:color w:val="auto"/>
        </w:rPr>
        <w:t>position in writing, or (iii) the date the government confirms the Grantee (for positions requiring nomination and confirmation). Should the Grantee’s employment by the Company and its subsidiaries</w:t>
      </w:r>
    </w:p>
    <w:p>
      <w:pPr>
        <w:spacing w:after="0" w:line="2" w:lineRule="exact"/>
        <w:rPr>
          <w:sz w:val="20"/>
          <w:szCs w:val="20"/>
          <w:color w:val="auto"/>
        </w:rPr>
      </w:pPr>
    </w:p>
    <w:p>
      <w:pPr>
        <w:jc w:val="both"/>
        <w:ind w:right="140"/>
        <w:spacing w:after="0" w:line="220" w:lineRule="auto"/>
        <w:rPr>
          <w:sz w:val="20"/>
          <w:szCs w:val="20"/>
          <w:color w:val="auto"/>
        </w:rPr>
      </w:pPr>
      <w:r>
        <w:rPr>
          <w:rFonts w:ascii="Times New Roman" w:cs="Times New Roman" w:eastAsia="Times New Roman" w:hAnsi="Times New Roman"/>
          <w:sz w:val="17"/>
          <w:szCs w:val="17"/>
          <w:color w:val="auto"/>
        </w:rPr>
        <w:t>terminate (regardless of the reason for such termination, but other than due to the Grantee’s death or Disability or a Change in Control related termination under Section 6.2 or entering a U.S. federal government</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position), such holding period requirement shall not apply as to any shares acquired upon payment of RPSRs to the extent such payment is made more than one year after such termination of employment. (For</w:t>
      </w:r>
    </w:p>
    <w:p>
      <w:pPr>
        <w:spacing w:after="0" w:line="2" w:lineRule="exact"/>
        <w:rPr>
          <w:sz w:val="20"/>
          <w:szCs w:val="20"/>
          <w:color w:val="auto"/>
        </w:rPr>
      </w:pPr>
    </w:p>
    <w:p>
      <w:pPr>
        <w:ind w:right="460"/>
        <w:spacing w:after="0" w:line="211" w:lineRule="auto"/>
        <w:rPr>
          <w:sz w:val="20"/>
          <w:szCs w:val="20"/>
          <w:color w:val="auto"/>
        </w:rPr>
      </w:pPr>
      <w:r>
        <w:rPr>
          <w:rFonts w:ascii="Times New Roman" w:cs="Times New Roman" w:eastAsia="Times New Roman" w:hAnsi="Times New Roman"/>
          <w:sz w:val="18"/>
          <w:szCs w:val="18"/>
          <w:color w:val="auto"/>
        </w:rPr>
        <w:t>purposes of clarity, in such circumstances the holding period requirement will apply as to any shares acquired upon payment of</w:t>
      </w:r>
    </w:p>
    <w:p>
      <w:pPr>
        <w:spacing w:after="0" w:line="1"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7"/>
          <w:szCs w:val="17"/>
          <w:color w:val="auto"/>
        </w:rPr>
        <w:t>RPSRs within one year after such a termination of employment.) For purposes of this Section 11, the total payout of Vested RPSRs shall be</w:t>
      </w:r>
    </w:p>
    <w:p>
      <w:pPr>
        <w:spacing w:after="0" w:line="1"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determined on a net basis after taking into account any shares otherwise deliverable with respect to the award that the Company withholds to satisfy tax obligations pursuant to Section 7.1. If Grantee is paid less</w:t>
      </w:r>
    </w:p>
    <w:p>
      <w:pPr>
        <w:spacing w:after="0" w:line="2"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8"/>
          <w:szCs w:val="18"/>
          <w:color w:val="auto"/>
        </w:rPr>
        <w:t>than 50% of the total payout of Vested RPSRs (net of taxes) in shares, then all of the shares received will be subject to the holding period requirements in this Section 11. Any shares of Common Stock</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received in respect of shares that are covered by the holding period requirements of this Section 11 (such as shares received in respect of a stock split or stock dividend) shall be subject to the same holding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as the shares to which they relate.</w:t>
      </w:r>
    </w:p>
    <w:p>
      <w:pPr>
        <w:spacing w:after="0" w:line="120" w:lineRule="exact"/>
        <w:rPr>
          <w:sz w:val="20"/>
          <w:szCs w:val="20"/>
          <w:color w:val="auto"/>
        </w:rPr>
      </w:pPr>
    </w:p>
    <w:p>
      <w:pPr>
        <w:ind w:left="400" w:hanging="392"/>
        <w:spacing w:after="0"/>
        <w:tabs>
          <w:tab w:leader="none" w:pos="4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405"/>
        <w:spacing w:after="0" w:line="236" w:lineRule="auto"/>
        <w:rPr>
          <w:sz w:val="20"/>
          <w:szCs w:val="20"/>
          <w:color w:val="auto"/>
        </w:rPr>
      </w:pPr>
      <w:r>
        <w:rPr>
          <w:rFonts w:ascii="Times New Roman" w:cs="Times New Roman" w:eastAsia="Times New Roman" w:hAnsi="Times New Roman"/>
          <w:sz w:val="17"/>
          <w:szCs w:val="17"/>
          <w:color w:val="auto"/>
        </w:rPr>
        <w:t>Whenever used in this Agreement, the following terms shall have the meanings set forth below and, when the meaning is intended, the</w:t>
      </w:r>
    </w:p>
    <w:p>
      <w:pPr>
        <w:spacing w:after="0"/>
        <w:rPr>
          <w:sz w:val="20"/>
          <w:szCs w:val="20"/>
          <w:color w:val="auto"/>
        </w:rPr>
      </w:pPr>
      <w:r>
        <w:rPr>
          <w:rFonts w:ascii="Times New Roman" w:cs="Times New Roman" w:eastAsia="Times New Roman" w:hAnsi="Times New Roman"/>
          <w:sz w:val="18"/>
          <w:szCs w:val="18"/>
          <w:color w:val="auto"/>
        </w:rPr>
        <w:t>initial letter of the word is capitalized:</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either or both of the following:</w:t>
      </w:r>
    </w:p>
    <w:p>
      <w:pPr>
        <w:spacing w:after="0" w:line="162" w:lineRule="exact"/>
        <w:rPr>
          <w:sz w:val="20"/>
          <w:szCs w:val="20"/>
          <w:color w:val="auto"/>
        </w:rPr>
      </w:pPr>
    </w:p>
    <w:p>
      <w:pPr>
        <w:ind w:left="580" w:right="140" w:hanging="329"/>
        <w:spacing w:after="0" w:line="220" w:lineRule="auto"/>
        <w:tabs>
          <w:tab w:leader="none" w:pos="60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31" w:lineRule="exact"/>
        <w:rPr>
          <w:rFonts w:ascii="Times New Roman" w:cs="Times New Roman" w:eastAsia="Times New Roman" w:hAnsi="Times New Roman"/>
          <w:sz w:val="18"/>
          <w:szCs w:val="18"/>
          <w:color w:val="auto"/>
        </w:rPr>
      </w:pPr>
    </w:p>
    <w:p>
      <w:pPr>
        <w:ind w:left="580" w:right="60" w:hanging="329"/>
        <w:spacing w:after="0" w:line="217" w:lineRule="auto"/>
        <w:tabs>
          <w:tab w:leader="none" w:pos="65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is used as defined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br w:type="column"/>
      </w:r>
    </w:p>
    <w:p>
      <w:pPr>
        <w:ind w:right="100" w:firstLine="405"/>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28" w:lineRule="exact"/>
        <w:rPr>
          <w:sz w:val="20"/>
          <w:szCs w:val="20"/>
          <w:color w:val="auto"/>
        </w:rPr>
      </w:pPr>
    </w:p>
    <w:p>
      <w:pPr>
        <w:ind w:right="60" w:firstLine="405"/>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Company’s Compensation and Human Capital Committee or any successor committee appointed by the Board to administer the Plan.</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Company’s common stock.</w:t>
      </w:r>
    </w:p>
    <w:p>
      <w:pPr>
        <w:spacing w:after="0" w:line="158" w:lineRule="exact"/>
        <w:rPr>
          <w:sz w:val="20"/>
          <w:szCs w:val="20"/>
          <w:color w:val="auto"/>
        </w:rPr>
      </w:pPr>
    </w:p>
    <w:p>
      <w:pPr>
        <w:ind w:firstLine="405"/>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Disability</w:t>
      </w:r>
      <w:r>
        <w:rPr>
          <w:rFonts w:ascii="Times New Roman" w:cs="Times New Roman" w:eastAsia="Times New Roman" w:hAnsi="Times New Roman"/>
          <w:sz w:val="17"/>
          <w:szCs w:val="17"/>
          <w:color w:val="auto"/>
        </w:rPr>
        <w:t>” means, with respect to a Grantee, that the Grantee: (i) is unable to engage in any substantial gainful activity by reason of any medically determinable physical or mental impairment which can be</w:t>
      </w:r>
    </w:p>
    <w:p>
      <w:pPr>
        <w:spacing w:after="0" w:line="2"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7"/>
          <w:szCs w:val="17"/>
          <w:color w:val="auto"/>
        </w:rPr>
        <w:t>expected to result in death or can be expected to last for a continuous period of not less than twelve months; or (ii) is, by reason of any medically determinable physical or mental impairment which can be</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expected to result in death or can be expected to last for a continuous period of not less than twelve months, receiving income replacement benefits for a period of not less than three months under an accident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 plan covering employees of the Grantee’s employer.</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Early Retirement</w:t>
      </w:r>
      <w:r>
        <w:rPr>
          <w:rFonts w:ascii="Times New Roman" w:cs="Times New Roman" w:eastAsia="Times New Roman" w:hAnsi="Times New Roman"/>
          <w:sz w:val="18"/>
          <w:szCs w:val="18"/>
          <w:color w:val="auto"/>
        </w:rPr>
        <w:t>” means that the Grantee’s employment</w:t>
      </w:r>
    </w:p>
    <w:p>
      <w:pPr>
        <w:spacing w:after="0" w:line="6"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terminates in any of the following circumstances, and other than a termination of employment that constitutes a Normal Retirement or occurs in connection with a termination by the Company or a subsidiary</w:t>
      </w:r>
    </w:p>
    <w:p>
      <w:pPr>
        <w:spacing w:after="0" w:line="205" w:lineRule="auto"/>
        <w:rPr>
          <w:sz w:val="20"/>
          <w:szCs w:val="20"/>
          <w:color w:val="auto"/>
        </w:rPr>
      </w:pPr>
      <w:r>
        <w:rPr>
          <w:rFonts w:ascii="Times New Roman" w:cs="Times New Roman" w:eastAsia="Times New Roman" w:hAnsi="Times New Roman"/>
          <w:sz w:val="18"/>
          <w:szCs w:val="18"/>
          <w:color w:val="auto"/>
        </w:rPr>
        <w:t>for Cause:</w:t>
      </w:r>
    </w:p>
    <w:p>
      <w:pPr>
        <w:spacing w:after="0" w:line="1" w:lineRule="exact"/>
        <w:rPr>
          <w:sz w:val="20"/>
          <w:szCs w:val="20"/>
          <w:color w:val="auto"/>
        </w:rPr>
      </w:pPr>
    </w:p>
    <w:p>
      <w:pPr>
        <w:ind w:right="80" w:firstLine="178"/>
        <w:spacing w:after="0" w:line="211" w:lineRule="auto"/>
        <w:tabs>
          <w:tab w:leader="none" w:pos="57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after the Grantee has attained age 55 with at least 10 years of service.</w:t>
      </w:r>
    </w:p>
    <w:p>
      <w:pPr>
        <w:ind w:firstLine="178"/>
        <w:spacing w:after="0" w:line="208" w:lineRule="auto"/>
        <w:tabs>
          <w:tab w:leader="none" w:pos="5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Grantee has attained age 53 with at least 10 years of service.</w:t>
      </w:r>
    </w:p>
    <w:p>
      <w:pPr>
        <w:spacing w:after="0" w:line="1" w:lineRule="exact"/>
        <w:rPr>
          <w:rFonts w:ascii="Times New Roman" w:cs="Times New Roman" w:eastAsia="Times New Roman" w:hAnsi="Times New Roman"/>
          <w:sz w:val="18"/>
          <w:szCs w:val="18"/>
          <w:color w:val="auto"/>
        </w:rPr>
      </w:pPr>
    </w:p>
    <w:p>
      <w:pPr>
        <w:ind w:right="40" w:firstLine="403"/>
        <w:spacing w:after="0" w:line="218" w:lineRule="auto"/>
        <w:tabs>
          <w:tab w:leader="none" w:pos="85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sum of the Grantee’s age and years of service is at least 75.</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is used as defined in the Plan; provided,</w:t>
      </w:r>
    </w:p>
    <w:p>
      <w:pPr>
        <w:spacing w:after="0" w:line="6" w:lineRule="exact"/>
        <w:rPr>
          <w:sz w:val="20"/>
          <w:szCs w:val="20"/>
          <w:color w:val="auto"/>
        </w:rPr>
      </w:pPr>
    </w:p>
    <w:p>
      <w:pPr>
        <w:jc w:val="both"/>
        <w:ind w:right="360"/>
        <w:spacing w:after="0" w:line="218" w:lineRule="auto"/>
        <w:rPr>
          <w:sz w:val="20"/>
          <w:szCs w:val="20"/>
          <w:color w:val="auto"/>
        </w:rPr>
      </w:pPr>
      <w:r>
        <w:rPr>
          <w:rFonts w:ascii="Times New Roman" w:cs="Times New Roman" w:eastAsia="Times New Roman" w:hAnsi="Times New Roman"/>
          <w:sz w:val="18"/>
          <w:szCs w:val="18"/>
          <w:color w:val="auto"/>
        </w:rPr>
        <w:t>however, the Committee in determining such Fair Market Value for purposes of the award may utilize such other exchange, market, or listing as it deems appropriate.</w:t>
      </w:r>
    </w:p>
    <w:p>
      <w:pPr>
        <w:spacing w:after="0" w:line="127" w:lineRule="exact"/>
        <w:rPr>
          <w:sz w:val="20"/>
          <w:szCs w:val="20"/>
          <w:color w:val="auto"/>
        </w:rPr>
      </w:pPr>
    </w:p>
    <w:p>
      <w:pPr>
        <w:ind w:right="320" w:firstLine="40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without the Grantee’s express written consent, the occurrence of any one or more of the following:</w:t>
      </w:r>
    </w:p>
    <w:p>
      <w:pPr>
        <w:spacing w:after="0" w:line="107" w:lineRule="exact"/>
        <w:rPr>
          <w:sz w:val="20"/>
          <w:szCs w:val="20"/>
          <w:color w:val="auto"/>
        </w:rPr>
      </w:pPr>
    </w:p>
    <w:p>
      <w:pPr>
        <w:ind w:left="560" w:right="140" w:hanging="319"/>
        <w:spacing w:after="0" w:line="213" w:lineRule="auto"/>
        <w:tabs>
          <w:tab w:leader="none" w:pos="57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w:t>
      </w:r>
    </w:p>
    <w:p>
      <w:pPr>
        <w:sectPr>
          <w:pgSz w:w="11900" w:h="16838" w:orient="portrait"/>
          <w:cols w:equalWidth="0" w:num="2">
            <w:col w:w="5220" w:space="700"/>
            <w:col w:w="5200"/>
          </w:cols>
          <w:pgMar w:left="320" w:top="1143" w:right="459" w:bottom="1440" w:gutter="0" w:footer="0" w:header="0"/>
        </w:sectPr>
      </w:pPr>
    </w:p>
    <w:bookmarkStart w:id="50" w:name="page51"/>
    <w:bookmarkEnd w:id="50"/>
    <w:p>
      <w:pPr>
        <w:spacing w:after="0" w:line="11" w:lineRule="exact"/>
        <w:rPr>
          <w:sz w:val="20"/>
          <w:szCs w:val="20"/>
          <w:color w:val="auto"/>
        </w:rPr>
      </w:pPr>
    </w:p>
    <w:p>
      <w:pPr>
        <w:ind w:left="360" w:right="280"/>
        <w:spacing w:after="0" w:line="229" w:lineRule="auto"/>
        <w:rPr>
          <w:sz w:val="20"/>
          <w:szCs w:val="20"/>
          <w:color w:val="auto"/>
        </w:rPr>
      </w:pPr>
      <w:r>
        <w:rPr>
          <w:rFonts w:ascii="Times New Roman" w:cs="Times New Roman" w:eastAsia="Times New Roman" w:hAnsi="Times New Roman"/>
          <w:sz w:val="17"/>
          <w:szCs w:val="17"/>
          <w:color w:val="auto"/>
        </w:rPr>
        <w:t>Grantee having not materially and substantially fewer authorities and responsibilities (taking into consideration the Company’s industry) when compared to the authorities and</w:t>
      </w:r>
    </w:p>
    <w:p>
      <w:pPr>
        <w:ind w:left="360" w:right="240"/>
        <w:spacing w:after="0" w:line="220" w:lineRule="auto"/>
        <w:rPr>
          <w:sz w:val="20"/>
          <w:szCs w:val="20"/>
          <w:color w:val="auto"/>
        </w:rPr>
      </w:pPr>
      <w:r>
        <w:rPr>
          <w:rFonts w:ascii="Times New Roman" w:cs="Times New Roman" w:eastAsia="Times New Roman" w:hAnsi="Times New Roman"/>
          <w:sz w:val="17"/>
          <w:szCs w:val="17"/>
          <w:color w:val="auto"/>
        </w:rPr>
        <w:t>responsibilities applicable to the position held by the Grantee immediately prior to the start of the Protected Period. The Company may retain a nationally-recognized executive</w:t>
      </w:r>
    </w:p>
    <w:p>
      <w:pPr>
        <w:spacing w:after="0" w:line="2" w:lineRule="exact"/>
        <w:rPr>
          <w:sz w:val="20"/>
          <w:szCs w:val="20"/>
          <w:color w:val="auto"/>
        </w:rPr>
      </w:pPr>
    </w:p>
    <w:p>
      <w:pPr>
        <w:ind w:left="360" w:right="220"/>
        <w:spacing w:after="0" w:line="218" w:lineRule="auto"/>
        <w:rPr>
          <w:sz w:val="20"/>
          <w:szCs w:val="20"/>
          <w:color w:val="auto"/>
        </w:rPr>
      </w:pPr>
      <w:r>
        <w:rPr>
          <w:rFonts w:ascii="Times New Roman" w:cs="Times New Roman" w:eastAsia="Times New Roman" w:hAnsi="Times New Roman"/>
          <w:sz w:val="18"/>
          <w:szCs w:val="18"/>
          <w:color w:val="auto"/>
        </w:rPr>
        <w:t>placement firm for purposes of making the determination required by the preceding sentence and the written opinion of the firm thus selected shall be conclusive as to this issue.</w:t>
      </w:r>
    </w:p>
    <w:p>
      <w:pPr>
        <w:spacing w:after="0" w:line="131" w:lineRule="exact"/>
        <w:rPr>
          <w:sz w:val="20"/>
          <w:szCs w:val="20"/>
          <w:color w:val="auto"/>
        </w:rPr>
      </w:pPr>
    </w:p>
    <w:p>
      <w:pPr>
        <w:ind w:left="360" w:right="20" w:hanging="143"/>
        <w:spacing w:after="0" w:line="236" w:lineRule="auto"/>
        <w:rPr>
          <w:sz w:val="20"/>
          <w:szCs w:val="20"/>
          <w:color w:val="auto"/>
        </w:rPr>
      </w:pPr>
      <w:r>
        <w:rPr>
          <w:rFonts w:ascii="Times New Roman" w:cs="Times New Roman" w:eastAsia="Times New Roman" w:hAnsi="Times New Roman"/>
          <w:sz w:val="17"/>
          <w:szCs w:val="17"/>
          <w:color w:val="auto"/>
        </w:rPr>
        <w:t>In addition, if the Grantee is a vice president, the Grantee’s loss of vice-president status will constitute “Good Reason”; provided</w:t>
      </w:r>
    </w:p>
    <w:p>
      <w:pPr>
        <w:ind w:left="360" w:right="140"/>
        <w:spacing w:after="0" w:line="220" w:lineRule="auto"/>
        <w:rPr>
          <w:sz w:val="20"/>
          <w:szCs w:val="20"/>
          <w:color w:val="auto"/>
        </w:rPr>
      </w:pPr>
      <w:r>
        <w:rPr>
          <w:rFonts w:ascii="Times New Roman" w:cs="Times New Roman" w:eastAsia="Times New Roman" w:hAnsi="Times New Roman"/>
          <w:sz w:val="17"/>
          <w:szCs w:val="17"/>
          <w:color w:val="auto"/>
        </w:rPr>
        <w:t>that the loss of the title of “vice president” will not, in and of itself, constitute Good Reason if the Grantee’s lack of a vice president title is generally consistent with the manner in which</w:t>
      </w:r>
    </w:p>
    <w:p>
      <w:pPr>
        <w:spacing w:after="0" w:line="2" w:lineRule="exact"/>
        <w:rPr>
          <w:sz w:val="20"/>
          <w:szCs w:val="20"/>
          <w:color w:val="auto"/>
        </w:rPr>
      </w:pPr>
    </w:p>
    <w:p>
      <w:pPr>
        <w:ind w:left="360" w:right="120"/>
        <w:spacing w:after="0" w:line="220" w:lineRule="auto"/>
        <w:rPr>
          <w:sz w:val="20"/>
          <w:szCs w:val="20"/>
          <w:color w:val="auto"/>
        </w:rPr>
      </w:pPr>
      <w:r>
        <w:rPr>
          <w:rFonts w:ascii="Times New Roman" w:cs="Times New Roman" w:eastAsia="Times New Roman" w:hAnsi="Times New Roman"/>
          <w:sz w:val="17"/>
          <w:szCs w:val="17"/>
          <w:color w:val="auto"/>
        </w:rPr>
        <w:t>the title of vice president is used within the Grantee’s business unit or if the loss of the title is the result of a promotion to a higher level office. For the purposes of the preceding sentence,</w:t>
      </w:r>
    </w:p>
    <w:p>
      <w:pPr>
        <w:spacing w:after="0" w:line="2" w:lineRule="exact"/>
        <w:rPr>
          <w:sz w:val="20"/>
          <w:szCs w:val="20"/>
          <w:color w:val="auto"/>
        </w:rPr>
      </w:pPr>
    </w:p>
    <w:p>
      <w:pPr>
        <w:ind w:left="360" w:right="40"/>
        <w:spacing w:after="0" w:line="220" w:lineRule="auto"/>
        <w:rPr>
          <w:sz w:val="20"/>
          <w:szCs w:val="20"/>
          <w:color w:val="auto"/>
        </w:rPr>
      </w:pPr>
      <w:r>
        <w:rPr>
          <w:rFonts w:ascii="Times New Roman" w:cs="Times New Roman" w:eastAsia="Times New Roman" w:hAnsi="Times New Roman"/>
          <w:sz w:val="17"/>
          <w:szCs w:val="17"/>
          <w:color w:val="auto"/>
        </w:rPr>
        <w:t>the Grantee’s lack of a vice-president title will only be considered generally consistent with the manner in which such title is used if most persons in the business unit with authorities,</w:t>
      </w:r>
    </w:p>
    <w:p>
      <w:pPr>
        <w:spacing w:after="0" w:line="2" w:lineRule="exact"/>
        <w:rPr>
          <w:sz w:val="20"/>
          <w:szCs w:val="20"/>
          <w:color w:val="auto"/>
        </w:rPr>
      </w:pPr>
    </w:p>
    <w:p>
      <w:pPr>
        <w:ind w:left="360" w:right="20"/>
        <w:spacing w:after="0" w:line="218" w:lineRule="auto"/>
        <w:rPr>
          <w:sz w:val="20"/>
          <w:szCs w:val="20"/>
          <w:color w:val="auto"/>
        </w:rPr>
      </w:pPr>
      <w:r>
        <w:rPr>
          <w:rFonts w:ascii="Times New Roman" w:cs="Times New Roman" w:eastAsia="Times New Roman" w:hAnsi="Times New Roman"/>
          <w:sz w:val="18"/>
          <w:szCs w:val="18"/>
          <w:color w:val="auto"/>
        </w:rPr>
        <w:t>duties, and responsibilities comparable to those of the Grantee immediately prior to the commencement of the Protected Period do not have the title of vice-president.</w:t>
      </w:r>
    </w:p>
    <w:p>
      <w:pPr>
        <w:spacing w:after="0" w:line="131" w:lineRule="exact"/>
        <w:rPr>
          <w:sz w:val="20"/>
          <w:szCs w:val="20"/>
          <w:color w:val="auto"/>
        </w:rPr>
      </w:pPr>
    </w:p>
    <w:p>
      <w:pPr>
        <w:ind w:left="360" w:right="40" w:hanging="329"/>
        <w:spacing w:after="0" w:line="237" w:lineRule="auto"/>
        <w:tabs>
          <w:tab w:leader="none" w:pos="426"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by the Company in the Grantee’s annualized rate of base salary as in effect on the first to occur of the start of the Performance Period or the start of the Protected Period, or as the same shall be increased from time to time.</w:t>
      </w:r>
    </w:p>
    <w:p>
      <w:pPr>
        <w:spacing w:after="0" w:line="132" w:lineRule="exact"/>
        <w:rPr>
          <w:rFonts w:ascii="Times New Roman" w:cs="Times New Roman" w:eastAsia="Times New Roman" w:hAnsi="Times New Roman"/>
          <w:sz w:val="17"/>
          <w:szCs w:val="17"/>
          <w:color w:val="auto"/>
        </w:rPr>
      </w:pPr>
    </w:p>
    <w:p>
      <w:pPr>
        <w:ind w:left="360" w:right="40" w:hanging="329"/>
        <w:spacing w:after="0" w:line="213" w:lineRule="auto"/>
        <w:tabs>
          <w:tab w:leader="none" w:pos="47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31" w:lineRule="exact"/>
        <w:rPr>
          <w:rFonts w:ascii="Times New Roman" w:cs="Times New Roman" w:eastAsia="Times New Roman" w:hAnsi="Times New Roman"/>
          <w:sz w:val="18"/>
          <w:szCs w:val="18"/>
          <w:color w:val="auto"/>
        </w:rPr>
      </w:pPr>
    </w:p>
    <w:p>
      <w:pPr>
        <w:ind w:left="360" w:hanging="329"/>
        <w:spacing w:after="0" w:line="215" w:lineRule="auto"/>
        <w:tabs>
          <w:tab w:leader="none" w:pos="46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Times New Roman" w:cs="Times New Roman" w:eastAsia="Times New Roman" w:hAnsi="Times New Roman"/>
          <w:sz w:val="18"/>
          <w:szCs w:val="18"/>
          <w:color w:val="auto"/>
        </w:rPr>
        <w:t>participation of other employees who have positions</w:t>
      </w:r>
    </w:p>
    <w:p>
      <w:pPr>
        <w:ind w:left="560"/>
        <w:spacing w:after="0" w:line="203" w:lineRule="auto"/>
        <w:rPr>
          <w:sz w:val="20"/>
          <w:szCs w:val="20"/>
          <w:color w:val="auto"/>
        </w:rPr>
      </w:pPr>
      <w:r>
        <w:rPr>
          <w:rFonts w:ascii="Times New Roman" w:cs="Times New Roman" w:eastAsia="Times New Roman" w:hAnsi="Times New Roman"/>
          <w:sz w:val="18"/>
          <w:szCs w:val="18"/>
          <w:color w:val="auto"/>
        </w:rPr>
        <w:t>commensurate with the position held by the Grantee</w:t>
      </w:r>
    </w:p>
    <w:p>
      <w:pPr>
        <w:ind w:left="560"/>
        <w:spacing w:after="0"/>
        <w:rPr>
          <w:sz w:val="20"/>
          <w:szCs w:val="20"/>
          <w:color w:val="auto"/>
        </w:rPr>
      </w:pPr>
      <w:r>
        <w:rPr>
          <w:rFonts w:ascii="Times New Roman" w:cs="Times New Roman" w:eastAsia="Times New Roman" w:hAnsi="Times New Roman"/>
          <w:sz w:val="18"/>
          <w:szCs w:val="18"/>
          <w:color w:val="auto"/>
        </w:rPr>
        <w:t>immediately prior to the start of the Protected Period.</w:t>
      </w:r>
    </w:p>
    <w:p>
      <w:pPr>
        <w:spacing w:after="0" w:line="138" w:lineRule="exact"/>
        <w:rPr>
          <w:sz w:val="20"/>
          <w:szCs w:val="20"/>
          <w:color w:val="auto"/>
        </w:rPr>
      </w:pPr>
    </w:p>
    <w:p>
      <w:pPr>
        <w:ind w:left="560" w:right="100" w:hanging="319"/>
        <w:spacing w:after="0" w:line="216" w:lineRule="auto"/>
        <w:tabs>
          <w:tab w:leader="none" w:pos="62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Grantee’s right to terminate employment for Good Reason</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shall not be affected by the Grantee’s incapacity due to physical or mental illness. The Grantee’s continued employment shall not constitute a consent to, or a waiver of rights with respect to, any circumstances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constituting Good Reason herein.</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Service Retirement</w:t>
      </w:r>
      <w:r>
        <w:rPr>
          <w:rFonts w:ascii="Times New Roman" w:cs="Times New Roman" w:eastAsia="Times New Roman" w:hAnsi="Times New Roman"/>
          <w:sz w:val="18"/>
          <w:szCs w:val="18"/>
          <w:color w:val="auto"/>
        </w:rPr>
        <w:t>” means a Retirement by the</w:t>
      </w:r>
    </w:p>
    <w:p>
      <w:pPr>
        <w:spacing w:after="0" w:line="6"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Grantee where the Grantee accepts a position in the federal government or a state or local government and an accelerated distribution under the award is permitted under Code Section 409A based on such government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and related ethics rules.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“Normal Retirement</w:t>
      </w:r>
      <w:r>
        <w:rPr>
          <w:rFonts w:ascii="Times New Roman" w:cs="Times New Roman" w:eastAsia="Times New Roman" w:hAnsi="Times New Roman"/>
          <w:sz w:val="18"/>
          <w:szCs w:val="18"/>
          <w:color w:val="auto"/>
        </w:rPr>
        <w:t>” means that the Grantee terminates</w:t>
      </w:r>
    </w:p>
    <w:p>
      <w:pPr>
        <w:spacing w:after="0" w:line="6"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employment after attaining age 65 with at least 10 years of service (other than in connection with a termination by the Company or a subsidiary for Cause). In the case of a Grantee who is an officer of the</w:t>
      </w:r>
    </w:p>
    <w:p>
      <w:pPr>
        <w:spacing w:after="0" w:line="2" w:lineRule="exact"/>
        <w:rPr>
          <w:sz w:val="20"/>
          <w:szCs w:val="20"/>
          <w:color w:val="auto"/>
        </w:rPr>
      </w:pPr>
    </w:p>
    <w:p>
      <w:pPr>
        <w:jc w:val="both"/>
        <w:ind w:right="340"/>
        <w:spacing w:after="0" w:line="220" w:lineRule="auto"/>
        <w:rPr>
          <w:sz w:val="20"/>
          <w:szCs w:val="20"/>
          <w:color w:val="auto"/>
        </w:rPr>
      </w:pPr>
      <w:r>
        <w:rPr>
          <w:rFonts w:ascii="Times New Roman" w:cs="Times New Roman" w:eastAsia="Times New Roman" w:hAnsi="Times New Roman"/>
          <w:sz w:val="17"/>
          <w:szCs w:val="17"/>
          <w:color w:val="auto"/>
        </w:rPr>
        <w:t>Company subject to the Company’s mandatory retirement at age 65 policy and who, at the applicable time, is not otherwise eligible for Normal Retirement as defined in the preceding sentence, “Normal</w:t>
      </w:r>
    </w:p>
    <w:p>
      <w:pPr>
        <w:spacing w:after="0" w:line="2" w:lineRule="exact"/>
        <w:rPr>
          <w:sz w:val="20"/>
          <w:szCs w:val="20"/>
          <w:color w:val="auto"/>
        </w:rPr>
      </w:pP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Retirement” as to that Grantee means that the Grantee’s employment is terminated pursuant to such mandatory retirement policy (regardless of the Grantee’s years of service and other than in connection with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by the Company or a subsidiary for Cause).</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used as defined in the Plan.</w:t>
      </w:r>
    </w:p>
    <w:p>
      <w:pPr>
        <w:spacing w:after="0" w:line="158" w:lineRule="exact"/>
        <w:rPr>
          <w:sz w:val="20"/>
          <w:szCs w:val="20"/>
          <w:color w:val="auto"/>
        </w:rPr>
      </w:pPr>
    </w:p>
    <w:p>
      <w:pPr>
        <w:ind w:right="60" w:firstLine="405"/>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Northrop Grumman 2011 Long-Term Incentive Stock Plan, as it may be amended form time to time.</w:t>
      </w:r>
    </w:p>
    <w:p>
      <w:pPr>
        <w:spacing w:after="0" w:line="128" w:lineRule="exact"/>
        <w:rPr>
          <w:sz w:val="20"/>
          <w:szCs w:val="20"/>
          <w:color w:val="auto"/>
        </w:rPr>
      </w:pPr>
    </w:p>
    <w:p>
      <w:pPr>
        <w:ind w:right="60" w:firstLine="405"/>
        <w:spacing w:after="0" w:line="225"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Protected Period</w:t>
      </w:r>
      <w:r>
        <w:rPr>
          <w:rFonts w:ascii="Times New Roman" w:cs="Times New Roman" w:eastAsia="Times New Roman" w:hAnsi="Times New Roman"/>
          <w:sz w:val="18"/>
          <w:szCs w:val="18"/>
          <w:color w:val="auto"/>
        </w:rPr>
        <w:t>” corresponding to a Change in Control of the Company shall be a period of time determined in accordance with</w:t>
      </w:r>
    </w:p>
    <w:p>
      <w:pPr>
        <w:spacing w:after="0"/>
        <w:rPr>
          <w:sz w:val="20"/>
          <w:szCs w:val="20"/>
          <w:color w:val="auto"/>
        </w:rPr>
      </w:pPr>
      <w:r>
        <w:rPr>
          <w:rFonts w:ascii="Times New Roman" w:cs="Times New Roman" w:eastAsia="Times New Roman" w:hAnsi="Times New Roman"/>
          <w:sz w:val="18"/>
          <w:szCs w:val="18"/>
          <w:color w:val="auto"/>
        </w:rPr>
        <w:t>the following:</w:t>
      </w:r>
    </w:p>
    <w:p>
      <w:pPr>
        <w:spacing w:after="0" w:line="124" w:lineRule="exact"/>
        <w:rPr>
          <w:sz w:val="20"/>
          <w:szCs w:val="20"/>
          <w:color w:val="auto"/>
        </w:rPr>
      </w:pPr>
    </w:p>
    <w:p>
      <w:pPr>
        <w:ind w:left="560" w:hanging="319"/>
        <w:spacing w:after="0" w:line="217" w:lineRule="auto"/>
        <w:tabs>
          <w:tab w:leader="none" w:pos="58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ectPr>
          <w:pgSz w:w="11900" w:h="16838" w:orient="portrait"/>
          <w:cols w:equalWidth="0" w:num="2">
            <w:col w:w="5000" w:space="700"/>
            <w:col w:w="5200"/>
          </w:cols>
          <w:pgMar w:left="540" w:top="1136" w:right="459" w:bottom="1440" w:gutter="0" w:footer="0" w:header="0"/>
        </w:sectPr>
      </w:pPr>
    </w:p>
    <w:bookmarkStart w:id="51" w:name="page52"/>
    <w:bookmarkEnd w:id="51"/>
    <w:p>
      <w:pPr>
        <w:ind w:left="360" w:hanging="329"/>
        <w:spacing w:after="0" w:line="214" w:lineRule="auto"/>
        <w:tabs>
          <w:tab w:leader="none" w:pos="4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br w:type="column"/>
      </w:r>
    </w:p>
    <w:p>
      <w:pPr>
        <w:ind w:left="700" w:hanging="459"/>
        <w:spacing w:after="0"/>
        <w:tabs>
          <w:tab w:leader="none" w:pos="7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Change in Control not described in clause</w:t>
      </w:r>
    </w:p>
    <w:p>
      <w:pPr>
        <w:jc w:val="both"/>
        <w:ind w:left="560" w:right="60" w:firstLine="5"/>
        <w:spacing w:after="0" w:line="218" w:lineRule="auto"/>
        <w:tabs>
          <w:tab w:leader="none" w:pos="77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the Protected Period shall commence on the date that is six (6) months prior to the Change in Control and shall continue through and include the date of the Change in Control.</w:t>
      </w:r>
    </w:p>
    <w:p>
      <w:pPr>
        <w:spacing w:after="0" w:line="128" w:lineRule="exact"/>
        <w:rPr>
          <w:sz w:val="20"/>
          <w:szCs w:val="20"/>
          <w:color w:val="auto"/>
        </w:rPr>
      </w:pPr>
    </w:p>
    <w:p>
      <w:pPr>
        <w:jc w:val="both"/>
        <w:ind w:right="60" w:firstLine="405"/>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Successor</w:t>
      </w:r>
      <w:r>
        <w:rPr>
          <w:rFonts w:ascii="Times New Roman" w:cs="Times New Roman" w:eastAsia="Times New Roman" w:hAnsi="Times New Roman"/>
          <w:sz w:val="17"/>
          <w:szCs w:val="17"/>
          <w:color w:val="auto"/>
        </w:rPr>
        <w:t>” means the person acquiring a Grantee’s rights to a grant under the Plan by will or by the laws of descent or distribution.</w:t>
      </w:r>
    </w:p>
    <w:p>
      <w:pPr>
        <w:sectPr>
          <w:pgSz w:w="11900" w:h="16838" w:orient="portrait"/>
          <w:cols w:equalWidth="0" w:num="2">
            <w:col w:w="4980" w:space="720"/>
            <w:col w:w="5020"/>
          </w:cols>
          <w:pgMar w:left="540" w:top="1147" w:right="6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200" w:lineRule="exact"/>
        <w:rPr>
          <w:sz w:val="20"/>
          <w:szCs w:val="20"/>
          <w:color w:val="auto"/>
        </w:rPr>
      </w:pPr>
    </w:p>
    <w:p>
      <w:pPr>
        <w:spacing w:after="0" w:line="353"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16"/>
          <w:szCs w:val="16"/>
          <w:color w:val="auto"/>
        </w:rPr>
        <w:t>ELT (2024 RPSR Agreement)</w:t>
      </w:r>
      <w:r>
        <w:rPr>
          <w:sz w:val="20"/>
          <w:szCs w:val="20"/>
          <w:color w:val="auto"/>
        </w:rPr>
        <w:tab/>
      </w:r>
      <w:r>
        <w:rPr>
          <w:rFonts w:ascii="Times New Roman" w:cs="Times New Roman" w:eastAsia="Times New Roman" w:hAnsi="Times New Roman"/>
          <w:sz w:val="16"/>
          <w:szCs w:val="16"/>
          <w:color w:val="auto"/>
        </w:rPr>
        <w:t>1</w:t>
      </w:r>
    </w:p>
    <w:p>
      <w:pPr>
        <w:sectPr>
          <w:pgSz w:w="11900" w:h="16838" w:orient="portrait"/>
          <w:cols w:equalWidth="0" w:num="1">
            <w:col w:w="10139"/>
          </w:cols>
          <w:pgMar w:left="320" w:top="1143"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10.3</w:t>
      </w:r>
    </w:p>
    <w:p>
      <w:pPr>
        <w:spacing w:after="0" w:line="200" w:lineRule="exact"/>
        <w:rPr>
          <w:sz w:val="20"/>
          <w:szCs w:val="20"/>
          <w:color w:val="auto"/>
        </w:rPr>
      </w:pPr>
    </w:p>
    <w:p>
      <w:pPr>
        <w:spacing w:after="0" w:line="3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NORTHROP GRUMMAN 2006 ANNUAL INCENTIVE PLAN</w:t>
      </w:r>
    </w:p>
    <w:p>
      <w:pPr>
        <w:ind w:left="5400"/>
        <w:spacing w:after="0" w:line="219" w:lineRule="auto"/>
        <w:rPr>
          <w:sz w:val="20"/>
          <w:szCs w:val="20"/>
          <w:color w:val="auto"/>
        </w:rPr>
      </w:pPr>
      <w:r>
        <w:rPr>
          <w:rFonts w:ascii="Times New Roman" w:cs="Times New Roman" w:eastAsia="Times New Roman" w:hAnsi="Times New Roman"/>
          <w:sz w:val="20"/>
          <w:szCs w:val="20"/>
          <w:color w:val="auto"/>
        </w:rPr>
        <w:t>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INCENTIVE COMPENSATION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amended and restated effective January 1, 2024</w:t>
      </w:r>
    </w:p>
    <w:p>
      <w:pPr>
        <w:spacing w:after="0" w:line="200" w:lineRule="exact"/>
        <w:rPr>
          <w:sz w:val="20"/>
          <w:szCs w:val="20"/>
          <w:color w:val="auto"/>
        </w:rPr>
      </w:pPr>
    </w:p>
    <w:p>
      <w:pPr>
        <w:spacing w:after="0" w:line="26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SECTION I</w:t>
      </w:r>
    </w:p>
    <w:p>
      <w:pPr>
        <w:ind w:left="5180"/>
        <w:spacing w:after="0" w:line="225" w:lineRule="auto"/>
        <w:rPr>
          <w:sz w:val="20"/>
          <w:szCs w:val="20"/>
          <w:color w:val="auto"/>
        </w:rPr>
      </w:pPr>
      <w:r>
        <w:rPr>
          <w:rFonts w:ascii="Times New Roman" w:cs="Times New Roman" w:eastAsia="Times New Roman" w:hAnsi="Times New Roman"/>
          <w:sz w:val="20"/>
          <w:szCs w:val="20"/>
          <w:color w:val="auto"/>
        </w:rPr>
        <w:t>PURPOSE</w:t>
      </w:r>
    </w:p>
    <w:p>
      <w:pPr>
        <w:ind w:right="220"/>
        <w:spacing w:after="0" w:line="237" w:lineRule="auto"/>
        <w:rPr>
          <w:sz w:val="20"/>
          <w:szCs w:val="20"/>
          <w:color w:val="auto"/>
        </w:rPr>
      </w:pPr>
      <w:r>
        <w:rPr>
          <w:rFonts w:ascii="Times New Roman" w:cs="Times New Roman" w:eastAsia="Times New Roman" w:hAnsi="Times New Roman"/>
          <w:sz w:val="19"/>
          <w:szCs w:val="19"/>
          <w:color w:val="auto"/>
        </w:rPr>
        <w:t>Northrop Grumman has an annual incentive program to promote the success of the Company and render its operations profitable to the maximum extent by providing incentives to key employees. Participating employees have varying degrees of impact on the overall success</w:t>
      </w:r>
    </w:p>
    <w:p>
      <w:pPr>
        <w:spacing w:after="0" w:line="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20"/>
          <w:szCs w:val="20"/>
          <w:color w:val="auto"/>
        </w:rPr>
        <w:t>and performance of the Company. To facilitate the appropriate incentive level for each Participant, Northrop Grumman utilizes two incentive plans that use common financial and business performance criteria:</w:t>
      </w:r>
    </w:p>
    <w:p>
      <w:pPr>
        <w:spacing w:after="0" w:line="203" w:lineRule="exact"/>
        <w:rPr>
          <w:sz w:val="20"/>
          <w:szCs w:val="20"/>
          <w:color w:val="auto"/>
        </w:rPr>
      </w:pPr>
    </w:p>
    <w:p>
      <w:pPr>
        <w:ind w:left="640" w:hanging="308"/>
        <w:spacing w:after="0"/>
        <w:tabs>
          <w:tab w:leader="none" w:pos="6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The Incentive Compensation Plan (ICP)</w:t>
      </w:r>
    </w:p>
    <w:p>
      <w:pPr>
        <w:spacing w:after="0" w:line="228" w:lineRule="exact"/>
        <w:rPr>
          <w:rFonts w:ascii="Arial" w:cs="Arial" w:eastAsia="Arial" w:hAnsi="Arial"/>
          <w:sz w:val="20"/>
          <w:szCs w:val="20"/>
          <w:color w:val="auto"/>
        </w:rPr>
      </w:pPr>
    </w:p>
    <w:p>
      <w:pPr>
        <w:ind w:left="640" w:hanging="308"/>
        <w:spacing w:after="0"/>
        <w:tabs>
          <w:tab w:leader="none" w:pos="64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The Annual Incentive Plan (AIP)</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II</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DEFINITIONS</w:t>
      </w:r>
    </w:p>
    <w:p>
      <w:pPr>
        <w:spacing w:after="0" w:line="207" w:lineRule="exact"/>
        <w:rPr>
          <w:sz w:val="20"/>
          <w:szCs w:val="20"/>
          <w:color w:val="auto"/>
        </w:rPr>
      </w:pPr>
    </w:p>
    <w:p>
      <w:pPr>
        <w:ind w:left="200" w:hanging="192"/>
        <w:spacing w:after="0"/>
        <w:tabs>
          <w:tab w:leader="none" w:pos="2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Company—Northrop Grumman Corporation and such of its subsidiaries as are consolidated in its consolidated financial statements.</w:t>
      </w:r>
    </w:p>
    <w:p>
      <w:pPr>
        <w:spacing w:after="0" w:line="215"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Committee—The Compensation and Human Capital Committee (or its successor) of the Board of Directors of the Company.</w:t>
      </w:r>
    </w:p>
    <w:p>
      <w:pPr>
        <w:spacing w:after="0" w:line="229"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 Compensation—Awards payable under these plans.</w:t>
      </w:r>
    </w:p>
    <w:p>
      <w:pPr>
        <w:spacing w:after="0" w:line="229"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Participant—An employee of the Company granted or eligible to receive Incentive Compensation award under one of these Plans.</w:t>
      </w:r>
    </w:p>
    <w:p>
      <w:pPr>
        <w:spacing w:after="0" w:line="215" w:lineRule="exact"/>
        <w:rPr>
          <w:rFonts w:ascii="Times New Roman" w:cs="Times New Roman" w:eastAsia="Times New Roman" w:hAnsi="Times New Roman"/>
          <w:sz w:val="20"/>
          <w:szCs w:val="20"/>
          <w:color w:val="auto"/>
        </w:rPr>
      </w:pPr>
    </w:p>
    <w:p>
      <w:pPr>
        <w:ind w:left="660" w:right="140" w:hanging="652"/>
        <w:spacing w:after="0" w:line="255" w:lineRule="auto"/>
        <w:tabs>
          <w:tab w:leader="none" w:pos="21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Criteria—The performance criteria is a weighted combination of various financial and non-financial factors approved by the Committee for the Performance Year.</w:t>
      </w:r>
    </w:p>
    <w:p>
      <w:pPr>
        <w:spacing w:after="0" w:line="186"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Year—The year with respect to which an award of Incentive Compensation is calculated and paid.</w:t>
      </w:r>
    </w:p>
    <w:p>
      <w:pPr>
        <w:spacing w:after="0" w:line="215"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Plans—Collectively, the Incentive Compensation Plan (ICP) and/or the Annual Incentive Plan (AIP).</w:t>
      </w:r>
    </w:p>
    <w:p>
      <w:pPr>
        <w:spacing w:after="0" w:line="229"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 Year—The fiscal year of Northrop Grumman Corporation.</w:t>
      </w:r>
    </w:p>
    <w:p>
      <w:pPr>
        <w:sectPr>
          <w:pgSz w:w="11900" w:h="16838" w:orient="portrait"/>
          <w:cols w:equalWidth="0" w:num="1">
            <w:col w:w="11240"/>
          </w:cols>
          <w:pgMar w:left="320" w:top="608"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10.3</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III</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PARTICIPATION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Employees may be eligible for incentive compensation under one of the Northrop Grumman incentive plans as described below.</w:t>
      </w:r>
    </w:p>
    <w:p>
      <w:pPr>
        <w:spacing w:after="0" w:line="229" w:lineRule="exact"/>
        <w:rPr>
          <w:sz w:val="20"/>
          <w:szCs w:val="20"/>
          <w:color w:val="auto"/>
        </w:rPr>
      </w:pPr>
    </w:p>
    <w:p>
      <w:pPr>
        <w:ind w:left="200" w:hanging="192"/>
        <w:spacing w:after="0"/>
        <w:tabs>
          <w:tab w:leader="none" w:pos="2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 Compensation Plan (ICP):</w:t>
      </w:r>
    </w:p>
    <w:p>
      <w:pPr>
        <w:spacing w:after="0" w:line="229" w:lineRule="exact"/>
        <w:rPr>
          <w:rFonts w:ascii="Times New Roman" w:cs="Times New Roman" w:eastAsia="Times New Roman" w:hAnsi="Times New Roman"/>
          <w:sz w:val="20"/>
          <w:szCs w:val="20"/>
          <w:color w:val="auto"/>
        </w:rPr>
      </w:pPr>
    </w:p>
    <w:p>
      <w:pPr>
        <w:ind w:left="980" w:right="20" w:hanging="324"/>
        <w:spacing w:after="0" w:line="235" w:lineRule="auto"/>
        <w:tabs>
          <w:tab w:leader="none" w:pos="843"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Employees eligible to receive incentive compensation under the ICP are elected corporate officers of the rank of vice president and above and the presidents of those consolidated subsidiaries that the Committee determines to be significant in the overall corporate operations.</w:t>
      </w:r>
    </w:p>
    <w:p>
      <w:pPr>
        <w:spacing w:after="0" w:line="201" w:lineRule="exact"/>
        <w:rPr>
          <w:rFonts w:ascii="Times New Roman" w:cs="Times New Roman" w:eastAsia="Times New Roman" w:hAnsi="Times New Roman"/>
          <w:sz w:val="20"/>
          <w:szCs w:val="20"/>
          <w:color w:val="auto"/>
        </w:rPr>
      </w:pPr>
    </w:p>
    <w:p>
      <w:pPr>
        <w:ind w:left="980" w:right="400" w:hanging="324"/>
        <w:spacing w:after="0" w:line="255" w:lineRule="auto"/>
        <w:tabs>
          <w:tab w:leader="none" w:pos="85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as such, shall not participate in the ICP, but the fact that an elected corporate officer or subsidiary president is also a director of the Company shall not prevent participation.</w:t>
      </w:r>
    </w:p>
    <w:p>
      <w:pPr>
        <w:spacing w:after="0" w:line="172"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Incentive Plan (AIP):</w:t>
      </w:r>
    </w:p>
    <w:p>
      <w:pPr>
        <w:spacing w:after="0" w:line="229" w:lineRule="exact"/>
        <w:rPr>
          <w:rFonts w:ascii="Times New Roman" w:cs="Times New Roman" w:eastAsia="Times New Roman" w:hAnsi="Times New Roman"/>
          <w:sz w:val="20"/>
          <w:szCs w:val="20"/>
          <w:color w:val="auto"/>
        </w:rPr>
      </w:pPr>
    </w:p>
    <w:p>
      <w:pPr>
        <w:ind w:left="980" w:right="240" w:hanging="324"/>
        <w:spacing w:after="0" w:line="228" w:lineRule="auto"/>
        <w:tabs>
          <w:tab w:leader="none" w:pos="843"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Employees eligible to receive incentive compensation awards under the AIP are appointed vice presidents, senior management, middle management and individual key contributors (employees normally in a position that customarily perform quasi-management or team leadership duties). In addition, employees may be eligible to participate in the AIP if they have specific individual goals that directly contribute to the attainment of their respective business unit’s operating goals or if employees are considered “high performing” and are in a position to make measurable and significant contributions to the success of the Company.</w:t>
      </w:r>
    </w:p>
    <w:p>
      <w:pPr>
        <w:spacing w:after="0" w:line="201" w:lineRule="exact"/>
        <w:rPr>
          <w:rFonts w:ascii="Times New Roman" w:cs="Times New Roman" w:eastAsia="Times New Roman" w:hAnsi="Times New Roman"/>
          <w:sz w:val="20"/>
          <w:szCs w:val="20"/>
          <w:color w:val="auto"/>
        </w:rPr>
      </w:pPr>
    </w:p>
    <w:p>
      <w:pPr>
        <w:ind w:left="980" w:right="220" w:hanging="324"/>
        <w:spacing w:after="0" w:line="235" w:lineRule="auto"/>
        <w:tabs>
          <w:tab w:leader="none" w:pos="85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beginning of, or prior to, a performance year, the Company’s CEO approves the number of participants eligible for participation in the AIP. Participants are then selected by their management based on an assessment of their position relative to other candidates, their performance, and their potential impact on achievement of business unit and the Company goals.</w:t>
      </w:r>
    </w:p>
    <w:p>
      <w:pPr>
        <w:spacing w:after="0" w:line="201" w:lineRule="exact"/>
        <w:rPr>
          <w:rFonts w:ascii="Times New Roman" w:cs="Times New Roman" w:eastAsia="Times New Roman" w:hAnsi="Times New Roman"/>
          <w:sz w:val="20"/>
          <w:szCs w:val="20"/>
          <w:color w:val="auto"/>
        </w:rPr>
      </w:pPr>
    </w:p>
    <w:p>
      <w:pPr>
        <w:ind w:left="840" w:hanging="184"/>
        <w:spacing w:after="0"/>
        <w:tabs>
          <w:tab w:leader="none" w:pos="84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Participation in the AIP during any performance year does not imply nor guarantee participation in the AIP in future years.</w:t>
      </w:r>
    </w:p>
    <w:p>
      <w:pPr>
        <w:spacing w:after="0" w:line="229"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Non-Duplication of Awards</w:t>
      </w:r>
    </w:p>
    <w:p>
      <w:pPr>
        <w:spacing w:after="0" w:line="216" w:lineRule="exact"/>
        <w:rPr>
          <w:sz w:val="20"/>
          <w:szCs w:val="20"/>
          <w:color w:val="auto"/>
        </w:rPr>
      </w:pPr>
    </w:p>
    <w:p>
      <w:pPr>
        <w:jc w:val="both"/>
        <w:ind w:left="660" w:right="260"/>
        <w:spacing w:after="0" w:line="236" w:lineRule="auto"/>
        <w:rPr>
          <w:sz w:val="20"/>
          <w:szCs w:val="20"/>
          <w:color w:val="auto"/>
        </w:rPr>
      </w:pPr>
      <w:r>
        <w:rPr>
          <w:rFonts w:ascii="Times New Roman" w:cs="Times New Roman" w:eastAsia="Times New Roman" w:hAnsi="Times New Roman"/>
          <w:sz w:val="20"/>
          <w:szCs w:val="20"/>
          <w:color w:val="auto"/>
        </w:rPr>
        <w:t>A participant may not receive an incentive compensation award under more than one of the above plans for the performance year. The exception to this is in the event that an individual is a participant in a particular plan for a portion of the performance year and then is selected to participate in one of the other plans for the remainder of that performance year. In this event, an individual may receive pro-rated awards based on the time that they participated in each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 Death, Disability, or Retirement</w:t>
      </w:r>
    </w:p>
    <w:p>
      <w:pPr>
        <w:spacing w:after="0" w:line="229" w:lineRule="exact"/>
        <w:rPr>
          <w:sz w:val="20"/>
          <w:szCs w:val="20"/>
          <w:color w:val="auto"/>
        </w:rPr>
      </w:pPr>
    </w:p>
    <w:p>
      <w:pPr>
        <w:ind w:left="660" w:right="100"/>
        <w:spacing w:after="0" w:line="255" w:lineRule="auto"/>
        <w:rPr>
          <w:sz w:val="20"/>
          <w:szCs w:val="20"/>
          <w:color w:val="auto"/>
        </w:rPr>
      </w:pPr>
      <w:r>
        <w:rPr>
          <w:rFonts w:ascii="Times New Roman" w:cs="Times New Roman" w:eastAsia="Times New Roman" w:hAnsi="Times New Roman"/>
          <w:sz w:val="20"/>
          <w:szCs w:val="20"/>
          <w:color w:val="auto"/>
        </w:rPr>
        <w:t>A participant may be eligible to receive a pro-rated incentive compensation award in the event of the employee’s death, disability, or retirement. In the case of a deceased participant, such incentive compensation award will be paid to the participant’s estate.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 Employment Status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Except as provided in Section III 4 (see above), in order to be eligible to receive a payment from these plans, a participant must be an</w:t>
      </w:r>
    </w:p>
    <w:p>
      <w:pPr>
        <w:spacing w:after="0" w:line="20" w:lineRule="exact"/>
        <w:rPr>
          <w:sz w:val="20"/>
          <w:szCs w:val="20"/>
          <w:color w:val="auto"/>
        </w:rPr>
      </w:pPr>
    </w:p>
    <w:p>
      <w:pPr>
        <w:ind w:left="660" w:right="220"/>
        <w:spacing w:after="0" w:line="228" w:lineRule="auto"/>
        <w:rPr>
          <w:sz w:val="20"/>
          <w:szCs w:val="20"/>
          <w:color w:val="auto"/>
        </w:rPr>
      </w:pPr>
      <w:r>
        <w:rPr>
          <w:rFonts w:ascii="Times New Roman" w:cs="Times New Roman" w:eastAsia="Times New Roman" w:hAnsi="Times New Roman"/>
          <w:sz w:val="20"/>
          <w:szCs w:val="20"/>
          <w:color w:val="auto"/>
        </w:rPr>
        <w:t>active employee of the Company as of December 31 of the plan year, unless an exception is approved in writing by the Company’s chief human resources officer.</w:t>
      </w:r>
    </w:p>
    <w:p>
      <w:pPr>
        <w:sectPr>
          <w:pgSz w:w="11900" w:h="16838" w:orient="portrait"/>
          <w:cols w:equalWidth="0" w:num="1">
            <w:col w:w="11240"/>
          </w:cols>
          <w:pgMar w:left="320" w:top="608"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10.3</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IV</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GOAL SETTING AND PERFORMANCE CRITERIA</w:t>
      </w:r>
    </w:p>
    <w:p>
      <w:pPr>
        <w:spacing w:after="0" w:line="19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Goal setting and performance planning are essential elements of plan administration. This requires establishing performance criteria, such as annual goals, goal weights, and performance measures. The Committee approves the annual business and financial goals for the Company, as</w:t>
      </w:r>
    </w:p>
    <w:p>
      <w:pPr>
        <w:spacing w:after="0" w:line="1"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20"/>
          <w:szCs w:val="20"/>
          <w:color w:val="auto"/>
        </w:rPr>
        <w:t>described below, in writing within the first 90 days of a Performance Year, at a time when it is substantially uncertain whether the Participant will earn any amount of Incentive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Corporation Goals</w:t>
      </w:r>
    </w:p>
    <w:p>
      <w:pPr>
        <w:spacing w:after="0" w:line="229" w:lineRule="exact"/>
        <w:rPr>
          <w:sz w:val="20"/>
          <w:szCs w:val="20"/>
          <w:color w:val="auto"/>
        </w:rPr>
      </w:pPr>
    </w:p>
    <w:p>
      <w:pPr>
        <w:ind w:left="660" w:right="180"/>
        <w:spacing w:after="0" w:line="255" w:lineRule="auto"/>
        <w:rPr>
          <w:sz w:val="20"/>
          <w:szCs w:val="20"/>
          <w:color w:val="auto"/>
        </w:rPr>
      </w:pPr>
      <w:r>
        <w:rPr>
          <w:rFonts w:ascii="Times New Roman" w:cs="Times New Roman" w:eastAsia="Times New Roman" w:hAnsi="Times New Roman"/>
          <w:sz w:val="20"/>
          <w:szCs w:val="20"/>
          <w:color w:val="auto"/>
        </w:rPr>
        <w:t>For each performance year, until otherwise determined by the Committee, financial and non-financial objectives will be established by the Committee.</w:t>
      </w:r>
    </w:p>
    <w:p>
      <w:pPr>
        <w:spacing w:after="0" w:line="173" w:lineRule="exact"/>
        <w:rPr>
          <w:sz w:val="20"/>
          <w:szCs w:val="20"/>
          <w:color w:val="auto"/>
        </w:rPr>
      </w:pPr>
    </w:p>
    <w:p>
      <w:pPr>
        <w:ind w:left="200" w:hanging="192"/>
        <w:spacing w:after="0"/>
        <w:tabs>
          <w:tab w:leader="none" w:pos="2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Measures</w:t>
      </w:r>
    </w:p>
    <w:p>
      <w:pPr>
        <w:spacing w:after="0" w:line="229" w:lineRule="exact"/>
        <w:rPr>
          <w:rFonts w:ascii="Times New Roman" w:cs="Times New Roman" w:eastAsia="Times New Roman" w:hAnsi="Times New Roman"/>
          <w:sz w:val="20"/>
          <w:szCs w:val="20"/>
          <w:color w:val="auto"/>
        </w:rPr>
      </w:pPr>
    </w:p>
    <w:p>
      <w:pPr>
        <w:ind w:left="980" w:right="140" w:hanging="324"/>
        <w:spacing w:after="0" w:line="235" w:lineRule="auto"/>
        <w:tabs>
          <w:tab w:leader="none" w:pos="843"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CEO’s recommended goals are reviewed and amended as appropriate, and established by the Committee. Measures may include, but are not limited to: cash management, cash flow, return on investment, debt reduction, revenue growth, net earnings, and return on equity.</w:t>
      </w:r>
    </w:p>
    <w:p>
      <w:pPr>
        <w:spacing w:after="0" w:line="201" w:lineRule="exact"/>
        <w:rPr>
          <w:rFonts w:ascii="Times New Roman" w:cs="Times New Roman" w:eastAsia="Times New Roman" w:hAnsi="Times New Roman"/>
          <w:sz w:val="20"/>
          <w:szCs w:val="20"/>
          <w:color w:val="auto"/>
        </w:rPr>
      </w:pPr>
    </w:p>
    <w:p>
      <w:pPr>
        <w:ind w:left="980" w:right="560" w:hanging="324"/>
        <w:spacing w:after="0" w:line="255" w:lineRule="auto"/>
        <w:tabs>
          <w:tab w:leader="none" w:pos="854"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approves a performance threshold, a target level and a maximum performance level for each of the financial measures for the performance year.</w:t>
      </w:r>
    </w:p>
    <w:p>
      <w:pPr>
        <w:spacing w:after="0" w:line="172"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Supplemental Goals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Supplemental goals may be either qualitative or quantitative such as, but not limited to: customer satisfaction, contract acquisition,</w:t>
      </w:r>
    </w:p>
    <w:p>
      <w:pPr>
        <w:spacing w:after="0" w:line="8" w:lineRule="exact"/>
        <w:rPr>
          <w:sz w:val="20"/>
          <w:szCs w:val="20"/>
          <w:color w:val="auto"/>
        </w:rPr>
      </w:pPr>
    </w:p>
    <w:p>
      <w:pPr>
        <w:ind w:left="660" w:right="340"/>
        <w:spacing w:after="0" w:line="229" w:lineRule="auto"/>
        <w:rPr>
          <w:sz w:val="20"/>
          <w:szCs w:val="20"/>
          <w:color w:val="auto"/>
        </w:rPr>
      </w:pPr>
      <w:r>
        <w:rPr>
          <w:rFonts w:ascii="Times New Roman" w:cs="Times New Roman" w:eastAsia="Times New Roman" w:hAnsi="Times New Roman"/>
          <w:sz w:val="19"/>
          <w:szCs w:val="19"/>
          <w:color w:val="auto"/>
        </w:rPr>
        <w:t>delivery schedule, cycle-time improvement, productivity, quality, workforce diversity, and environmental management. The CEO recommends the supplemental goals based on sector goals contained in Annual Operating Plans and corporate office goals</w:t>
      </w:r>
    </w:p>
    <w:p>
      <w:pPr>
        <w:spacing w:after="0" w:line="2" w:lineRule="exact"/>
        <w:rPr>
          <w:sz w:val="20"/>
          <w:szCs w:val="20"/>
          <w:color w:val="auto"/>
        </w:rPr>
      </w:pPr>
    </w:p>
    <w:p>
      <w:pPr>
        <w:ind w:left="660" w:right="300"/>
        <w:spacing w:after="0" w:line="236" w:lineRule="auto"/>
        <w:rPr>
          <w:sz w:val="20"/>
          <w:szCs w:val="20"/>
          <w:color w:val="auto"/>
        </w:rPr>
      </w:pPr>
      <w:r>
        <w:rPr>
          <w:rFonts w:ascii="Times New Roman" w:cs="Times New Roman" w:eastAsia="Times New Roman" w:hAnsi="Times New Roman"/>
          <w:sz w:val="20"/>
          <w:szCs w:val="20"/>
          <w:color w:val="auto"/>
        </w:rPr>
        <w:t>established prior to the beginning of each year. Supplemental goals have stated milestones and weights. The CEO’s recommended supplemental goals are reviewed and amended as appropriate, and established by the Committee.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 Individual Goals</w:t>
      </w:r>
    </w:p>
    <w:p>
      <w:pPr>
        <w:spacing w:after="0" w:line="229" w:lineRule="exact"/>
        <w:rPr>
          <w:sz w:val="20"/>
          <w:szCs w:val="20"/>
          <w:color w:val="auto"/>
        </w:rPr>
      </w:pPr>
    </w:p>
    <w:p>
      <w:pPr>
        <w:ind w:left="660" w:right="460"/>
        <w:spacing w:after="0" w:line="249" w:lineRule="auto"/>
        <w:rPr>
          <w:sz w:val="20"/>
          <w:szCs w:val="20"/>
          <w:color w:val="auto"/>
        </w:rPr>
      </w:pPr>
      <w:r>
        <w:rPr>
          <w:rFonts w:ascii="Times New Roman" w:cs="Times New Roman" w:eastAsia="Times New Roman" w:hAnsi="Times New Roman"/>
          <w:sz w:val="19"/>
          <w:szCs w:val="19"/>
          <w:color w:val="auto"/>
        </w:rPr>
        <w:t>Each year participants develop individual goals that support achievement of the Company’s business plan and the specific goals established by the Committee in the three aforementioned corporation goals. Individual goals are prepared, approved and</w:t>
      </w:r>
    </w:p>
    <w:p>
      <w:pPr>
        <w:spacing w:after="0" w:line="1" w:lineRule="exact"/>
        <w:rPr>
          <w:sz w:val="20"/>
          <w:szCs w:val="20"/>
          <w:color w:val="auto"/>
        </w:rPr>
      </w:pPr>
    </w:p>
    <w:p>
      <w:pPr>
        <w:ind w:left="660" w:right="520"/>
        <w:spacing w:after="0" w:line="228" w:lineRule="auto"/>
        <w:rPr>
          <w:sz w:val="20"/>
          <w:szCs w:val="20"/>
          <w:color w:val="auto"/>
        </w:rPr>
      </w:pPr>
      <w:r>
        <w:rPr>
          <w:rFonts w:ascii="Times New Roman" w:cs="Times New Roman" w:eastAsia="Times New Roman" w:hAnsi="Times New Roman"/>
          <w:sz w:val="20"/>
          <w:szCs w:val="20"/>
          <w:color w:val="auto"/>
        </w:rPr>
        <w:t>documented. The employee’s manager reviews these goals with each participant to ensure they are aggressive, coordinated and focused on attainment of Company business objectives.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V</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PERFORMANCE DETERMINATION</w:t>
      </w:r>
    </w:p>
    <w:p>
      <w:pPr>
        <w:spacing w:after="0" w:line="194"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9"/>
          <w:szCs w:val="19"/>
          <w:color w:val="auto"/>
        </w:rPr>
        <w:t>At the end of the performance year, the CEO evaluates the performance of each of the operating units and that of the overall Company against the financial and business goals established at the beginning of the performance year and submits an assessment to the Committee.</w:t>
      </w:r>
    </w:p>
    <w:p>
      <w:pPr>
        <w:spacing w:after="0" w:line="163"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20"/>
          <w:szCs w:val="20"/>
          <w:color w:val="auto"/>
        </w:rPr>
        <w:t>The CEO’s final evaluation of performance (the “unit performance factor” or “UPF”) is stated numerically and is a performance multiplier for individual incentive targets. The UPF will vary from 0.0 to a maximum as approved by the Committee.</w:t>
      </w:r>
    </w:p>
    <w:p>
      <w:pPr>
        <w:sectPr>
          <w:pgSz w:w="11900" w:h="16838" w:orient="portrait"/>
          <w:cols w:equalWidth="0" w:num="1">
            <w:col w:w="11240"/>
          </w:cols>
          <w:pgMar w:left="320" w:top="608"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10.3</w:t>
      </w:r>
    </w:p>
    <w:p>
      <w:pPr>
        <w:spacing w:after="0" w:line="200" w:lineRule="exact"/>
        <w:rPr>
          <w:sz w:val="20"/>
          <w:szCs w:val="20"/>
          <w:color w:val="auto"/>
        </w:rPr>
      </w:pPr>
    </w:p>
    <w:p>
      <w:pPr>
        <w:spacing w:after="0" w:line="33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auto"/>
        </w:rPr>
        <w:t>The Committee, in its discretion, after taking into account its appraisal of the overall performance of the Company in the attainment of such predetermined financial and non-financial objectives, may either increase or decrease the company UPF for these plans.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VI</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INCENTIVE COMPENSATION APPROPRIATIONS</w:t>
      </w:r>
    </w:p>
    <w:p>
      <w:pPr>
        <w:spacing w:after="0" w:line="207" w:lineRule="exact"/>
        <w:rPr>
          <w:sz w:val="20"/>
          <w:szCs w:val="20"/>
          <w:color w:val="auto"/>
        </w:rPr>
      </w:pPr>
    </w:p>
    <w:p>
      <w:pPr>
        <w:ind w:left="660" w:right="120" w:hanging="652"/>
        <w:spacing w:after="0" w:line="235" w:lineRule="auto"/>
        <w:tabs>
          <w:tab w:leader="none" w:pos="21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appropriated for the plans for a performance year is based on the CEO’s determination of the UPF (as approved or modified by the Committee) and applied to the individual incentive targets of participants. These performance-adjusted targets are aggregated into the “Appropriated Incentive Compensation” for the performance year.</w:t>
      </w:r>
    </w:p>
    <w:p>
      <w:pPr>
        <w:spacing w:after="0" w:line="201" w:lineRule="exact"/>
        <w:rPr>
          <w:rFonts w:ascii="Times New Roman" w:cs="Times New Roman" w:eastAsia="Times New Roman" w:hAnsi="Times New Roman"/>
          <w:sz w:val="20"/>
          <w:szCs w:val="20"/>
          <w:color w:val="auto"/>
        </w:rPr>
      </w:pPr>
    </w:p>
    <w:p>
      <w:pPr>
        <w:ind w:left="660" w:right="240" w:hanging="652"/>
        <w:spacing w:after="0" w:line="255" w:lineRule="auto"/>
        <w:tabs>
          <w:tab w:leader="none" w:pos="21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incentive compensation payable to participants for a performance year exceed the appropriated incentive compensation for the plans as approved by the Committee.</w:t>
      </w:r>
    </w:p>
    <w:p>
      <w:pPr>
        <w:spacing w:after="0" w:line="172" w:lineRule="exact"/>
        <w:rPr>
          <w:rFonts w:ascii="Times New Roman" w:cs="Times New Roman" w:eastAsia="Times New Roman" w:hAnsi="Times New Roman"/>
          <w:sz w:val="20"/>
          <w:szCs w:val="20"/>
          <w:color w:val="auto"/>
        </w:rPr>
      </w:pPr>
    </w:p>
    <w:p>
      <w:pPr>
        <w:ind w:left="660" w:right="260" w:hanging="652"/>
        <w:spacing w:after="0" w:line="255" w:lineRule="auto"/>
        <w:tabs>
          <w:tab w:leader="none" w:pos="21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appropriated incentive compensation for a performance year, which is not actually distributed to the participants as awards for such year, cannot be transferred to the following performance year.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VII</w:t>
      </w:r>
    </w:p>
    <w:p>
      <w:pPr>
        <w:jc w:val="center"/>
        <w:spacing w:after="0"/>
        <w:rPr>
          <w:sz w:val="20"/>
          <w:szCs w:val="20"/>
          <w:color w:val="auto"/>
        </w:rPr>
      </w:pPr>
      <w:r>
        <w:rPr>
          <w:rFonts w:ascii="Times New Roman" w:cs="Times New Roman" w:eastAsia="Times New Roman" w:hAnsi="Times New Roman"/>
          <w:sz w:val="20"/>
          <w:szCs w:val="20"/>
          <w:color w:val="auto"/>
        </w:rPr>
        <w:t>INCENTIVE COMPENSATION AWARDS</w:t>
      </w:r>
    </w:p>
    <w:p>
      <w:pPr>
        <w:spacing w:after="0" w:line="207" w:lineRule="exact"/>
        <w:rPr>
          <w:sz w:val="20"/>
          <w:szCs w:val="20"/>
          <w:color w:val="auto"/>
        </w:rPr>
      </w:pPr>
    </w:p>
    <w:p>
      <w:pPr>
        <w:ind w:left="200" w:hanging="192"/>
        <w:spacing w:after="0"/>
        <w:tabs>
          <w:tab w:leader="none" w:pos="2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 Award Factors</w:t>
      </w:r>
    </w:p>
    <w:p>
      <w:pPr>
        <w:spacing w:after="0" w:line="229" w:lineRule="exact"/>
        <w:rPr>
          <w:rFonts w:ascii="Times New Roman" w:cs="Times New Roman" w:eastAsia="Times New Roman" w:hAnsi="Times New Roman"/>
          <w:sz w:val="20"/>
          <w:szCs w:val="20"/>
          <w:color w:val="auto"/>
        </w:rPr>
      </w:pPr>
    </w:p>
    <w:p>
      <w:pPr>
        <w:ind w:left="980" w:right="60" w:hanging="324"/>
        <w:spacing w:after="0" w:line="235" w:lineRule="auto"/>
        <w:tabs>
          <w:tab w:leader="none" w:pos="843"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 award percentage—is established annually and is a percentage of annual aggregate salary that reflects the varying impact of participant’s positions on business results. Generally, vice presidents will have higher target award percentages than senior middle managers and so forth.</w:t>
      </w:r>
    </w:p>
    <w:p>
      <w:pPr>
        <w:spacing w:after="0" w:line="201" w:lineRule="exact"/>
        <w:rPr>
          <w:rFonts w:ascii="Times New Roman" w:cs="Times New Roman" w:eastAsia="Times New Roman" w:hAnsi="Times New Roman"/>
          <w:sz w:val="20"/>
          <w:szCs w:val="20"/>
          <w:color w:val="auto"/>
        </w:rPr>
      </w:pPr>
    </w:p>
    <w:p>
      <w:pPr>
        <w:ind w:left="980" w:right="40" w:hanging="324"/>
        <w:spacing w:after="0" w:line="228" w:lineRule="auto"/>
        <w:tabs>
          <w:tab w:leader="none" w:pos="854"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 performance—prior to the submission of recommended incentive compensation awards, each participant will be evaluated by the participant’s management in relation to achievement of predetermined individual goals and relative contribution during the performance year compared to other participants to the success or profit of the Company. This assessment of performance (the “individual performance factor” or “IPF”) is stated numerically and is a performance multiplier for individual incentive targets. The IPF may range from 0 to 1.5.</w:t>
      </w:r>
    </w:p>
    <w:p>
      <w:pPr>
        <w:spacing w:after="0" w:line="203" w:lineRule="exact"/>
        <w:rPr>
          <w:rFonts w:ascii="Times New Roman" w:cs="Times New Roman" w:eastAsia="Times New Roman" w:hAnsi="Times New Roman"/>
          <w:sz w:val="20"/>
          <w:szCs w:val="20"/>
          <w:color w:val="auto"/>
        </w:rPr>
      </w:pPr>
    </w:p>
    <w:p>
      <w:pPr>
        <w:ind w:left="980" w:right="340" w:hanging="324"/>
        <w:spacing w:after="0" w:line="255" w:lineRule="auto"/>
        <w:tabs>
          <w:tab w:leader="none" w:pos="843"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the IPF and the UPF are multipliers for the individual participant’s target award percentage to determine that participant’s incentive compensation award.</w:t>
      </w:r>
    </w:p>
    <w:p>
      <w:pPr>
        <w:spacing w:after="0" w:line="186"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ICP Awards:</w:t>
      </w:r>
    </w:p>
    <w:p>
      <w:pPr>
        <w:spacing w:after="0" w:line="216" w:lineRule="exact"/>
        <w:rPr>
          <w:sz w:val="20"/>
          <w:szCs w:val="20"/>
          <w:color w:val="auto"/>
        </w:rPr>
      </w:pPr>
    </w:p>
    <w:p>
      <w:pPr>
        <w:ind w:left="660" w:right="160"/>
        <w:spacing w:after="0"/>
        <w:rPr>
          <w:sz w:val="20"/>
          <w:szCs w:val="20"/>
          <w:color w:val="auto"/>
        </w:rPr>
      </w:pPr>
      <w:r>
        <w:rPr>
          <w:rFonts w:ascii="Times New Roman" w:cs="Times New Roman" w:eastAsia="Times New Roman" w:hAnsi="Times New Roman"/>
          <w:sz w:val="20"/>
          <w:szCs w:val="20"/>
          <w:color w:val="auto"/>
        </w:rPr>
        <w:t>The Committee shall review the CEO’s recommendations and make the final determination of each individual ICP participant’s incentive compensation award for the performance year (except with respect to the CEO’s incentive compensation award, on which the Committee will make a recommendation to the Board for final determination).</w:t>
      </w:r>
    </w:p>
    <w:p>
      <w:pPr>
        <w:spacing w:after="0" w:line="188" w:lineRule="exact"/>
        <w:rPr>
          <w:sz w:val="20"/>
          <w:szCs w:val="20"/>
          <w:color w:val="auto"/>
        </w:rPr>
      </w:pPr>
    </w:p>
    <w:p>
      <w:pPr>
        <w:ind w:left="200" w:hanging="192"/>
        <w:spacing w:after="0"/>
        <w:tabs>
          <w:tab w:leader="none" w:pos="2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AIP Awards:</w:t>
      </w:r>
    </w:p>
    <w:p>
      <w:pPr>
        <w:spacing w:after="0" w:line="229" w:lineRule="exact"/>
        <w:rPr>
          <w:rFonts w:ascii="Times New Roman" w:cs="Times New Roman" w:eastAsia="Times New Roman" w:hAnsi="Times New Roman"/>
          <w:sz w:val="20"/>
          <w:szCs w:val="20"/>
          <w:color w:val="auto"/>
        </w:rPr>
      </w:pPr>
    </w:p>
    <w:p>
      <w:pPr>
        <w:ind w:left="980" w:right="360" w:hanging="324"/>
        <w:spacing w:after="0" w:line="28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 Prior to the payment of any incentive compensation awards for a performance year, the CEO, or their delegate, may in their discretion, adjust or reduce to zero recommended amounts of incentive compensation awards to all or any of the participants.</w:t>
      </w:r>
    </w:p>
    <w:p>
      <w:pPr>
        <w:sectPr>
          <w:pgSz w:w="11900" w:h="16838" w:orient="portrait"/>
          <w:cols w:equalWidth="0" w:num="1">
            <w:col w:w="11240"/>
          </w:cols>
          <w:pgMar w:left="320" w:top="608"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b. The CEO or the CEO’s delegate shall determine the amount of any adjustment in a participant’s incentive compensation award on</w:t>
      </w:r>
    </w:p>
    <w:p>
      <w:pPr>
        <w:spacing w:after="0" w:line="20" w:lineRule="exact"/>
        <w:rPr>
          <w:sz w:val="20"/>
          <w:szCs w:val="20"/>
          <w:color w:val="auto"/>
        </w:rPr>
      </w:pPr>
    </w:p>
    <w:p>
      <w:pPr>
        <w:ind w:left="980" w:right="20"/>
        <w:spacing w:after="0" w:line="228" w:lineRule="auto"/>
        <w:rPr>
          <w:sz w:val="20"/>
          <w:szCs w:val="20"/>
          <w:color w:val="auto"/>
        </w:rPr>
      </w:pPr>
      <w:r>
        <w:rPr>
          <w:rFonts w:ascii="Times New Roman" w:cs="Times New Roman" w:eastAsia="Times New Roman" w:hAnsi="Times New Roman"/>
          <w:sz w:val="20"/>
          <w:szCs w:val="20"/>
          <w:color w:val="auto"/>
        </w:rPr>
        <w:t>the basis of such factors as the CEO deems relevant, and shall not be required to establish any allocation or weighting component with respect to the factors the CEO considers.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VIII</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ADMINISTRATION OF THE PLANS</w:t>
      </w:r>
    </w:p>
    <w:p>
      <w:pPr>
        <w:spacing w:after="0" w:line="194" w:lineRule="exact"/>
        <w:rPr>
          <w:sz w:val="20"/>
          <w:szCs w:val="20"/>
          <w:color w:val="auto"/>
        </w:rPr>
      </w:pPr>
    </w:p>
    <w:p>
      <w:pPr>
        <w:ind w:left="200" w:hanging="192"/>
        <w:spacing w:after="0"/>
        <w:tabs>
          <w:tab w:leader="none" w:pos="2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ICP: The Committee shall be responsible for the administration of the Plan. The Committee shall:</w:t>
      </w:r>
    </w:p>
    <w:p>
      <w:pPr>
        <w:spacing w:after="0" w:line="229" w:lineRule="exact"/>
        <w:rPr>
          <w:rFonts w:ascii="Times New Roman" w:cs="Times New Roman" w:eastAsia="Times New Roman" w:hAnsi="Times New Roman"/>
          <w:sz w:val="20"/>
          <w:szCs w:val="20"/>
          <w:color w:val="auto"/>
        </w:rPr>
      </w:pPr>
    </w:p>
    <w:p>
      <w:pPr>
        <w:ind w:left="980" w:right="20" w:hanging="324"/>
        <w:spacing w:after="0"/>
        <w:tabs>
          <w:tab w:leader="none" w:pos="843"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Interpret the ICP, make any rules and regulations relating to that plan, determine which consolidated subsidiaries are significant for the purpose of the first paragraph of SECTION III, and determine factual questions arising in connection with the ICP, after such investigation or hearing as the Committee may deem appropriate.</w:t>
      </w:r>
    </w:p>
    <w:p>
      <w:pPr>
        <w:spacing w:after="0" w:line="187" w:lineRule="exact"/>
        <w:rPr>
          <w:rFonts w:ascii="Times New Roman" w:cs="Times New Roman" w:eastAsia="Times New Roman" w:hAnsi="Times New Roman"/>
          <w:sz w:val="20"/>
          <w:szCs w:val="20"/>
          <w:color w:val="auto"/>
        </w:rPr>
      </w:pPr>
    </w:p>
    <w:p>
      <w:pPr>
        <w:ind w:left="980" w:right="480" w:hanging="324"/>
        <w:spacing w:after="0"/>
        <w:tabs>
          <w:tab w:leader="none" w:pos="854"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feasible after the close of each performance year and prior to the payment of any incentive compensation for such performance year, review the performance of each participant and determine the amount of each participant’s individual incentive compensation award, if any, with respect to that performance year.</w:t>
      </w:r>
    </w:p>
    <w:p>
      <w:pPr>
        <w:spacing w:after="0" w:line="187" w:lineRule="exact"/>
        <w:rPr>
          <w:rFonts w:ascii="Times New Roman" w:cs="Times New Roman" w:eastAsia="Times New Roman" w:hAnsi="Times New Roman"/>
          <w:sz w:val="20"/>
          <w:szCs w:val="20"/>
          <w:color w:val="auto"/>
        </w:rPr>
      </w:pPr>
    </w:p>
    <w:p>
      <w:pPr>
        <w:ind w:left="980" w:right="20" w:hanging="324"/>
        <w:spacing w:after="0" w:line="232" w:lineRule="auto"/>
        <w:tabs>
          <w:tab w:leader="none" w:pos="843"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discretion in determining incentive compensation awards under the ICP, except that in making awards the Committee may, in its discretion, request and consider the recommendations of the CEO and others whom it may designate, and further except with respect to the CEO’s incentive compensation awards for which the Committee will make a recommendation to the Board and the Board will have discretion in determining the CEO’s incentive compensation awards under the ICP.</w:t>
      </w:r>
    </w:p>
    <w:p>
      <w:pPr>
        <w:spacing w:after="0" w:line="204" w:lineRule="exact"/>
        <w:rPr>
          <w:rFonts w:ascii="Times New Roman" w:cs="Times New Roman" w:eastAsia="Times New Roman" w:hAnsi="Times New Roman"/>
          <w:sz w:val="20"/>
          <w:szCs w:val="20"/>
          <w:color w:val="auto"/>
        </w:rPr>
      </w:pPr>
    </w:p>
    <w:p>
      <w:pPr>
        <w:ind w:left="980" w:right="20" w:hanging="324"/>
        <w:spacing w:after="0" w:line="255" w:lineRule="auto"/>
        <w:tabs>
          <w:tab w:leader="none" w:pos="854"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decisions made by the Committee under the provisions of this SECTION VIII, as well as any interpretations of the ICP by the Committee, shall be conclusive and binding on all parties concerned.</w:t>
      </w:r>
    </w:p>
    <w:p>
      <w:pPr>
        <w:spacing w:after="0" w:line="172"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AIP: The CEO shall be responsible for the administration of this plan. The CEO shall:</w:t>
      </w:r>
    </w:p>
    <w:p>
      <w:pPr>
        <w:spacing w:after="0" w:line="229" w:lineRule="exact"/>
        <w:rPr>
          <w:rFonts w:ascii="Times New Roman" w:cs="Times New Roman" w:eastAsia="Times New Roman" w:hAnsi="Times New Roman"/>
          <w:sz w:val="20"/>
          <w:szCs w:val="20"/>
          <w:color w:val="auto"/>
        </w:rPr>
      </w:pPr>
    </w:p>
    <w:p>
      <w:pPr>
        <w:ind w:left="980" w:right="260" w:hanging="324"/>
        <w:spacing w:after="0" w:line="255" w:lineRule="auto"/>
        <w:tabs>
          <w:tab w:leader="none" w:pos="843"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Interpret the AIP, make any rules and regulations relating to the plan, and determine factual questions arising in connection with the AIP.</w:t>
      </w:r>
    </w:p>
    <w:p>
      <w:pPr>
        <w:spacing w:after="0" w:line="172" w:lineRule="exact"/>
        <w:rPr>
          <w:rFonts w:ascii="Times New Roman" w:cs="Times New Roman" w:eastAsia="Times New Roman" w:hAnsi="Times New Roman"/>
          <w:sz w:val="20"/>
          <w:szCs w:val="20"/>
          <w:color w:val="auto"/>
        </w:rPr>
      </w:pPr>
    </w:p>
    <w:p>
      <w:pPr>
        <w:ind w:left="980" w:right="20" w:hanging="324"/>
        <w:spacing w:after="0" w:line="236" w:lineRule="auto"/>
        <w:tabs>
          <w:tab w:leader="none" w:pos="854"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feasible after the close of each performance year and prior to the payment of any incentive compensation for such performance year, review the recommended awards of selected participants, as determined by the CEO, to determine if the award is appropriate with respect to that performance year, making any adjustments as the CEO deems necessary and approving each such award.</w:t>
      </w:r>
    </w:p>
    <w:p>
      <w:pPr>
        <w:spacing w:after="0" w:line="188" w:lineRule="exact"/>
        <w:rPr>
          <w:rFonts w:ascii="Times New Roman" w:cs="Times New Roman" w:eastAsia="Times New Roman" w:hAnsi="Times New Roman"/>
          <w:sz w:val="20"/>
          <w:szCs w:val="20"/>
          <w:color w:val="auto"/>
        </w:rPr>
      </w:pPr>
    </w:p>
    <w:p>
      <w:pPr>
        <w:ind w:left="840" w:hanging="184"/>
        <w:spacing w:after="0"/>
        <w:tabs>
          <w:tab w:leader="none" w:pos="84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approve the total incentive compensation award expenditure of each sector and the Company overall.</w:t>
      </w:r>
    </w:p>
    <w:p>
      <w:pPr>
        <w:spacing w:after="0" w:line="229" w:lineRule="exact"/>
        <w:rPr>
          <w:rFonts w:ascii="Times New Roman" w:cs="Times New Roman" w:eastAsia="Times New Roman" w:hAnsi="Times New Roman"/>
          <w:sz w:val="20"/>
          <w:szCs w:val="20"/>
          <w:color w:val="auto"/>
        </w:rPr>
      </w:pPr>
    </w:p>
    <w:p>
      <w:pPr>
        <w:ind w:left="980" w:right="320" w:hanging="324"/>
        <w:spacing w:after="0" w:line="255" w:lineRule="auto"/>
        <w:tabs>
          <w:tab w:leader="none" w:pos="854"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decisions made by the CEO under the provisions of this Section VIII, as well as any interpretation of the AIP by the CEO, shall be conclusive and binding on all parties concerned.</w:t>
      </w:r>
    </w:p>
    <w:p>
      <w:pPr>
        <w:sectPr>
          <w:pgSz w:w="11900" w:h="16838" w:orient="portrait"/>
          <w:cols w:equalWidth="0" w:num="1">
            <w:col w:w="11240"/>
          </w:cols>
          <w:pgMar w:left="320" w:top="608"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10.3</w:t>
      </w:r>
    </w:p>
    <w:p>
      <w:pPr>
        <w:spacing w:after="0" w:line="200" w:lineRule="exact"/>
        <w:rPr>
          <w:sz w:val="20"/>
          <w:szCs w:val="20"/>
          <w:color w:val="auto"/>
        </w:rPr>
      </w:pPr>
    </w:p>
    <w:p>
      <w:pPr>
        <w:spacing w:after="0" w:line="33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SECTION IX</w:t>
      </w:r>
    </w:p>
    <w:p>
      <w:pPr>
        <w:ind w:left="3860"/>
        <w:spacing w:after="0" w:line="219" w:lineRule="auto"/>
        <w:rPr>
          <w:sz w:val="20"/>
          <w:szCs w:val="20"/>
          <w:color w:val="auto"/>
        </w:rPr>
      </w:pPr>
      <w:r>
        <w:rPr>
          <w:rFonts w:ascii="Times New Roman" w:cs="Times New Roman" w:eastAsia="Times New Roman" w:hAnsi="Times New Roman"/>
          <w:sz w:val="20"/>
          <w:szCs w:val="20"/>
          <w:color w:val="auto"/>
        </w:rPr>
        <w:t>METHOD OF PAYMENT OF INCENTIVE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COMPENSATION TO INDIVIDUALS</w:t>
      </w:r>
    </w:p>
    <w:p>
      <w:pPr>
        <w:spacing w:after="0" w:line="207" w:lineRule="exact"/>
        <w:rPr>
          <w:sz w:val="20"/>
          <w:szCs w:val="20"/>
          <w:color w:val="auto"/>
        </w:rPr>
      </w:pPr>
    </w:p>
    <w:p>
      <w:pPr>
        <w:ind w:left="200" w:hanging="192"/>
        <w:spacing w:after="0"/>
        <w:tabs>
          <w:tab w:leader="none" w:pos="2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ICP Payments</w:t>
      </w:r>
    </w:p>
    <w:p>
      <w:pPr>
        <w:spacing w:after="0" w:line="229" w:lineRule="exact"/>
        <w:rPr>
          <w:rFonts w:ascii="Times New Roman" w:cs="Times New Roman" w:eastAsia="Times New Roman" w:hAnsi="Times New Roman"/>
          <w:sz w:val="20"/>
          <w:szCs w:val="20"/>
          <w:color w:val="auto"/>
        </w:rPr>
      </w:pPr>
    </w:p>
    <w:p>
      <w:pPr>
        <w:ind w:left="980" w:right="60" w:hanging="324"/>
        <w:spacing w:after="0" w:line="231" w:lineRule="auto"/>
        <w:tabs>
          <w:tab w:leader="none" w:pos="843"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incentive compensation award determined for each participant with respect to a given performance year shall be paid in cash or in common stock of the Company (“Northrop Grumman common stock”) or partly in cash and partly in Northrop Grumman common stock, as the Committee may determine. Subject to any applicable deferred compensation election to the contrary, payment of the Incentive Compensation award with respect to a given Performance Year shall be made in a lump sum payment between February 15 and March 15 of the year following such Performance Year.</w:t>
      </w:r>
    </w:p>
    <w:p>
      <w:pPr>
        <w:spacing w:after="0" w:line="189" w:lineRule="exact"/>
        <w:rPr>
          <w:rFonts w:ascii="Times New Roman" w:cs="Times New Roman" w:eastAsia="Times New Roman" w:hAnsi="Times New Roman"/>
          <w:sz w:val="20"/>
          <w:szCs w:val="20"/>
          <w:color w:val="auto"/>
        </w:rPr>
      </w:pPr>
    </w:p>
    <w:p>
      <w:pPr>
        <w:ind w:left="980" w:right="200" w:hanging="324"/>
        <w:spacing w:after="0" w:line="255" w:lineRule="auto"/>
        <w:tabs>
          <w:tab w:leader="none" w:pos="854"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impose such conditions, including forfeitures and restrictions, as the Committee believes will best serve the interests of the Company and the purposes of the ICP.</w:t>
      </w:r>
    </w:p>
    <w:p>
      <w:pPr>
        <w:spacing w:after="0" w:line="186" w:lineRule="exact"/>
        <w:rPr>
          <w:rFonts w:ascii="Times New Roman" w:cs="Times New Roman" w:eastAsia="Times New Roman" w:hAnsi="Times New Roman"/>
          <w:sz w:val="20"/>
          <w:szCs w:val="20"/>
          <w:color w:val="auto"/>
        </w:rPr>
      </w:pPr>
    </w:p>
    <w:p>
      <w:pPr>
        <w:ind w:left="980" w:right="40" w:hanging="324"/>
        <w:spacing w:after="0" w:line="225" w:lineRule="auto"/>
        <w:tabs>
          <w:tab w:leader="none" w:pos="843"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making awards of Northrop Grumman common stock, the Committee shall first determine all incentive compensation awards in terms of dollars. The total dollar amount of all incentive compensation awards for a particular year shall not exceed the appropriated incentive compensation for that performance year under the ICP. After fixing the total amount of each Participant’s incentive compensation award in terms of dollars, then if some or all of the award is to be paid in Northrop Grumman common stock, the dollar amount of the incentive compensation award so to be paid shall be converted into shares of Northrop Grumman common stock by using the fair market value of such stock on the date of the award. “Fair market value” shall be the closing price of such stock on the New York Stock Exchange on the date of the award, or, if no sales of such stock occurred on that date, then on the last preceding date on which such sales occurred.</w:t>
      </w:r>
    </w:p>
    <w:p>
      <w:pPr>
        <w:spacing w:after="0" w:line="205" w:lineRule="exact"/>
        <w:rPr>
          <w:rFonts w:ascii="Times New Roman" w:cs="Times New Roman" w:eastAsia="Times New Roman" w:hAnsi="Times New Roman"/>
          <w:sz w:val="20"/>
          <w:szCs w:val="20"/>
          <w:color w:val="auto"/>
        </w:rPr>
      </w:pPr>
    </w:p>
    <w:p>
      <w:pPr>
        <w:ind w:left="980" w:right="140" w:hanging="324"/>
        <w:spacing w:after="0" w:line="232" w:lineRule="auto"/>
        <w:tabs>
          <w:tab w:leader="none" w:pos="854"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incentive compensation award is paid in Northrop Grumman common stock, the number of shares shall be appropriately adjusted for any stock splits, stock dividends, re-capitalization or other relevant changes in capitalization effective after the date of award and prior to the date as of which the participant becomes the record owner of the shares received in payment of the award. All such adjustments thereafter shall accrue to the participant as the record owner of the shares.</w:t>
      </w:r>
    </w:p>
    <w:p>
      <w:pPr>
        <w:spacing w:after="0" w:line="204" w:lineRule="exact"/>
        <w:rPr>
          <w:rFonts w:ascii="Times New Roman" w:cs="Times New Roman" w:eastAsia="Times New Roman" w:hAnsi="Times New Roman"/>
          <w:sz w:val="20"/>
          <w:szCs w:val="20"/>
          <w:color w:val="auto"/>
        </w:rPr>
      </w:pPr>
    </w:p>
    <w:p>
      <w:pPr>
        <w:ind w:left="980" w:right="660" w:hanging="324"/>
        <w:spacing w:after="0" w:line="255" w:lineRule="auto"/>
        <w:tabs>
          <w:tab w:leader="none" w:pos="843"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Northrop Grumman common stock issued in payment of incentive compensation awards may, at the option of the Board of Directors, be either originally issued shares or treasury shares.</w:t>
      </w:r>
    </w:p>
    <w:p>
      <w:pPr>
        <w:spacing w:after="0" w:line="172" w:lineRule="exact"/>
        <w:rPr>
          <w:rFonts w:ascii="Times New Roman" w:cs="Times New Roman" w:eastAsia="Times New Roman" w:hAnsi="Times New Roman"/>
          <w:sz w:val="20"/>
          <w:szCs w:val="20"/>
          <w:color w:val="auto"/>
        </w:rPr>
      </w:pPr>
    </w:p>
    <w:p>
      <w:pPr>
        <w:ind w:left="980" w:right="140" w:hanging="324"/>
        <w:spacing w:after="0" w:line="231" w:lineRule="auto"/>
        <w:tabs>
          <w:tab w:leader="none" w:pos="821"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 of awards shall be governed by the terms and conditions applicable to such awards, as determined by the Committee or its delegate. An award, the payment of which is to be deferred pursuant to the terms of an employment agreement, shall be paid as provided by the terms of such agreement. Awards or portions thereof deferred pursuant to the Northrop Grumman Deferred Compensation Plan, the Northrop Grumman Savings Excess Plan, or any other deferred compensation plan or deferral arrangement shall be paid as provided in such plan or arrangement.</w:t>
      </w:r>
    </w:p>
    <w:p>
      <w:pPr>
        <w:spacing w:after="0" w:line="202" w:lineRule="exact"/>
        <w:rPr>
          <w:rFonts w:ascii="Times New Roman" w:cs="Times New Roman" w:eastAsia="Times New Roman" w:hAnsi="Times New Roman"/>
          <w:sz w:val="20"/>
          <w:szCs w:val="20"/>
          <w:color w:val="auto"/>
        </w:rPr>
      </w:pPr>
    </w:p>
    <w:p>
      <w:pPr>
        <w:ind w:left="980" w:hanging="324"/>
        <w:spacing w:after="0"/>
        <w:tabs>
          <w:tab w:leader="none" w:pos="854"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the right to deduct from all payments under the ICP any federal, state, or local taxes required by law to be withheld with respect to such payments.</w:t>
      </w:r>
    </w:p>
    <w:p>
      <w:pPr>
        <w:spacing w:after="0" w:line="201" w:lineRule="exact"/>
        <w:rPr>
          <w:rFonts w:ascii="Times New Roman" w:cs="Times New Roman" w:eastAsia="Times New Roman" w:hAnsi="Times New Roman"/>
          <w:sz w:val="20"/>
          <w:szCs w:val="20"/>
          <w:color w:val="auto"/>
        </w:rPr>
      </w:pPr>
    </w:p>
    <w:p>
      <w:pPr>
        <w:ind w:left="980" w:right="60" w:hanging="324"/>
        <w:spacing w:after="0" w:line="235" w:lineRule="auto"/>
        <w:tabs>
          <w:tab w:leader="none" w:pos="854"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participant or any other party claiming an interest in amounts earned under the ICP shall have any interests whatsoever in any specific asset of the Company. To the extent that any party acquires a right to receive payments under the ICP, such right shall be equivalent to that of an unsecured general creditor of the Company. Awards payable under the plan shall be</w:t>
      </w:r>
    </w:p>
    <w:p>
      <w:pPr>
        <w:sectPr>
          <w:pgSz w:w="11900" w:h="16838" w:orient="portrait"/>
          <w:cols w:equalWidth="0" w:num="1">
            <w:col w:w="11240"/>
          </w:cols>
          <w:pgMar w:left="320" w:top="608"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10.3</w:t>
      </w:r>
    </w:p>
    <w:p>
      <w:pPr>
        <w:spacing w:after="0" w:line="200" w:lineRule="exact"/>
        <w:rPr>
          <w:sz w:val="20"/>
          <w:szCs w:val="20"/>
          <w:color w:val="auto"/>
        </w:rPr>
      </w:pPr>
    </w:p>
    <w:p>
      <w:pPr>
        <w:spacing w:after="0" w:line="339" w:lineRule="exact"/>
        <w:rPr>
          <w:sz w:val="20"/>
          <w:szCs w:val="20"/>
          <w:color w:val="auto"/>
        </w:rPr>
      </w:pPr>
    </w:p>
    <w:p>
      <w:pPr>
        <w:ind w:left="980" w:right="260"/>
        <w:spacing w:after="0" w:line="255" w:lineRule="auto"/>
        <w:rPr>
          <w:sz w:val="20"/>
          <w:szCs w:val="20"/>
          <w:color w:val="auto"/>
        </w:rPr>
      </w:pPr>
      <w:r>
        <w:rPr>
          <w:rFonts w:ascii="Times New Roman" w:cs="Times New Roman" w:eastAsia="Times New Roman" w:hAnsi="Times New Roman"/>
          <w:sz w:val="20"/>
          <w:szCs w:val="20"/>
          <w:color w:val="auto"/>
        </w:rPr>
        <w:t>payable in shares or from the general assets of Northrop Grumman, and no special or separate reserve, fund or deposit shall be made to assure payment of such awards.</w:t>
      </w:r>
    </w:p>
    <w:p>
      <w:pPr>
        <w:spacing w:after="0" w:line="173" w:lineRule="exact"/>
        <w:rPr>
          <w:sz w:val="20"/>
          <w:szCs w:val="20"/>
          <w:color w:val="auto"/>
        </w:rPr>
      </w:pPr>
    </w:p>
    <w:p>
      <w:pPr>
        <w:ind w:left="980" w:right="300" w:hanging="323"/>
        <w:spacing w:after="0" w:line="255" w:lineRule="auto"/>
        <w:rPr>
          <w:sz w:val="20"/>
          <w:szCs w:val="20"/>
          <w:color w:val="auto"/>
        </w:rPr>
      </w:pPr>
      <w:r>
        <w:rPr>
          <w:rFonts w:ascii="Times New Roman" w:cs="Times New Roman" w:eastAsia="Times New Roman" w:hAnsi="Times New Roman"/>
          <w:sz w:val="20"/>
          <w:szCs w:val="20"/>
          <w:color w:val="auto"/>
        </w:rPr>
        <w:t>i. The Committee shall have the right to interpret the provisions of this SECTION IX, to determine questions arising under it or in connection with its administration, and to issue regulations and take actions implementing its provisions.</w:t>
      </w:r>
    </w:p>
    <w:p>
      <w:pPr>
        <w:spacing w:after="0" w:line="186" w:lineRule="exact"/>
        <w:rPr>
          <w:sz w:val="20"/>
          <w:szCs w:val="20"/>
          <w:color w:val="auto"/>
        </w:rPr>
      </w:pPr>
    </w:p>
    <w:p>
      <w:pPr>
        <w:ind w:left="200" w:hanging="192"/>
        <w:spacing w:after="0"/>
        <w:tabs>
          <w:tab w:leader="none" w:pos="2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AIP Payments</w:t>
      </w:r>
    </w:p>
    <w:p>
      <w:pPr>
        <w:spacing w:after="0" w:line="215" w:lineRule="exact"/>
        <w:rPr>
          <w:rFonts w:ascii="Times New Roman" w:cs="Times New Roman" w:eastAsia="Times New Roman" w:hAnsi="Times New Roman"/>
          <w:sz w:val="20"/>
          <w:szCs w:val="20"/>
          <w:color w:val="auto"/>
        </w:rPr>
      </w:pPr>
    </w:p>
    <w:p>
      <w:pPr>
        <w:ind w:left="980" w:right="320" w:hanging="324"/>
        <w:spacing w:after="0" w:line="255" w:lineRule="auto"/>
        <w:tabs>
          <w:tab w:leader="none" w:pos="843"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incentive compensation award determined for each participant with respect to a given performance year shall be paid in cash between February 15 and March 15 of the year following that performance year.</w:t>
      </w:r>
    </w:p>
    <w:p>
      <w:pPr>
        <w:spacing w:after="0" w:line="186" w:lineRule="exact"/>
        <w:rPr>
          <w:rFonts w:ascii="Times New Roman" w:cs="Times New Roman" w:eastAsia="Times New Roman" w:hAnsi="Times New Roman"/>
          <w:sz w:val="20"/>
          <w:szCs w:val="20"/>
          <w:color w:val="auto"/>
        </w:rPr>
      </w:pPr>
    </w:p>
    <w:p>
      <w:pPr>
        <w:ind w:left="980" w:right="160" w:hanging="324"/>
        <w:spacing w:after="0" w:line="255" w:lineRule="auto"/>
        <w:tabs>
          <w:tab w:leader="none" w:pos="854"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the right to deduct from all payments under this plan any federal, state, or local taxes required by law to be withheld with respect to such payments.</w:t>
      </w:r>
    </w:p>
    <w:p>
      <w:pPr>
        <w:spacing w:after="0" w:line="172" w:lineRule="exact"/>
        <w:rPr>
          <w:rFonts w:ascii="Times New Roman" w:cs="Times New Roman" w:eastAsia="Times New Roman" w:hAnsi="Times New Roman"/>
          <w:sz w:val="20"/>
          <w:szCs w:val="20"/>
          <w:color w:val="auto"/>
        </w:rPr>
      </w:pPr>
    </w:p>
    <w:p>
      <w:pPr>
        <w:ind w:left="980" w:hanging="324"/>
        <w:spacing w:after="0" w:line="231" w:lineRule="auto"/>
        <w:tabs>
          <w:tab w:leader="none" w:pos="843"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participant or any other party claiming an interest in amounts earned under the AIP shall have any interest whatsoever in any specific asset of the Company. To the extent that any party acquires a right to receive payments under the plan, such right shall be equivalent to that of an unsecured general creditor of the Company. Awards payable under the AIP shall be payable in shares or from the general assets of Northrop Grumman, and no special or separate reserve, fund or deposit shall be made to assure payment of such awards.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X</w:t>
      </w:r>
    </w:p>
    <w:p>
      <w:pPr>
        <w:jc w:val="center"/>
        <w:spacing w:after="0"/>
        <w:rPr>
          <w:sz w:val="20"/>
          <w:szCs w:val="20"/>
          <w:color w:val="auto"/>
        </w:rPr>
      </w:pPr>
      <w:r>
        <w:rPr>
          <w:rFonts w:ascii="Times New Roman" w:cs="Times New Roman" w:eastAsia="Times New Roman" w:hAnsi="Times New Roman"/>
          <w:sz w:val="20"/>
          <w:szCs w:val="20"/>
          <w:color w:val="auto"/>
        </w:rPr>
        <w:t>AMENDMENT OR TERMINATION OF PLANS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Committee shall have the right to terminate or amend these plans at any time and to discontinue further appropriations to the plans.</w:t>
      </w:r>
    </w:p>
    <w:p>
      <w:pPr>
        <w:spacing w:after="0" w:line="22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9"/>
          <w:szCs w:val="19"/>
          <w:color w:val="auto"/>
        </w:rPr>
        <w:t>Without limiting the generality of the preceding paragraph, the Committee reserves the right to adjust performance measures, the applicable performance goals and performance results with respect to either or both of the plans to the extent the Committee determines such adjustment</w:t>
      </w:r>
    </w:p>
    <w:p>
      <w:pPr>
        <w:spacing w:after="0" w:line="227" w:lineRule="auto"/>
        <w:rPr>
          <w:sz w:val="20"/>
          <w:szCs w:val="20"/>
          <w:color w:val="auto"/>
        </w:rPr>
      </w:pPr>
      <w:r>
        <w:rPr>
          <w:rFonts w:ascii="Times New Roman" w:cs="Times New Roman" w:eastAsia="Times New Roman" w:hAnsi="Times New Roman"/>
          <w:sz w:val="20"/>
          <w:szCs w:val="20"/>
          <w:color w:val="auto"/>
        </w:rPr>
        <w:t>is reasonably necessary or advisable to preserve the intended incentives and benefits under the plans to reflect (1) any change in</w:t>
      </w:r>
    </w:p>
    <w:p>
      <w:pPr>
        <w:ind w:right="120"/>
        <w:spacing w:after="0" w:line="229" w:lineRule="auto"/>
        <w:rPr>
          <w:sz w:val="20"/>
          <w:szCs w:val="20"/>
          <w:color w:val="auto"/>
        </w:rPr>
      </w:pPr>
      <w:r>
        <w:rPr>
          <w:rFonts w:ascii="Times New Roman" w:cs="Times New Roman" w:eastAsia="Times New Roman" w:hAnsi="Times New Roman"/>
          <w:sz w:val="19"/>
          <w:szCs w:val="19"/>
          <w:color w:val="auto"/>
        </w:rPr>
        <w:t>capitalization, any corporate transaction (such as a reorganization, combination, separation, merger, acquisition, or any combination of the foregoing), or any complete or partial liquidation, (2) any change in accounting policies or practices, or (3) the effects of any special charges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earnings, or (4) any other similar special circumstances.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XI</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EFFECTIVE DATE</w:t>
      </w:r>
    </w:p>
    <w:p>
      <w:pPr>
        <w:spacing w:after="0" w:line="194"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19"/>
          <w:szCs w:val="19"/>
          <w:color w:val="auto"/>
        </w:rPr>
        <w:t>These plans were first effective for performance years commencing with 2006, were amended and restated effective for performance years commencing with and following 2008, were again amended and restated effective for performance years commencing with and following</w:t>
      </w:r>
    </w:p>
    <w:p>
      <w:pPr>
        <w:spacing w:after="0" w:line="1" w:lineRule="exact"/>
        <w:rPr>
          <w:sz w:val="20"/>
          <w:szCs w:val="20"/>
          <w:color w:val="auto"/>
        </w:rPr>
      </w:pPr>
    </w:p>
    <w:p>
      <w:pPr>
        <w:ind w:right="320"/>
        <w:spacing w:after="0" w:line="229" w:lineRule="auto"/>
        <w:rPr>
          <w:sz w:val="20"/>
          <w:szCs w:val="20"/>
          <w:color w:val="auto"/>
        </w:rPr>
      </w:pPr>
      <w:r>
        <w:rPr>
          <w:rFonts w:ascii="Times New Roman" w:cs="Times New Roman" w:eastAsia="Times New Roman" w:hAnsi="Times New Roman"/>
          <w:sz w:val="19"/>
          <w:szCs w:val="19"/>
          <w:color w:val="auto"/>
        </w:rPr>
        <w:t>2022, were again amended and restated effective January 1, 2024, and shall stay in effect until amended, modified or terminated by the Committee. The provisions of these plans shall supersede and replace those of prior plan documents, including but not limited to the 2002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Incentive Compensation Plan for Section 162(m) Officers.</w:t>
      </w:r>
    </w:p>
    <w:p>
      <w:pPr>
        <w:sectPr>
          <w:pgSz w:w="11900" w:h="16838" w:orient="portrait"/>
          <w:cols w:equalWidth="0" w:num="1">
            <w:col w:w="11240"/>
          </w:cols>
          <w:pgMar w:left="320" w:top="608"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10.3</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XII</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RECOUPMENT</w:t>
      </w:r>
    </w:p>
    <w:p>
      <w:pPr>
        <w:spacing w:after="0" w:line="194"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9"/>
          <w:szCs w:val="19"/>
          <w:color w:val="auto"/>
        </w:rPr>
        <w:t>Any payment of an incentive compensation award is subject to recoupment pursuant to the Company’s Policy Regarding the Recoupment of Certain Incentive Compensation Payments (July 1, 2023) or any clawback or recoupment policy that the Company adopts, as in effect from</w:t>
      </w:r>
    </w:p>
    <w:p>
      <w:pPr>
        <w:spacing w:after="0" w:line="1"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9"/>
          <w:szCs w:val="19"/>
          <w:color w:val="auto"/>
        </w:rPr>
        <w:t>time to time, and the participant shall promptly make any reimbursement requested by the Board of Directors of the Company or the Committee pursuant to such policy with respect to any incentive compensation award payments. Further, the participant agrees, by accepting</w:t>
      </w:r>
    </w:p>
    <w:p>
      <w:pPr>
        <w:spacing w:after="0" w:line="2"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20"/>
          <w:szCs w:val="20"/>
          <w:color w:val="auto"/>
        </w:rPr>
        <w:t>an incentive compensation award, that the Company and its affiliates may deduct from any amounts it may owe the participant from time to time (such as wages or other compensation) to the extent of any amounts the participant is required to reimburse the Company pursuant to such policy with respect to the award.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XIII</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MISCELLANEOUS</w:t>
      </w:r>
    </w:p>
    <w:p>
      <w:pPr>
        <w:spacing w:after="0" w:line="207" w:lineRule="exact"/>
        <w:rPr>
          <w:sz w:val="20"/>
          <w:szCs w:val="20"/>
          <w:color w:val="auto"/>
        </w:rPr>
      </w:pPr>
    </w:p>
    <w:p>
      <w:pPr>
        <w:ind w:left="660" w:right="620" w:hanging="652"/>
        <w:spacing w:after="0" w:line="235" w:lineRule="auto"/>
        <w:tabs>
          <w:tab w:leader="none" w:pos="21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Participation in any plan shall not constitute an agreement of the participant to remain in the employ of and to render services to the Company, or of the Company to continue to employ such participant, and the Company may terminate the employment of a participant at any time with or without cause.</w:t>
      </w:r>
    </w:p>
    <w:p>
      <w:pPr>
        <w:spacing w:after="0" w:line="201" w:lineRule="exact"/>
        <w:rPr>
          <w:rFonts w:ascii="Times New Roman" w:cs="Times New Roman" w:eastAsia="Times New Roman" w:hAnsi="Times New Roman"/>
          <w:sz w:val="20"/>
          <w:szCs w:val="20"/>
          <w:color w:val="auto"/>
        </w:rPr>
      </w:pPr>
    </w:p>
    <w:p>
      <w:pPr>
        <w:ind w:left="660" w:hanging="652"/>
        <w:spacing w:after="0" w:line="266" w:lineRule="auto"/>
        <w:tabs>
          <w:tab w:leader="none" w:pos="21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any provision of the plan shall be held illegal or invalid for any reason, the illegality or invalidity shall not affect the remaining parts of the plans, and the plans shall be construed and enforced as if the illegal or invalid provision had not been included.</w:t>
      </w:r>
    </w:p>
    <w:p>
      <w:pPr>
        <w:spacing w:after="0" w:line="177" w:lineRule="exact"/>
        <w:rPr>
          <w:rFonts w:ascii="Times New Roman" w:cs="Times New Roman" w:eastAsia="Times New Roman" w:hAnsi="Times New Roman"/>
          <w:sz w:val="19"/>
          <w:szCs w:val="19"/>
          <w:color w:val="auto"/>
        </w:rPr>
      </w:pPr>
    </w:p>
    <w:p>
      <w:pPr>
        <w:ind w:left="200" w:hanging="192"/>
        <w:spacing w:after="0"/>
        <w:tabs>
          <w:tab w:leader="none" w:pos="2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costs of implementing and administering the plans shall be borne by the Company.</w:t>
      </w:r>
    </w:p>
    <w:p>
      <w:pPr>
        <w:spacing w:after="0" w:line="229" w:lineRule="exact"/>
        <w:rPr>
          <w:rFonts w:ascii="Times New Roman" w:cs="Times New Roman" w:eastAsia="Times New Roman" w:hAnsi="Times New Roman"/>
          <w:sz w:val="20"/>
          <w:szCs w:val="20"/>
          <w:color w:val="auto"/>
        </w:rPr>
      </w:pPr>
    </w:p>
    <w:p>
      <w:pPr>
        <w:ind w:left="660" w:right="20" w:hanging="652"/>
        <w:spacing w:after="0" w:line="235" w:lineRule="auto"/>
        <w:tabs>
          <w:tab w:leader="none" w:pos="21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the Company under the plans shall be binding upon and inure to the benefit of any successor to the Company, whether the existence of such successor is the result of a direct or indirect purchase, merger, consolidation, or otherwise, of all or substantially all of the business and/or assets of the Company.</w:t>
      </w:r>
    </w:p>
    <w:p>
      <w:pPr>
        <w:spacing w:after="0" w:line="201"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plans and any agreements hereunder, shall be governed by and construed in accordance with the laws of the state of Delaware.</w:t>
      </w:r>
    </w:p>
    <w:p>
      <w:pPr>
        <w:spacing w:after="0" w:line="215" w:lineRule="exact"/>
        <w:rPr>
          <w:rFonts w:ascii="Times New Roman" w:cs="Times New Roman" w:eastAsia="Times New Roman" w:hAnsi="Times New Roman"/>
          <w:sz w:val="20"/>
          <w:szCs w:val="20"/>
          <w:color w:val="auto"/>
        </w:rPr>
      </w:pPr>
    </w:p>
    <w:p>
      <w:pPr>
        <w:ind w:left="660" w:right="140" w:hanging="652"/>
        <w:spacing w:after="0" w:line="255" w:lineRule="auto"/>
        <w:tabs>
          <w:tab w:leader="none" w:pos="21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a participant or any other person to any payment or other benefits under either of the plans may not be assigned, transferred, pledged, or encumbered except by will or the laws of decent or distribution.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Neither of the plans constitutes a contract. Neither of the plans confers upon any person any right to receive a bonus or any other payment or</w:t>
      </w:r>
    </w:p>
    <w:p>
      <w:pPr>
        <w:spacing w:after="0" w:line="20" w:lineRule="exact"/>
        <w:rPr>
          <w:sz w:val="20"/>
          <w:szCs w:val="20"/>
          <w:color w:val="auto"/>
        </w:rPr>
      </w:pPr>
    </w:p>
    <w:p>
      <w:pPr>
        <w:ind w:right="160"/>
        <w:spacing w:after="0" w:line="228" w:lineRule="auto"/>
        <w:rPr>
          <w:sz w:val="20"/>
          <w:szCs w:val="20"/>
          <w:color w:val="auto"/>
        </w:rPr>
      </w:pPr>
      <w:r>
        <w:rPr>
          <w:rFonts w:ascii="Times New Roman" w:cs="Times New Roman" w:eastAsia="Times New Roman" w:hAnsi="Times New Roman"/>
          <w:sz w:val="20"/>
          <w:szCs w:val="20"/>
          <w:color w:val="auto"/>
        </w:rPr>
        <w:t>benefit. There is no commitment or obligation on the part of Northrop Grumman (or any affiliate) to continue any bonus plan (similar to the plans or otherwise) in any particular year.</w:t>
      </w:r>
    </w:p>
    <w:p>
      <w:pPr>
        <w:sectPr>
          <w:pgSz w:w="11900" w:h="16838" w:orient="portrait"/>
          <w:cols w:equalWidth="0" w:num="1">
            <w:col w:w="11240"/>
          </w:cols>
          <w:pgMar w:left="320" w:top="6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FROM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 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2980 Fairview Park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 22042</w:t>
      </w:r>
    </w:p>
    <w:p>
      <w:pPr>
        <w:spacing w:after="0" w:line="396"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We are aware that our report dated April 24, 2024, on our review of the interim financial information of Northrop Grumman Corporation and subsidiaries appearing in this Quarterly Report on Form 10-Q for the quarter ended March 31, 2024, is incorporated by reference in Registration Statement Nos. 033-59815, 033-59853, 333-67266, 333-100179, 333-107734, 333-121104, 333-125120, 333-127317, 333-175798, and 333-273482 on Form S-8, 333-270497 on Form S-3, and 333-264549 on Form S-4.</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ectPr>
          <w:pgSz w:w="11900" w:h="16838" w:orient="portrait"/>
          <w:cols w:equalWidth="0" w:num="1">
            <w:col w:w="11240"/>
          </w:cols>
          <w:pgMar w:left="320" w:top="88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8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2024</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F. Keffer, certify that:</w:t>
      </w:r>
    </w:p>
    <w:p>
      <w:pPr>
        <w:spacing w:after="0" w:line="90"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8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2024</w:t>
      </w:r>
    </w:p>
    <w:p>
      <w:pPr>
        <w:spacing w:after="0" w:line="200" w:lineRule="exact"/>
        <w:rPr>
          <w:sz w:val="20"/>
          <w:szCs w:val="20"/>
          <w:color w:val="auto"/>
        </w:rPr>
      </w:pPr>
    </w:p>
    <w:p>
      <w:pPr>
        <w:spacing w:after="0" w:line="22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David F. Keffer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ectPr>
          <w:pgSz w:w="11900" w:h="16838" w:orient="portrait"/>
          <w:cols w:equalWidth="0" w:num="1">
            <w:col w:w="11240"/>
          </w:cols>
          <w:pgMar w:left="320" w:top="88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March 31, 2024, as filed with the Securities and Exchange Commission on the date hereof (the “Report”), I, Kathy J. Warden, Chair, Chief Executive Officer and President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2024</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March 31, 2024, as filed with the Securities and Exchange Commission on the date hereof (the “Report”), I, David F. Keffer, Corporate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2024</w:t>
      </w:r>
    </w:p>
    <w:p>
      <w:pPr>
        <w:spacing w:after="0" w:line="200" w:lineRule="exact"/>
        <w:rPr>
          <w:sz w:val="20"/>
          <w:szCs w:val="20"/>
          <w:color w:val="auto"/>
        </w:rPr>
      </w:pPr>
    </w:p>
    <w:p>
      <w:pPr>
        <w:spacing w:after="0" w:line="26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David F. Keffer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decimal"/>
      <w:start w:val="1"/>
    </w:lvl>
  </w:abstractNum>
  <w:abstractNum w:abstractNumId="4">
    <w:nsid w:val="725A06FB"/>
    <w:multiLevelType w:val="hybridMultilevel"/>
    <w:lvl w:ilvl="0">
      <w:lvlJc w:val="left"/>
      <w:lvlText w:val="%1."/>
      <w:numFmt w:val="decimal"/>
      <w:start w:val="3"/>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1)"/>
      <w:numFmt w:val="decimal"/>
      <w:start w:val="1"/>
    </w:lvl>
  </w:abstractNum>
  <w:abstractNum w:abstractNumId="9">
    <w:nsid w:val="542289EC"/>
    <w:multiLevelType w:val="hybridMultilevel"/>
    <w:lvl w:ilvl="0">
      <w:lvlJc w:val="left"/>
      <w:lvlText w:val="(%1)"/>
      <w:numFmt w:val="decimal"/>
      <w:start w:val="1"/>
    </w:lvl>
  </w:abstractNum>
  <w:abstractNum w:abstractNumId="10">
    <w:nsid w:val="6DE91B18"/>
    <w:multiLevelType w:val="hybridMultilevel"/>
    <w:lvl w:ilvl="0">
      <w:lvlJc w:val="left"/>
      <w:lvlText w:val="(%1)"/>
      <w:numFmt w:val="decimal"/>
      <w:start w:val="1"/>
    </w:lvl>
  </w:abstractNum>
  <w:abstractNum w:abstractNumId="11">
    <w:nsid w:val="38437FDB"/>
    <w:multiLevelType w:val="hybridMultilevel"/>
    <w:lvl w:ilvl="0">
      <w:lvlJc w:val="left"/>
      <w:lvlText w:val="(%1)"/>
      <w:numFmt w:val="decimal"/>
      <w:start w:val="1"/>
    </w:lvl>
  </w:abstractNum>
  <w:abstractNum w:abstractNumId="12">
    <w:nsid w:val="7644A45C"/>
    <w:multiLevelType w:val="hybridMultilevel"/>
    <w:lvl w:ilvl="0">
      <w:lvlJc w:val="left"/>
      <w:lvlText w:val="(%1)"/>
      <w:numFmt w:val="decimal"/>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1)"/>
      <w:numFmt w:val="decimal"/>
      <w:start w:val="1"/>
    </w:lvl>
  </w:abstractNum>
  <w:abstractNum w:abstractNumId="18">
    <w:nsid w:val="1BA026FA"/>
    <w:multiLevelType w:val="hybridMultilevel"/>
    <w:lvl w:ilvl="0">
      <w:lvlJc w:val="left"/>
      <w:lvlText w:val="(%1)"/>
      <w:numFmt w:val="decimal"/>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1."/>
      <w:numFmt w:val="decimal"/>
      <w:start w:val="1"/>
    </w:lvl>
  </w:abstractNum>
  <w:abstractNum w:abstractNumId="23">
    <w:nsid w:val="520EEDD1"/>
    <w:multiLevelType w:val="hybridMultilevel"/>
    <w:lvl w:ilvl="0">
      <w:lvlJc w:val="left"/>
      <w:lvlText w:val="%1."/>
      <w:numFmt w:val="decimal"/>
      <w:start w:val="2"/>
    </w:lvl>
  </w:abstractNum>
  <w:abstractNum w:abstractNumId="24">
    <w:nsid w:val="374A3FE6"/>
    <w:multiLevelType w:val="hybridMultilevel"/>
    <w:lvl w:ilvl="0">
      <w:lvlJc w:val="left"/>
      <w:lvlText w:val="(%1)"/>
      <w:numFmt w:val="decimal"/>
      <w:start w:val="30"/>
    </w:lvl>
  </w:abstractNum>
  <w:abstractNum w:abstractNumId="25">
    <w:nsid w:val="4F4EF005"/>
    <w:multiLevelType w:val="hybridMultilevel"/>
    <w:lvl w:ilvl="0">
      <w:lvlJc w:val="left"/>
      <w:lvlText w:val="%1."/>
      <w:numFmt w:val="decimal"/>
      <w:start w:val="3"/>
    </w:lvl>
  </w:abstractNum>
  <w:abstractNum w:abstractNumId="26">
    <w:nsid w:val="23F9C13C"/>
    <w:multiLevelType w:val="hybridMultilevel"/>
    <w:lvl w:ilvl="0">
      <w:lvlJc w:val="left"/>
      <w:lvlText w:val="%1."/>
      <w:numFmt w:val="decimal"/>
      <w:start w:val="4"/>
    </w:lvl>
  </w:abstractNum>
  <w:abstractNum w:abstractNumId="27">
    <w:nsid w:val="649BB77C"/>
    <w:multiLevelType w:val="hybridMultilevel"/>
    <w:lvl w:ilvl="0">
      <w:lvlJc w:val="left"/>
      <w:lvlText w:val="(%1)"/>
      <w:numFmt w:val="decimal"/>
      <w:start w:val="24"/>
    </w:lvl>
  </w:abstractNum>
  <w:abstractNum w:abstractNumId="28">
    <w:nsid w:val="275AC794"/>
    <w:multiLevelType w:val="hybridMultilevel"/>
    <w:lvl w:ilvl="0">
      <w:lvlJc w:val="left"/>
      <w:lvlText w:val="(%1)"/>
      <w:numFmt w:val="lowerRoman"/>
      <w:start w:val="3"/>
    </w:lvl>
  </w:abstractNum>
  <w:abstractNum w:abstractNumId="29">
    <w:nsid w:val="39386575"/>
    <w:multiLevelType w:val="hybridMultilevel"/>
    <w:lvl w:ilvl="0">
      <w:lvlJc w:val="left"/>
      <w:lvlText w:val="%1."/>
      <w:numFmt w:val="decimal"/>
      <w:start w:val="5"/>
    </w:lvl>
  </w:abstractNum>
  <w:abstractNum w:abstractNumId="30">
    <w:nsid w:val="1CF10FD8"/>
    <w:multiLevelType w:val="hybridMultilevel"/>
    <w:lvl w:ilvl="0">
      <w:lvlJc w:val="left"/>
      <w:lvlText w:val="%1."/>
      <w:numFmt w:val="decimal"/>
      <w:start w:val="6"/>
    </w:lvl>
  </w:abstractNum>
  <w:abstractNum w:abstractNumId="31">
    <w:nsid w:val="180115BE"/>
    <w:multiLevelType w:val="hybridMultilevel"/>
    <w:lvl w:ilvl="0">
      <w:lvlJc w:val="left"/>
      <w:lvlText w:val="(%1)"/>
      <w:numFmt w:val="lowerLetter"/>
      <w:start w:val="2"/>
    </w:lvl>
  </w:abstractNum>
  <w:abstractNum w:abstractNumId="32">
    <w:nsid w:val="235BA861"/>
    <w:multiLevelType w:val="hybridMultilevel"/>
    <w:lvl w:ilvl="0">
      <w:lvlJc w:val="left"/>
      <w:lvlText w:val="%1."/>
      <w:numFmt w:val="decimal"/>
      <w:start w:val="7"/>
    </w:lvl>
  </w:abstractNum>
  <w:abstractNum w:abstractNumId="33">
    <w:nsid w:val="47398C89"/>
    <w:multiLevelType w:val="hybridMultilevel"/>
    <w:lvl w:ilvl="0">
      <w:lvlJc w:val="left"/>
      <w:lvlText w:val="(%1)"/>
      <w:numFmt w:val="lowerLetter"/>
      <w:start w:val="1"/>
    </w:lvl>
  </w:abstractNum>
  <w:abstractNum w:abstractNumId="34">
    <w:nsid w:val="354FE9F9"/>
    <w:multiLevelType w:val="hybridMultilevel"/>
    <w:lvl w:ilvl="0">
      <w:lvlJc w:val="left"/>
      <w:lvlText w:val="(%1)"/>
      <w:numFmt w:val="lowerLetter"/>
      <w:start w:val="1"/>
    </w:lvl>
  </w:abstractNum>
  <w:abstractNum w:abstractNumId="35">
    <w:nsid w:val="15B5AF5C"/>
    <w:multiLevelType w:val="hybridMultilevel"/>
    <w:lvl w:ilvl="0">
      <w:lvlJc w:val="left"/>
      <w:lvlText w:val="%1."/>
      <w:numFmt w:val="decimal"/>
      <w:start w:val="8"/>
    </w:lvl>
  </w:abstractNum>
  <w:abstractNum w:abstractNumId="36">
    <w:nsid w:val="741226BB"/>
    <w:multiLevelType w:val="hybridMultilevel"/>
    <w:lvl w:ilvl="0">
      <w:lvlJc w:val="left"/>
      <w:lvlText w:val="%1."/>
      <w:numFmt w:val="decimal"/>
      <w:start w:val="9"/>
    </w:lvl>
  </w:abstractNum>
  <w:abstractNum w:abstractNumId="37">
    <w:nsid w:val="D34B6A8"/>
    <w:multiLevelType w:val="hybridMultilevel"/>
    <w:lvl w:ilvl="0">
      <w:lvlJc w:val="left"/>
      <w:lvlText w:val="%1."/>
      <w:numFmt w:val="decimal"/>
      <w:start w:val="10"/>
    </w:lvl>
  </w:abstractNum>
  <w:abstractNum w:abstractNumId="38">
    <w:nsid w:val="10233C99"/>
    <w:multiLevelType w:val="hybridMultilevel"/>
    <w:lvl w:ilvl="0">
      <w:lvlJc w:val="left"/>
      <w:lvlText w:val="%1."/>
      <w:numFmt w:val="decimal"/>
      <w:start w:val="11"/>
    </w:lvl>
  </w:abstractNum>
  <w:abstractNum w:abstractNumId="39">
    <w:nsid w:val="3F6AB60F"/>
    <w:multiLevelType w:val="hybridMultilevel"/>
    <w:lvl w:ilvl="0">
      <w:lvlJc w:val="left"/>
      <w:lvlText w:val="%1."/>
      <w:numFmt w:val="decimal"/>
      <w:start w:val="12"/>
    </w:lvl>
  </w:abstractNum>
  <w:abstractNum w:abstractNumId="40">
    <w:nsid w:val="61574095"/>
    <w:multiLevelType w:val="hybridMultilevel"/>
    <w:lvl w:ilvl="0">
      <w:lvlJc w:val="left"/>
      <w:lvlText w:val="(%1)"/>
      <w:numFmt w:val="lowerRoman"/>
      <w:start w:val="1"/>
    </w:lvl>
  </w:abstractNum>
  <w:abstractNum w:abstractNumId="41">
    <w:nsid w:val="7E0C57B1"/>
    <w:multiLevelType w:val="hybridMultilevel"/>
    <w:lvl w:ilvl="0">
      <w:lvlJc w:val="left"/>
      <w:lvlText w:val="(%1)"/>
      <w:numFmt w:val="lowerRoman"/>
      <w:start w:val="1"/>
    </w:lvl>
  </w:abstractNum>
  <w:abstractNum w:abstractNumId="42">
    <w:nsid w:val="77AE35EB"/>
    <w:multiLevelType w:val="hybridMultilevel"/>
    <w:lvl w:ilvl="0">
      <w:lvlJc w:val="left"/>
      <w:lvlText w:val="(%1)"/>
      <w:numFmt w:val="lowerRoman"/>
      <w:start w:val="1"/>
    </w:lvl>
  </w:abstractNum>
  <w:abstractNum w:abstractNumId="43">
    <w:nsid w:val="579BE4F1"/>
    <w:multiLevelType w:val="hybridMultilevel"/>
    <w:lvl w:ilvl="0">
      <w:lvlJc w:val="left"/>
      <w:lvlText w:val="(%1)"/>
      <w:numFmt w:val="lowerRoman"/>
      <w:start w:val="2"/>
    </w:lvl>
  </w:abstractNum>
  <w:abstractNum w:abstractNumId="44">
    <w:nsid w:val="310C50B3"/>
    <w:multiLevelType w:val="hybridMultilevel"/>
    <w:lvl w:ilvl="0">
      <w:lvlJc w:val="left"/>
      <w:lvlText w:val="(%1)"/>
      <w:numFmt w:val="lowerRoman"/>
      <w:start w:val="4"/>
    </w:lvl>
  </w:abstractNum>
  <w:abstractNum w:abstractNumId="45">
    <w:nsid w:val="5FF87E05"/>
    <w:multiLevelType w:val="hybridMultilevel"/>
    <w:lvl w:ilvl="0">
      <w:lvlJc w:val="left"/>
      <w:lvlText w:val="(%1)"/>
      <w:numFmt w:val="lowerRoman"/>
      <w:start w:val="1"/>
    </w:lvl>
    <w:lvl w:ilvl="1">
      <w:lvlJc w:val="left"/>
      <w:lvlText w:val="(%2)"/>
      <w:numFmt w:val="lowerRoman"/>
      <w:start w:val="1"/>
    </w:lvl>
  </w:abstractNum>
  <w:abstractNum w:abstractNumId="46">
    <w:nsid w:val="2F305DEF"/>
    <w:multiLevelType w:val="hybridMultilevel"/>
    <w:lvl w:ilvl="0">
      <w:lvlJc w:val="left"/>
      <w:lvlText w:val="%1."/>
      <w:numFmt w:val="decimal"/>
      <w:start w:val="1"/>
    </w:lvl>
  </w:abstractNum>
  <w:abstractNum w:abstractNumId="47">
    <w:nsid w:val="25A70BF7"/>
    <w:multiLevelType w:val="hybridMultilevel"/>
    <w:lvl w:ilvl="0">
      <w:lvlJc w:val="left"/>
      <w:lvlText w:val="%1."/>
      <w:numFmt w:val="decimal"/>
      <w:start w:val="2"/>
    </w:lvl>
  </w:abstractNum>
  <w:abstractNum w:abstractNumId="48">
    <w:nsid w:val="1DBABF00"/>
    <w:multiLevelType w:val="hybridMultilevel"/>
    <w:lvl w:ilvl="0">
      <w:lvlJc w:val="left"/>
      <w:lvlText w:val="%1."/>
      <w:numFmt w:val="decimal"/>
      <w:start w:val="3"/>
    </w:lvl>
  </w:abstractNum>
  <w:abstractNum w:abstractNumId="49">
    <w:nsid w:val="4AD084E9"/>
    <w:multiLevelType w:val="hybridMultilevel"/>
    <w:lvl w:ilvl="0">
      <w:lvlJc w:val="left"/>
      <w:lvlText w:val="%1."/>
      <w:numFmt w:val="decimal"/>
      <w:start w:val="4"/>
    </w:lvl>
  </w:abstractNum>
  <w:abstractNum w:abstractNumId="50">
    <w:nsid w:val="1F48EAA1"/>
    <w:multiLevelType w:val="hybridMultilevel"/>
    <w:lvl w:ilvl="0">
      <w:lvlJc w:val="left"/>
      <w:lvlText w:val="(%1)"/>
      <w:numFmt w:val="decimal"/>
      <w:start w:val="24"/>
    </w:lvl>
  </w:abstractNum>
  <w:abstractNum w:abstractNumId="51">
    <w:nsid w:val="1381823A"/>
    <w:multiLevelType w:val="hybridMultilevel"/>
    <w:lvl w:ilvl="0">
      <w:lvlJc w:val="left"/>
      <w:lvlText w:val="%1."/>
      <w:numFmt w:val="decimal"/>
      <w:start w:val="5"/>
    </w:lvl>
  </w:abstractNum>
  <w:abstractNum w:abstractNumId="52">
    <w:nsid w:val="5DB70AE5"/>
    <w:multiLevelType w:val="hybridMultilevel"/>
    <w:lvl w:ilvl="0">
      <w:lvlJc w:val="left"/>
      <w:lvlText w:val="%1."/>
      <w:numFmt w:val="decimal"/>
      <w:start w:val="6"/>
    </w:lvl>
  </w:abstractNum>
  <w:abstractNum w:abstractNumId="53">
    <w:nsid w:val="100F8FCA"/>
    <w:multiLevelType w:val="hybridMultilevel"/>
    <w:lvl w:ilvl="0">
      <w:lvlJc w:val="left"/>
      <w:lvlText w:val="%1."/>
      <w:numFmt w:val="decimal"/>
      <w:start w:val="7"/>
    </w:lvl>
  </w:abstractNum>
  <w:abstractNum w:abstractNumId="54">
    <w:nsid w:val="6590700B"/>
    <w:multiLevelType w:val="hybridMultilevel"/>
    <w:lvl w:ilvl="0">
      <w:lvlJc w:val="left"/>
      <w:lvlText w:val="(%1)"/>
      <w:numFmt w:val="lowerLetter"/>
      <w:start w:val="1"/>
    </w:lvl>
  </w:abstractNum>
  <w:abstractNum w:abstractNumId="55">
    <w:nsid w:val="15014ACB"/>
    <w:multiLevelType w:val="hybridMultilevel"/>
    <w:lvl w:ilvl="0">
      <w:lvlJc w:val="left"/>
      <w:lvlText w:val="%1."/>
      <w:numFmt w:val="decimal"/>
      <w:start w:val="8"/>
    </w:lvl>
  </w:abstractNum>
  <w:abstractNum w:abstractNumId="56">
    <w:nsid w:val="5F5E7FD0"/>
    <w:multiLevelType w:val="hybridMultilevel"/>
    <w:lvl w:ilvl="0">
      <w:lvlJc w:val="left"/>
      <w:lvlText w:val="%1."/>
      <w:numFmt w:val="decimal"/>
      <w:start w:val="9"/>
    </w:lvl>
  </w:abstractNum>
  <w:abstractNum w:abstractNumId="57">
    <w:nsid w:val="98A3148"/>
    <w:multiLevelType w:val="hybridMultilevel"/>
    <w:lvl w:ilvl="0">
      <w:lvlJc w:val="left"/>
      <w:lvlText w:val="%1."/>
      <w:numFmt w:val="decimal"/>
      <w:start w:val="10"/>
    </w:lvl>
  </w:abstractNum>
  <w:abstractNum w:abstractNumId="58">
    <w:nsid w:val="799D0247"/>
    <w:multiLevelType w:val="hybridMultilevel"/>
    <w:lvl w:ilvl="0">
      <w:lvlJc w:val="left"/>
      <w:lvlText w:val="%1."/>
      <w:numFmt w:val="decimal"/>
      <w:start w:val="11"/>
    </w:lvl>
  </w:abstractNum>
  <w:abstractNum w:abstractNumId="59">
    <w:nsid w:val="6B94764"/>
    <w:multiLevelType w:val="hybridMultilevel"/>
    <w:lvl w:ilvl="0">
      <w:lvlJc w:val="left"/>
      <w:lvlText w:val="%1."/>
      <w:numFmt w:val="decimal"/>
      <w:start w:val="12"/>
    </w:lvl>
  </w:abstractNum>
  <w:abstractNum w:abstractNumId="60">
    <w:nsid w:val="42C296BD"/>
    <w:multiLevelType w:val="hybridMultilevel"/>
    <w:lvl w:ilvl="0">
      <w:lvlJc w:val="left"/>
      <w:lvlText w:val="(%1)"/>
      <w:numFmt w:val="lowerRoman"/>
      <w:start w:val="1"/>
    </w:lvl>
  </w:abstractNum>
  <w:abstractNum w:abstractNumId="61">
    <w:nsid w:val="168E121F"/>
    <w:multiLevelType w:val="hybridMultilevel"/>
    <w:lvl w:ilvl="0">
      <w:lvlJc w:val="left"/>
      <w:lvlText w:val="(%1)"/>
      <w:numFmt w:val="lowerRoman"/>
      <w:start w:val="1"/>
    </w:lvl>
    <w:lvl w:ilvl="1">
      <w:lvlJc w:val="left"/>
      <w:lvlText w:val="(%2)"/>
      <w:numFmt w:val="lowerRoman"/>
      <w:start w:val="3"/>
    </w:lvl>
  </w:abstractNum>
  <w:abstractNum w:abstractNumId="62">
    <w:nsid w:val="1EBA5D23"/>
    <w:multiLevelType w:val="hybridMultilevel"/>
    <w:lvl w:ilvl="0">
      <w:lvlJc w:val="left"/>
      <w:lvlText w:val="(%1)"/>
      <w:numFmt w:val="lowerRoman"/>
      <w:start w:val="1"/>
    </w:lvl>
  </w:abstractNum>
  <w:abstractNum w:abstractNumId="63">
    <w:nsid w:val="661E3F1E"/>
    <w:multiLevelType w:val="hybridMultilevel"/>
    <w:lvl w:ilvl="0">
      <w:lvlJc w:val="left"/>
      <w:lvlText w:val="(%1)"/>
      <w:numFmt w:val="lowerRoman"/>
      <w:start w:val="2"/>
    </w:lvl>
  </w:abstractNum>
  <w:abstractNum w:abstractNumId="64">
    <w:nsid w:val="5DC79EA8"/>
    <w:multiLevelType w:val="hybridMultilevel"/>
    <w:lvl w:ilvl="0">
      <w:lvlJc w:val="left"/>
      <w:lvlText w:val="(%1)"/>
      <w:numFmt w:val="lowerRoman"/>
      <w:start w:val="5"/>
    </w:lvl>
  </w:abstractNum>
  <w:abstractNum w:abstractNumId="65">
    <w:nsid w:val="540A471C"/>
    <w:multiLevelType w:val="hybridMultilevel"/>
    <w:lvl w:ilvl="0">
      <w:lvlJc w:val="left"/>
      <w:lvlText w:val="(%1)"/>
      <w:numFmt w:val="lowerRoman"/>
      <w:start w:val="1"/>
    </w:lvl>
  </w:abstractNum>
  <w:abstractNum w:abstractNumId="66">
    <w:nsid w:val="7BD3EE7B"/>
    <w:multiLevelType w:val="hybridMultilevel"/>
    <w:lvl w:ilvl="0">
      <w:lvlJc w:val="left"/>
      <w:lvlText w:val="(%1)"/>
      <w:numFmt w:val="lowerRoman"/>
      <w:start w:val="2"/>
    </w:lvl>
  </w:abstractNum>
  <w:abstractNum w:abstractNumId="67">
    <w:nsid w:val="51D9C564"/>
    <w:multiLevelType w:val="hybridMultilevel"/>
    <w:lvl w:ilvl="0">
      <w:lvlJc w:val="left"/>
      <w:lvlText w:val="(%1)"/>
      <w:numFmt w:val="lowerRoman"/>
      <w:start w:val="3"/>
    </w:lvl>
    <w:lvl w:ilvl="1">
      <w:lvlJc w:val="left"/>
      <w:lvlText w:val="(%2)"/>
      <w:numFmt w:val="lowerRoman"/>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1."/>
      <w:numFmt w:val="decimal"/>
      <w:start w:val="1"/>
    </w:lvl>
  </w:abstractNum>
  <w:abstractNum w:abstractNumId="70">
    <w:nsid w:val="11447B73"/>
    <w:multiLevelType w:val="hybridMultilevel"/>
    <w:lvl w:ilvl="0">
      <w:lvlJc w:val="left"/>
      <w:lvlText w:val="%1."/>
      <w:numFmt w:val="decimal"/>
      <w:start w:val="1"/>
    </w:lvl>
    <w:lvl w:ilvl="1">
      <w:lvlJc w:val="left"/>
      <w:lvlText w:val="%2."/>
      <w:numFmt w:val="lowerLetter"/>
      <w:start w:val="1"/>
    </w:lvl>
  </w:abstractNum>
  <w:abstractNum w:abstractNumId="71">
    <w:nsid w:val="42963E5A"/>
    <w:multiLevelType w:val="hybridMultilevel"/>
    <w:lvl w:ilvl="0">
      <w:lvlJc w:val="left"/>
      <w:lvlText w:val="%1."/>
      <w:numFmt w:val="decimal"/>
      <w:start w:val="2"/>
    </w:lvl>
    <w:lvl w:ilvl="1">
      <w:lvlJc w:val="left"/>
      <w:lvlText w:val="%2."/>
      <w:numFmt w:val="lowerLetter"/>
      <w:start w:val="1"/>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decimal"/>
      <w:start w:val="1"/>
    </w:lvl>
    <w:lvl w:ilvl="1">
      <w:lvlJc w:val="left"/>
      <w:lvlText w:val="%2."/>
      <w:numFmt w:val="lowerLetter"/>
      <w:start w:val="1"/>
    </w:lvl>
  </w:abstractNum>
  <w:abstractNum w:abstractNumId="74">
    <w:nsid w:val="1A32234B"/>
    <w:multiLevelType w:val="hybridMultilevel"/>
    <w:lvl w:ilvl="0">
      <w:lvlJc w:val="left"/>
      <w:lvlText w:val="%1."/>
      <w:numFmt w:val="decimal"/>
      <w:start w:val="3"/>
    </w:lvl>
    <w:lvl w:ilvl="1">
      <w:lvlJc w:val="left"/>
      <w:lvlText w:val="%2"/>
      <w:numFmt w:val="lowerLetter"/>
      <w:start w:val="1"/>
    </w:lvl>
  </w:abstractNum>
  <w:abstractNum w:abstractNumId="75">
    <w:nsid w:val="3B0FD379"/>
    <w:multiLevelType w:val="hybridMultilevel"/>
    <w:lvl w:ilvl="0">
      <w:lvlJc w:val="left"/>
      <w:lvlText w:val="%1."/>
      <w:numFmt w:val="decimal"/>
      <w:start w:val="1"/>
    </w:lvl>
    <w:lvl w:ilvl="1">
      <w:lvlJc w:val="left"/>
      <w:lvlText w:val="%2."/>
      <w:numFmt w:val="lowerLetter"/>
      <w:start w:val="1"/>
    </w:lvl>
  </w:abstractNum>
  <w:abstractNum w:abstractNumId="76">
    <w:nsid w:val="68EB2F63"/>
    <w:multiLevelType w:val="hybridMultilevel"/>
    <w:lvl w:ilvl="0">
      <w:lvlJc w:val="left"/>
      <w:lvlText w:val="%1."/>
      <w:numFmt w:val="decimal"/>
      <w:start w:val="1"/>
    </w:lvl>
    <w:lvl w:ilvl="1">
      <w:lvlJc w:val="left"/>
      <w:lvlText w:val="%2."/>
      <w:numFmt w:val="lowerLetter"/>
      <w:start w:val="1"/>
    </w:lvl>
  </w:abstractNum>
  <w:abstractNum w:abstractNumId="77">
    <w:nsid w:val="4962813B"/>
    <w:multiLevelType w:val="hybridMultilevel"/>
    <w:lvl w:ilvl="0">
      <w:lvlJc w:val="left"/>
      <w:lvlText w:val="%1."/>
      <w:numFmt w:val="decimal"/>
      <w:start w:val="2"/>
    </w:lvl>
    <w:lvl w:ilvl="1">
      <w:lvlJc w:val="left"/>
      <w:lvlText w:val="%2."/>
      <w:numFmt w:val="lowerLetter"/>
      <w:start w:val="1"/>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44" Type="http://schemas.openxmlformats.org/officeDocument/2006/relationships/hyperlink" Target="https://www.sec.gov/Archives/edgar/data/1133421/000119312524021071/d76596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2024-04-25T15:18:49Z</dcterms:created>
  <dcterms:modified xsi:type="dcterms:W3CDTF">2024-04-25T15:18:49Z</dcterms:modified>
</cp:coreProperties>
</file>