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2314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19685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7" w:lineRule="exact"/>
        <w:rPr>
          <w:sz w:val="24"/>
          <w:szCs w:val="24"/>
          <w:color w:val="auto"/>
        </w:rPr>
      </w:pPr>
    </w:p>
    <w:p>
      <w:pPr>
        <w:ind w:left="4160" w:right="1380" w:hanging="2681"/>
        <w:spacing w:after="0" w:line="405" w:lineRule="auto"/>
        <w:tabs>
          <w:tab w:leader="none" w:pos="224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color w:val="auto"/>
        </w:rPr>
        <w:t>ANNUAL REPORT PURSUANT TO SECTION 13 OR 15(d) OF THE SECURITIES EXCHANGE ACT OF 1934 For the fiscal year ended December 31, 2025</w:t>
      </w:r>
    </w:p>
    <w:p>
      <w:pPr>
        <w:ind w:left="55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or</w:t>
      </w:r>
    </w:p>
    <w:p>
      <w:pPr>
        <w:spacing w:after="0" w:line="162" w:lineRule="exact"/>
        <w:rPr>
          <w:sz w:val="24"/>
          <w:szCs w:val="24"/>
          <w:color w:val="auto"/>
        </w:rPr>
      </w:pPr>
    </w:p>
    <w:p>
      <w:pPr>
        <w:ind w:left="4140" w:right="1100" w:hanging="2661"/>
        <w:spacing w:after="0" w:line="373" w:lineRule="auto"/>
        <w:tabs>
          <w:tab w:leader="none" w:pos="226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 to _____</w:t>
      </w:r>
    </w:p>
    <w:p>
      <w:pPr>
        <w:jc w:val="center"/>
        <w:ind w:right="-59"/>
        <w:spacing w:after="0"/>
        <w:rPr>
          <w:sz w:val="20"/>
          <w:szCs w:val="20"/>
          <w:color w:val="auto"/>
        </w:rPr>
      </w:pPr>
      <w:r>
        <w:rPr>
          <w:rFonts w:ascii="Times New Roman" w:cs="Times New Roman" w:eastAsia="Times New Roman" w:hAnsi="Times New Roman"/>
          <w:sz w:val="16"/>
          <w:szCs w:val="16"/>
          <w:color w:val="auto"/>
        </w:rPr>
        <w:t>Commission file number 1-16411</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NORTHROP GRUMMAN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0" w:type="dxa"/>
            <w:vAlign w:val="bottom"/>
          </w:tcPr>
          <w:p>
            <w:pPr>
              <w:jc w:val="right"/>
              <w:ind w:right="2059"/>
              <w:spacing w:after="0"/>
              <w:rPr>
                <w:sz w:val="20"/>
                <w:szCs w:val="20"/>
                <w:color w:val="auto"/>
              </w:rPr>
            </w:pPr>
            <w:r>
              <w:rPr>
                <w:rFonts w:ascii="Times New Roman" w:cs="Times New Roman" w:eastAsia="Times New Roman" w:hAnsi="Times New Roman"/>
                <w:sz w:val="16"/>
                <w:szCs w:val="16"/>
                <w:b w:val="1"/>
                <w:bCs w:val="1"/>
                <w:color w:val="auto"/>
              </w:rPr>
              <w:t>80-0640649</w:t>
            </w:r>
          </w:p>
        </w:tc>
      </w:tr>
      <w:tr>
        <w:trPr>
          <w:trHeight w:val="168"/>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360" w:type="dxa"/>
            <w:vAlign w:val="bottom"/>
            <w:gridSpan w:val="2"/>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800" w:type="dxa"/>
            <w:vAlign w:val="bottom"/>
          </w:tcPr>
          <w:p>
            <w:pPr>
              <w:jc w:val="center"/>
              <w:ind w:right="12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2980 Fairview Park Drive</w:t>
            </w: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Falls Church, Virginia</w:t>
            </w:r>
          </w:p>
        </w:tc>
        <w:tc>
          <w:tcPr>
            <w:tcW w:w="3800" w:type="dxa"/>
            <w:vAlign w:val="bottom"/>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0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(Zip code)</w:t>
            </w:r>
          </w:p>
        </w:tc>
      </w:tr>
      <w:tr>
        <w:trPr>
          <w:trHeight w:val="235"/>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(703) 280-2900</w:t>
            </w:r>
          </w:p>
        </w:tc>
        <w:tc>
          <w:tcPr>
            <w:tcW w:w="3800" w:type="dxa"/>
            <w:vAlign w:val="bottom"/>
          </w:tcPr>
          <w:p>
            <w:pPr>
              <w:spacing w:after="0"/>
              <w:rPr>
                <w:sz w:val="20"/>
                <w:szCs w:val="20"/>
                <w:color w:val="auto"/>
              </w:rPr>
            </w:pPr>
          </w:p>
        </w:tc>
      </w:tr>
      <w:tr>
        <w:trPr>
          <w:trHeight w:val="135"/>
        </w:trPr>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160" w:type="dxa"/>
            <w:vAlign w:val="bottom"/>
            <w:gridSpan w:val="3"/>
          </w:tcPr>
          <w:p>
            <w:pPr>
              <w:jc w:val="center"/>
              <w:ind w:right="1159"/>
              <w:spacing w:after="0" w:line="135"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8"/>
        </w:trPr>
        <w:tc>
          <w:tcPr>
            <w:tcW w:w="7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16"/>
                <w:szCs w:val="16"/>
                <w:color w:val="auto"/>
              </w:rPr>
            </w:pPr>
          </w:p>
        </w:tc>
      </w:tr>
      <w:tr>
        <w:trPr>
          <w:trHeight w:val="109"/>
        </w:trPr>
        <w:tc>
          <w:tcPr>
            <w:tcW w:w="4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NOC</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u w:val="single" w:color="auto"/>
          <w:color w:val="auto"/>
        </w:rPr>
        <w:t>None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7"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29"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81"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7" w:lineRule="exact"/>
        <w:rPr>
          <w:sz w:val="24"/>
          <w:szCs w:val="24"/>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7" w:lineRule="exact"/>
        <w:rPr>
          <w:sz w:val="24"/>
          <w:szCs w:val="24"/>
          <w:color w:val="auto"/>
        </w:rPr>
      </w:pPr>
    </w:p>
    <w:p>
      <w:pPr>
        <w:ind w:right="4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968" w:right="399" w:bottom="1440" w:gutter="0" w:footer="0" w:header="0"/>
        </w:sect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tabs>
          <w:tab w:leader="none" w:pos="128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2">
            <w:col w:w="1540" w:space="140"/>
            <w:col w:w="9500"/>
          </w:cols>
          <w:pgMar w:left="320" w:top="968" w:right="399" w:bottom="1440" w:gutter="0" w:footer="0" w:header="0"/>
          <w:type w:val="continuous"/>
        </w:sect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20" w:lineRule="exact"/>
        <w:rPr>
          <w:sz w:val="24"/>
          <w:szCs w:val="24"/>
          <w:color w:val="auto"/>
        </w:rPr>
      </w:pP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43"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75" w:lineRule="exact"/>
        <w:rPr>
          <w:sz w:val="24"/>
          <w:szCs w:val="24"/>
          <w:color w:val="auto"/>
        </w:rPr>
      </w:pPr>
    </w:p>
    <w:p>
      <w:pPr>
        <w:ind w:right="220"/>
        <w:spacing w:after="0" w:line="250" w:lineRule="auto"/>
        <w:rPr>
          <w:sz w:val="20"/>
          <w:szCs w:val="20"/>
          <w:color w:val="auto"/>
        </w:rPr>
      </w:pPr>
      <w:r>
        <w:rPr>
          <w:rFonts w:ascii="Times New Roman" w:cs="Times New Roman" w:eastAsia="Times New Roman" w:hAnsi="Times New Roman"/>
          <w:sz w:val="14"/>
          <w:szCs w:val="14"/>
          <w:color w:val="auto"/>
        </w:rPr>
        <w:t>As of June 30, 2025, the aggregate market value of the common stock (based upon the closing price of the stock on the New York Stock Exchange) of the registrant held by non-affiliates was approximately $71.5 billion.</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22, 2026, 141,921,621 shares of common stock were outstanding.</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4"/>
          <w:szCs w:val="14"/>
          <w:color w:val="auto"/>
        </w:rPr>
        <w:t>Portions of Northrop Grumman Corporation’s Proxy Statement to be filed with the Securities and Exchange Commission pursuant to Regulation 14A for the 2026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5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NORTHROP GRUMMAN CORPORATION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1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59"/>
        </w:trPr>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88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92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9200" w:type="dxa"/>
            <w:vAlign w:val="bottom"/>
            <w:gridSpan w:val="3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00" w:type="dxa"/>
            <w:vAlign w:val="bottom"/>
            <w:gridSpan w:val="2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25</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9140" w:type="dxa"/>
            <w:vAlign w:val="bottom"/>
            <w:gridSpan w:val="3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10"/>
        </w:trPr>
        <w:tc>
          <w:tcPr>
            <w:tcW w:w="9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Overview</w:t>
            </w:r>
          </w:p>
        </w:tc>
        <w:tc>
          <w:tcPr>
            <w:tcW w:w="5620" w:type="dxa"/>
            <w:vAlign w:val="bottom"/>
            <w:tcBorders>
              <w:top w:val="single" w:sz="8" w:color="0000FF"/>
            </w:tcBorders>
            <w:gridSpan w:val="30"/>
          </w:tcPr>
          <w:p>
            <w:pPr>
              <w:spacing w:after="0"/>
              <w:rPr>
                <w:sz w:val="18"/>
                <w:szCs w:val="18"/>
                <w:color w:val="auto"/>
              </w:rPr>
            </w:pPr>
          </w:p>
        </w:tc>
        <w:tc>
          <w:tcPr>
            <w:tcW w:w="3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Operating Results</w:t>
            </w:r>
          </w:p>
        </w:tc>
        <w:tc>
          <w:tcPr>
            <w:tcW w:w="750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Segment Operating Results</w:t>
            </w:r>
          </w:p>
        </w:tc>
        <w:tc>
          <w:tcPr>
            <w:tcW w:w="784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Backlog</w:t>
            </w:r>
          </w:p>
        </w:tc>
        <w:tc>
          <w:tcPr>
            <w:tcW w:w="770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Critical Accounting Policies and Estimates</w:t>
            </w:r>
          </w:p>
        </w:tc>
        <w:tc>
          <w:tcPr>
            <w:tcW w:w="672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55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and Comprehensive Income</w:t>
            </w:r>
          </w:p>
        </w:tc>
        <w:tc>
          <w:tcPr>
            <w:tcW w:w="50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w:t>
            </w:r>
          </w:p>
        </w:tc>
        <w:tc>
          <w:tcPr>
            <w:tcW w:w="64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9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7"/>
          </w:tcPr>
          <w:p>
            <w:pPr>
              <w:spacing w:after="0"/>
              <w:rPr>
                <w:sz w:val="18"/>
                <w:szCs w:val="18"/>
                <w:color w:val="auto"/>
              </w:rPr>
            </w:pPr>
          </w:p>
        </w:tc>
        <w:tc>
          <w:tcPr>
            <w:tcW w:w="5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1. Summary of Significant Accounting Policies</w:t>
            </w:r>
          </w:p>
        </w:tc>
        <w:tc>
          <w:tcPr>
            <w:tcW w:w="62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2. Earnings Per Share, Share Repurchases and Dividends on Common Stock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3. Accounts Receivable, Net</w:t>
            </w:r>
          </w:p>
        </w:tc>
        <w:tc>
          <w:tcPr>
            <w:tcW w:w="4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4. Unbilled Receivables, Net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5. Inventoried Costs, Net</w:t>
            </w:r>
          </w:p>
        </w:tc>
        <w:tc>
          <w:tcPr>
            <w:tcW w:w="260" w:type="dxa"/>
            <w:vAlign w:val="bottom"/>
            <w:tcBorders>
              <w:top w:val="single" w:sz="8" w:color="0000FF"/>
            </w:tcBorders>
            <w:gridSpan w:val="3"/>
          </w:tcPr>
          <w:p>
            <w:pPr>
              <w:spacing w:after="0"/>
              <w:rPr>
                <w:sz w:val="18"/>
                <w:szCs w:val="18"/>
                <w:color w:val="auto"/>
              </w:rPr>
            </w:pPr>
          </w:p>
        </w:tc>
        <w:tc>
          <w:tcPr>
            <w:tcW w:w="754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6. Income 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7. Goodwill and Other Purchased Intangible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8. Fair Value of Financial Instruments</w:t>
            </w:r>
          </w:p>
        </w:tc>
        <w:tc>
          <w:tcPr>
            <w:tcW w:w="960" w:type="dxa"/>
            <w:vAlign w:val="bottom"/>
            <w:tcBorders>
              <w:top w:val="single" w:sz="8" w:color="0000FF"/>
            </w:tcBorders>
            <w:gridSpan w:val="7"/>
          </w:tcPr>
          <w:p>
            <w:pPr>
              <w:spacing w:after="0"/>
              <w:rPr>
                <w:sz w:val="18"/>
                <w:szCs w:val="18"/>
                <w:color w:val="auto"/>
              </w:rPr>
            </w:pPr>
          </w:p>
        </w:tc>
        <w:tc>
          <w:tcPr>
            <w:tcW w:w="59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9. Debt</w:t>
            </w:r>
          </w:p>
        </w:tc>
        <w:tc>
          <w:tcPr>
            <w:tcW w:w="9040" w:type="dxa"/>
            <w:vAlign w:val="bottom"/>
            <w:gridSpan w:val="3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10. 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11. Commitments and Contingencies</w:t>
            </w:r>
          </w:p>
        </w:tc>
        <w:tc>
          <w:tcPr>
            <w:tcW w:w="260" w:type="dxa"/>
            <w:vAlign w:val="bottom"/>
            <w:tcBorders>
              <w:top w:val="single" w:sz="8" w:color="0000FF"/>
            </w:tcBorders>
            <w:gridSpan w:val="3"/>
          </w:tcPr>
          <w:p>
            <w:pPr>
              <w:spacing w:after="0"/>
              <w:rPr>
                <w:sz w:val="18"/>
                <w:szCs w:val="18"/>
                <w:color w:val="auto"/>
              </w:rPr>
            </w:pPr>
          </w:p>
        </w:tc>
        <w:tc>
          <w:tcPr>
            <w:tcW w:w="668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12. 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300" w:type="dxa"/>
            <w:vAlign w:val="bottom"/>
            <w:gridSpan w:val="18"/>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13. Stock Compensation Plans and Other Compensation Arrangements</w:t>
            </w:r>
          </w:p>
        </w:tc>
        <w:tc>
          <w:tcPr>
            <w:tcW w:w="45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14.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7800" w:type="dxa"/>
            <w:vAlign w:val="bottom"/>
            <w:gridSpan w:val="2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15. Segment Information</w:t>
            </w:r>
          </w:p>
        </w:tc>
        <w:tc>
          <w:tcPr>
            <w:tcW w:w="780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tcBorders>
              <w:top w:val="single" w:sz="8" w:color="0000FF"/>
            </w:tcBorders>
            <w:gridSpan w:val="8"/>
          </w:tcPr>
          <w:p>
            <w:pPr>
              <w:spacing w:after="0"/>
              <w:rPr>
                <w:sz w:val="18"/>
                <w:szCs w:val="18"/>
                <w:color w:val="auto"/>
              </w:rPr>
            </w:pPr>
          </w:p>
        </w:tc>
        <w:tc>
          <w:tcPr>
            <w:tcW w:w="346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3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20" w:type="dxa"/>
            <w:vAlign w:val="bottom"/>
            <w:gridSpan w:val="1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Certain Trading Agreements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61"/>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40" w:type="dxa"/>
            <w:vAlign w:val="bottom"/>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90</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48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4"/>
          </w:tcPr>
          <w:p>
            <w:pPr>
              <w:spacing w:after="0"/>
              <w:rPr>
                <w:sz w:val="18"/>
                <w:szCs w:val="18"/>
                <w:color w:val="auto"/>
              </w:rPr>
            </w:pPr>
          </w:p>
        </w:tc>
        <w:tc>
          <w:tcPr>
            <w:tcW w:w="7040" w:type="dxa"/>
            <w:vAlign w:val="bottom"/>
            <w:gridSpan w:val="8"/>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r>
      <w:tr>
        <w:trPr>
          <w:trHeight w:val="209"/>
        </w:trPr>
        <w:tc>
          <w:tcPr>
            <w:tcW w:w="96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War (“DoW”) and intelligence community. Our broad portfolio is aligned to support national security priorities and our solutions equip our customers with capabilities they need to connect, protect and advance humanity.</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 For a discussion of risks associated with our operations,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originally was formed in 1939 in Hawthorne, California as Northrop Aircraft Incorporated and was reincorporated in Delaware in 1985, as Northrop Corporation. Northrop Corporation was a principal developer of flying wing technology, including the B-2 Spirit stealth aircraft. We developed into one of the largest defense technology companies in the world through organic growth and a series of acquisitions and divestitures, including the following:</w:t>
      </w:r>
    </w:p>
    <w:p>
      <w:pPr>
        <w:spacing w:after="0" w:line="58" w:lineRule="exact"/>
        <w:rPr>
          <w:sz w:val="20"/>
          <w:szCs w:val="20"/>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 Acquired Grumman Corporation, a premier military aircraft systems integrator. The combined company was renamed Northrop Grumman Corporation;</w:t>
      </w:r>
    </w:p>
    <w:p>
      <w:pPr>
        <w:spacing w:after="0" w:line="26"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1996 - Acquired the defense and electronics businesses of Westinghouse Electric Corporation, developer of sophisticated radar and other electronics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Litton Industries, Inc., a global electronics and information technology company and full service shipbuilder;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Newport News Shipbuilding Inc., designer and builder of nuclear-powered aircraft carriers and submarines;</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2002 - Acquired TRW Inc., developer of military and civil space systems and payloads, and integrator of complex, mission-enabling systems and services;</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2011 - Completed the spin-off of Huntington Ingalls Industries, Inc., operator of our former shipbuilding business, comprised largely of a part of Litton Industries and Newport News Shipbuilding;</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 Acquired Orbital ATK, Inc. (OATK), developer and producer of satellites and other space systems, launch vehicles and missile products;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 Completed the sale of our IT and mission support services business to Veritas Capital.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At December 31, 2025, the company was aligned in four operating sectors, which also comprise our reportable segments: Aeronautics Systems, Defense Systems, Mission Systems and Space Systems.</w:t>
      </w:r>
    </w:p>
    <w:p>
      <w:pPr>
        <w:spacing w:after="0" w:line="5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Effective January 1, 2025, the company realigned the Strike and Surveillance Aircraft Solutions (SSAS) business unit from Defense Systems to Aeronautics Systems. This realignment is reflected in the financial information contained in this report.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airborne battle management and command and control systems; and uncrewed autonomous aircraft systems, including high-altitude long-endurance (HALE) strategic intelligence, surveillance and reconnaissance (ISR) systems. Approximately 40 percent of this business is performed through restricted programs. Key programs include:</w:t>
      </w:r>
    </w:p>
    <w:p>
      <w:pPr>
        <w:spacing w:after="0" w:line="5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the U.S. Air Force B-21 Raider long-range strike aircraft that define sixth-generation technologies;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and sustainment services for the B-2 Spirit stealth aircraft;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the E-130J Phoenix II nuclear command, control and communications (NC3) aircraft for the U.S. Navy’s Take Charge And Move Out (TACAMO) mission;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Fuselage production for the F-35 Lighting II Joint Strike Fighter and F/A-18 Super Hornet for use by U.S. and international forces;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E-2D Advanced Hawkeye battle management aircraft production for the U.S. Navy, Japan, and France;</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MQ-4C Triton, which provides wide area strategic ISR over vast ocean and coastal regions for maritime domain awareness to the U.S. Navy and Australia;</w:t>
      </w:r>
    </w:p>
    <w:p>
      <w:pPr>
        <w:spacing w:after="0" w:line="2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RQ-4 Global Hawk, which provides high resolution imagery of land masses for theater awareness and strategic ISR to the U.S. Air Force, Japan, and the Republic of Korea; and</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system sustainment and operations support for the F-35, B-2, F/A-18, E-2, E-3, A-10, North Atlantic Treaty Organization (NATO) Alliance Ground Surveillance (AGS), Triton, Global Hawk, and restricted programs.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Defense Systems is a leader in the design, engineering, development, integration and production of strategic deterrent systems, advanced tactical weapons, and missile defense solutions for the U.S. military and a broad range of international customers. Major products and services include strategic missiles; integrated, all-domain command and control (C2) systems; precision strike weapons; advanced propulsion, including tactical solid rocket motors and high speed air-breathing and hypersonic systems; high-performance gun systems, ammunition, precision munitions and advanced fuzes; and weapons integration, modernization, and sustainment. Less than 5 percent of this business is performed through restricted programs. Key programs include:</w:t>
      </w:r>
    </w:p>
    <w:p>
      <w:pPr>
        <w:spacing w:after="0" w:line="62" w:lineRule="exact"/>
        <w:rPr>
          <w:sz w:val="20"/>
          <w:szCs w:val="20"/>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Sentinel Engineering &amp; Manufacturing Development (EMD) program, initial phase of the modernization of the intercontinental ballistic missile (ICBM) system that will serve as the ground-based strategic deterrent for the U.S. nuclear triad;</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Battle Command System (IBCS) for the U.S. Army and Poland, which is an open architecture system that seamlessly integrates sensors and effectors to deliver among the most advanced C2 systems for joint and coalition forces;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(30mm and 20mm) and Large (120mm) caliber tactical and training ammunition production;</w:t>
      </w:r>
    </w:p>
    <w:p>
      <w:pPr>
        <w:spacing w:after="0" w:line="10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Multiple Launch Rocket System (GMLRS) propulsion and warhead subsystems for a surface-to-surface system used to defeat targets using indirect precision fires;</w:t>
      </w:r>
    </w:p>
    <w:p>
      <w:pPr>
        <w:spacing w:after="0" w:line="4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Navy’s Advanced Anti-Radiation Guided Missile (AARGM), a medium-range, air-to-surface missile, and its extended range variant, AARGM-ER;</w:t>
      </w:r>
    </w:p>
    <w:p>
      <w:pPr>
        <w:spacing w:after="0" w:line="26"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caliber cannons for air, land, sea and counter unmanned aircraft systems (C-UAS) applications, ranging from 20mm to 50mm configurations;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Air Force’s Stand-In Attack Weapon (SiAW), an advanced capability air-to-surface tactical missile for the F-35;</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 Attack Cruise Missile (HACM) air-breathing, scramjet propulsion subsystem for the hypersonic air-launched cruise missile to travel at speeds of Mach 5 or greater;</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Guidance Kit (PGK), replaces conventional fuzes for artillery and mortar munitions and transforms them into Global Positioning System (GPS) enabled precision guided weapons; and</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solid rocket motors for the Precision Strike Missile (PrSM) program and Third Stage Rocket Motor (TSRM) for the Standard Missile (SM-3) program.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radar, electro-optical/infrared (EO/IR) and acoustic sensors; command, control, communications and computers, intelligence, surveillance and reconnaissance (C4ISR) systems; electronic warfare systems; advanced communications and network systems; advanced microelectronics; navigation and positioning sensors; maritime power, propulsion and payload launch systems; full spectrum cyber solutions; and intelligence processing systems. Approximately 30 percent of this business is performed through restricted programs. Key programs include:</w:t>
      </w:r>
    </w:p>
    <w:p>
      <w:pPr>
        <w:spacing w:after="0" w:line="64"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Aircraft and Common Infrared Countermeasures (LAIRCM, DoN LAIRCM, CIRCM) systems, which protect large aircraft as well as rotary wing and medium fixed wing aircraft from infrared missiles using advanced laser technology;</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fire control radar and Distributed Aperture System (DAS), which provides 360 degree field of view tracking, identifying, missile warning and night vision capabilities;</w:t>
      </w:r>
    </w:p>
    <w:p>
      <w:pPr>
        <w:spacing w:after="0" w:line="40" w:lineRule="exact"/>
        <w:rPr>
          <w:rFonts w:ascii="Times New Roman" w:cs="Times New Roman" w:eastAsia="Times New Roman" w:hAnsi="Times New Roman"/>
          <w:sz w:val="18"/>
          <w:szCs w:val="18"/>
          <w:color w:val="auto"/>
        </w:rPr>
      </w:pPr>
    </w:p>
    <w:p>
      <w:pPr>
        <w:ind w:left="660" w:right="10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Communications, Navigation and Identification (CNI) integrated avionics system, which provides secure communications and interoperability capabilities;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Agile Beam Radar (SABR), an active electronically scanned array fire control radar system for F-16 aircraft;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Ground/Air Task Oriented Radar (G/ATOR), a mobile multi-mode active electronically scanned array;</w:t>
      </w:r>
    </w:p>
    <w:p>
      <w:pPr>
        <w:spacing w:after="0" w:line="10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Electronic Warfare Improvement Program (SEWIP) Block III, which protects surface ships from anti-ship missiles, provides early detection, signal analysis and threat warning;</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propulsion systems for Virginia and Columbia class submarines;</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Airborne Early Warning &amp; Control (AEW&amp;C). The centerpiece of the E-7 AEW&amp;C aircraft is the Multi-role Electronically Scanned Array (MESA) radar which enables 360 degree long range advanced air moving target indicator (AMTI) capabilities for Battle Management, Command and Control, and Maritime Surveillance;</w:t>
      </w:r>
    </w:p>
    <w:p>
      <w:pPr>
        <w:spacing w:after="0" w:line="54"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Battlefield Airborne Communications Node (BACN), one of the first airborne gateway systems that allows platforms to communicate and securely share data;</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LITENING Advanced Targeting Pod, an electro-optical infrared sensor system for targeting and surveillance that enables aircrews to detect, acquire, identify and track targets at long ranges;</w:t>
      </w:r>
    </w:p>
    <w:p>
      <w:pPr>
        <w:spacing w:after="0" w:line="2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APR-39 DV(2) and EV(2) Radar Warning Receiver programs, which provide a digital radar warning receiver for the U.S. Army, Navy and Marines;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Exploitation and cyber programs, which provide cyber and intelligence domain support through unique intelligence and cyber capabilities;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GPS / Inertial Navigation Systems-Modernization (EGI-M) program, which provides state-of-the-art airborne navigation capabilities with an open architecture that enables rapid responses to future threats; and</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 130J Radio Frequency Countermeasures system, which provides superior situational awareness and better enables aircraft survivability in operationally relevant environments.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and launch systems for national security, civil government, commercial and international customers. Major products include satellites and spacecraft systems, subsystems, sensors and payloads; ground systems; missile defense systems and interceptors; and launch vehicles and related propulsion systems. Approximately 45 percent of this business is performed through restricted programs. Key programs include:</w:t>
      </w:r>
    </w:p>
    <w:p>
      <w:pPr>
        <w:spacing w:after="0" w:line="45" w:lineRule="exact"/>
        <w:rPr>
          <w:sz w:val="20"/>
          <w:szCs w:val="20"/>
          <w:color w:val="auto"/>
        </w:rPr>
      </w:pPr>
    </w:p>
    <w:p>
      <w:pPr>
        <w:ind w:left="660" w:right="4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63-inch diameter Graphite Epoxy Motor (GEM 63) and the extended length variation (GEM 63XL) solid rocket boosters used to provide lift capability for the ATLAS V and Vulcan launch vehicles;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Development Agency (SDA) Tracking and Transport layers providing missile warning/tracking and resilient, low-latency, high-volume data transport communication systems;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Glide Phase Interceptor (GPI) Cooperative Development producing interceptor capability to defeat hypersonic threats;</w:t>
      </w:r>
    </w:p>
    <w:p>
      <w:pPr>
        <w:spacing w:after="0" w:line="10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Cygnus spacecraft, used in the execution of our Commercial Resupply Services (CRS) contracts with NASA to resupply and re-boost the International Space Station;</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Missile defense systems, interceptors, targets, mission processing and boosters for the Missile Defense Agency's (MDA) Ground-based Midcourse Defense Weapon Systems (GWS);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Habitation and Logistics Outpost (HALO) module in support of NASA’s Lunar Gateway;</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Overhead Persistent Infrared (Next-Gen OPIR) program satellites and payloads providing resilient and enhanced missile warning over the critical northern polar region;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solid rocket motors for NASA’s Space Launch System (SLS) heavy lift vehicle;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Medium-class solid rocket motors for the U.S. Navy's Trident II Fleet Ballistic Missile program.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largest customer is the U.S. government. Sales to the U.S. government accounted for 84 percent, 87 percent and 86 percent of sales during the years ended December 31, 2025, 2024 and 2023, respectively. For further information on sales by customer type, contract type and geographic region, see Note 15 to the consolidated financial statements. See “Risk Factors” for further discussion regarding risks related to customer concentration.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compete with many companies in the defense, intelligence and federal civil markets, including The Boeing Company, General Dynamics Corporation, L3Harris Technologies, Inc., Lockheed Martin Corporation, and RTX Corporation, as well as, increasingly, new entrants and startups. Key characteristics of our industry include long operating cycles and intense competition, which is evident through the number of competitors bidding on program opportunities and the number of competitor protests of U.S. government procurement awards.</w:t>
      </w:r>
    </w:p>
    <w:p>
      <w:pPr>
        <w:spacing w:after="0" w:line="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It is common in the defense industry for work on major programs to be shared among a number of companies.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portion of our business is seasonal.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2025, total backlog, which is equivalent to the company’s remaining performance obligations, was $95.7 billion as compared with $91.5 billion at December 31, 2024. For further information, see “Backlog” in “Management’s Discussion and Analysis of Financial Condition and Results of Operations” (MD&amp;A) and Note 1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protect our technological innovations using a combination of trade secrets, patents, trademarks, and copyrights. We routinely apply for patents related to the technologies we develop in the U.S. and in certain foreign jurisdictions. We license some intellectual property rights to third parties and we also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experienced challenges with access to certain raw materials due to macroeconomic factors and several global events such as inflation, geopolitical conflicts and microelectronics shortages. In some cases, these challenges have significantly increased the cost and/or lead time required to obtain certain raw materials. Nonetheless, these challenges have not, to date, materially impacted our ability to perform on our contracts. See “Risk Factors” for further discussion regarding risks related to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Underpinned by our values and culture, we hire, promote, and pay based on merit and performance to help ensure we have the best team to deliver for our customers. Our focus on technology, innovation and career growth enables us to attract qualified talent, particularly those with security clearances and requisite skills in multiple areas, including science, technology, engineering and math. Our differentiated culture and workforce was a factor in our ability to hire approximately 7,500 new employees in 2025, and as of December 31, 2025, we have approximately 95,000 employees.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 and Culture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values reflect our priorities and form the bedrock of our culture:</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 we earn trust, act with ethics, integrity and transparency, treat everyone with respect and value diverse perspectives.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what we promise – we own the delivery of results, focused on quality outcomes.</w:t>
      </w:r>
    </w:p>
    <w:p>
      <w:pPr>
        <w:spacing w:after="0" w:line="10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 to shared success – we work together to focus on the mission and take accountability for the sustainable success of our people, customers, shareholders, suppliers and communities.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pioneer – with fierce curiosity, dedication and innovation, we seek to solve the world’s most challenging problems.</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culture and values serve as an enabling force that helps us pioneer, perform and deliver on quality, which results in value for our shareholders, customers, and employees. We actively seek candidates for employment from a wide range of backgrounds and experiences to tap into the full spectrum of talent available now and in the future to create a culture of belonging for everyone.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talent strategy is designed to secure the people, skills, and leadership required to support the company’s long term growth. It is anchored in recruiting and deploying talent, building a future-ready workforce and engaging our employees.</w:t>
      </w:r>
    </w:p>
    <w:p>
      <w:pPr>
        <w:spacing w:after="0" w:line="6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attract, develop, and retain top critical talent while preparing our workforce for the future by increasing expertise in critical technology areas. We focus on talent readiness to ensure a robust pipeline of employees with the skills and expertise necessary to support our business and provide business continuity. We employ a mix of on-the-job training and development, in-person training and virtual curated career-specific resources that allow employees to personalize their development. We encourage all employees, regardless of level, to cultivate leadership skills, enabled by our leadership development platform. Talent review discussions are built into our operational cadence with an emphasis on providing the experience needed to accelerate development.</w:t>
      </w:r>
    </w:p>
    <w:p>
      <w:pPr>
        <w:spacing w:after="0" w:line="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our employee experience focus, we offer flexible work arrangements, caregiver support and mental health services that help our employees make their careers work within their lives and help them build the careers that will serve them in the future. To help ensure our employees have the tools and resources necessary to align with industry transformation and workforce expectations, we continue to adapt our ways of working and implement technology that enhances the employee experience.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9"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Training and risk/hazard identification, mitigation and prevention are key components of Northrop Grumman’s safety program. Everyone has a responsibility to identify workplace hazards, and employees may raise concerns without fear of reprisal. We evaluate the effectiveness of our health and safety programs by conducting trend analyses of our past performance and externally through benchmarking with industry peers and the U.S. Bureau of Labor Statistics.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Agreements</w:t>
      </w:r>
    </w:p>
    <w:p>
      <w:pPr>
        <w:spacing w:after="0" w:line="29"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Approximately 4,300 employees are covered by 15 collective agreements in the U.S., of which we negotiated seven renewals in 2025 and expect to negotiate two renewals in 2026.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further discussion regarding risks related to our workforce and employee relations.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 Security Restrictions</w:t>
      </w:r>
    </w:p>
    <w:p>
      <w:pPr>
        <w:spacing w:after="0" w:line="3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We are prohibited by the U.S. government from publicly discussing the details of classified programs. These programs are generally referred to as “restricted” in this Annual Report. The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2220"/>
        <w:spacing w:after="0" w:line="315" w:lineRule="auto"/>
        <w:rPr>
          <w:sz w:val="20"/>
          <w:szCs w:val="20"/>
          <w:color w:val="auto"/>
        </w:rPr>
      </w:pPr>
      <w:r>
        <w:rPr>
          <w:rFonts w:ascii="Times New Roman" w:cs="Times New Roman" w:eastAsia="Times New Roman" w:hAnsi="Times New Roman"/>
          <w:sz w:val="18"/>
          <w:szCs w:val="18"/>
          <w:color w:val="auto"/>
        </w:rPr>
        <w:t xml:space="preserve">financial information in this Annual Report reflect the operating results of our entire company, including restricted programs. </w:t>
      </w:r>
      <w:r>
        <w:rPr>
          <w:rFonts w:ascii="Times New Roman" w:cs="Times New Roman" w:eastAsia="Times New Roman" w:hAnsi="Times New Roman"/>
          <w:sz w:val="18"/>
          <w:szCs w:val="18"/>
          <w:b w:val="1"/>
          <w:bCs w:val="1"/>
          <w:color w:val="auto"/>
        </w:rPr>
        <w:t>Contracts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which are regulations that govern cost accounting requirements for government contracts. Examples of costs incurred by us and not billed to the U.S. government in accordance with applicable FAR and CAS requirements include, but are not limited to, unallowable employee compensation, charitable donations, interest expense, advertising, and certain legal and travel costs.</w:t>
      </w:r>
    </w:p>
    <w:p>
      <w:pPr>
        <w:spacing w:after="0" w:line="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contracts typically fall into one of two contract types:</w:t>
      </w:r>
    </w:p>
    <w:p>
      <w:pPr>
        <w:spacing w:after="0" w:line="1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Cost-type contracts include cost plus fixed fee, cost plus award fee and cost plus incentive fee contracts. Cost-type contracts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w:t>
      </w:r>
    </w:p>
    <w:p>
      <w:pPr>
        <w:spacing w:after="0" w:line="5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Firm fixed-price contracts include a specified scope of work for a price that is a pre-determined, negotiated amount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subject to adjustment regardless of costs incurred by the contractor, absent changes by the customer. As a result, fixed-price contracts typically have more financial risk associated with unanticipated cost growth, but provide the opportunity for higher profit margins.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6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Profit margins on our contracts may vary materially depending on, among other things, the contract type, contract phase (e.g., development, low-rate production or mature production), negotiated fee arrangements, achievement of performance objectives, unexpected macroeconomic factors or other circumstances, and cost, schedule and technical performance.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and “Risk Factors” for further information regarding our contracts and Note 15 to the consolidated financial statements for sales by contract type.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for the year ended December 31, 2025, recognized by contract type and customer category: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00" w:type="dxa"/>
            <w:vAlign w:val="bottom"/>
          </w:tcPr>
          <w:p>
            <w:pPr>
              <w:spacing w:after="0"/>
              <w:rPr>
                <w:sz w:val="17"/>
                <w:szCs w:val="17"/>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7"/>
                <w:szCs w:val="17"/>
                <w:color w:val="auto"/>
              </w:rPr>
            </w:pP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0"/>
              <w:spacing w:after="0" w:line="243" w:lineRule="exact"/>
              <w:rPr>
                <w:sz w:val="20"/>
                <w:szCs w:val="20"/>
                <w:color w:val="auto"/>
              </w:rPr>
            </w:pPr>
            <w:r>
              <w:rPr>
                <w:rFonts w:ascii="Times New Roman" w:cs="Times New Roman" w:eastAsia="Times New Roman" w:hAnsi="Times New Roman"/>
                <w:sz w:val="18"/>
                <w:szCs w:val="18"/>
                <w:color w:val="auto"/>
              </w:rPr>
              <w:t>Government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20,944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15,079</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5,196</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21,010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35,183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41,954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520" w:hanging="172"/>
        <w:spacing w:after="0" w:line="238" w:lineRule="auto"/>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20" w:hanging="172"/>
        <w:spacing w:after="0" w:line="232" w:lineRule="auto"/>
        <w:tabs>
          <w:tab w:leader="none" w:pos="181"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federal, state, local and foreign laws, regulations and enforcement actions relating to protection of human health and the environment. We have incurred and expect to continue to incur capital and operating costs to comply with applicable environmental laws and regulations and to achieve our environmental sustainability goals. See “Risk Factors” and Notes 1 and 11 to the consolidated financial statements for further information regarding environmental matters.</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environmental sustainability goals help manage the environmental impact of our operations. We are focused on achieving Net Zero greenhouse gas emissions (GHG) in our operations (Scopes 1 and 2) by 2035, while also sourcing electricity from renewable sources and reducing our water withdrawals and solid waste footprint.</w:t>
      </w:r>
    </w:p>
    <w:p>
      <w:pPr>
        <w:spacing w:after="0" w:line="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environmental sustainability goals is available in our Sustainability Report, which can be found on our company website.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“Directors, Executive Officers and Corporate Governance” for information about our executive officers.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2980 Fairview Park Drive, Falls Church, Virginia 22042. Our telephone number is (703) 280-2900 and our home page is www.northropgrumman.com.</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proxy statement for the annual meeting of shareholders,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statements and other information about SEC registrants, including Northrop Grumman Corporation.</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 Certain of the risk factors described below include references to past events as examples. You should not view those examples, or the absence of other examples, as a representation as to whether or not the events, factors or contingencies described in our risk factors have or have not occurred. Instead, the disclosures in this section reflect our beliefs and opinions as to the factors, events or contingencies that could materially and adversely affect us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Risks</w:t>
      </w:r>
    </w:p>
    <w:p>
      <w:pPr>
        <w:spacing w:after="0" w:line="104" w:lineRule="exact"/>
        <w:rPr>
          <w:sz w:val="20"/>
          <w:szCs w:val="20"/>
          <w:color w:val="auto"/>
        </w:rPr>
      </w:pPr>
    </w:p>
    <w:p>
      <w:pPr>
        <w:ind w:right="720" w:hanging="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a single customer, the U.S. government, for a substantial portion of our business. Changes in this customer’s strategies, priorities, preferences and spending could have a material adverse effect on our financial position, results of operations and/or cash flows.</w:t>
      </w:r>
    </w:p>
    <w:p>
      <w:pPr>
        <w:spacing w:after="0" w:line="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84 percent of our sales in 2025. We have a number of large programs with the DoW, in particular. The U.S. government has the ability to delay, modify or cancel ongoing competitions, procurements and programs, and change its acquisition strategies. Potential changes in the threat and global security environment; defense spending levels; government and budgetary priorities; political leadership; procurement laws, practices and strategy; inflation and other macroeconomic trends; military strategy, including changes in DoW priorities, preferences or regulations; or broader changes in social, economic, security or political demands and priorities could adversely affect existing, follow-on, replacement or future programs. Such impacts could include contract cancellations, modifications, disruptions and/or stop work orders, any of which could have a material adverse effect on our financial position, results of operations and/or cash flows.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government has the ability to terminate contracts, in whole or in part, for its convenience or for default of contract terms. In the event of termination for convenience, contractors are generally protected by provisions covering reimbursement for costs incurred and profit on those costs up to the amount authorized under the contract, but not the anticipated profit that would have been earned. However, to the extent insufficient funds have been appropriated by the U.S. government, the U.S. government may assert that it is not required to provide additional funding for such costs. In the event of termination due to default, contractors may be required to pay damages, including paying for re-procurement costs in excess of the original contract price, net of the value of work accepted from the original contract. Termination due to our default (or that of a teammate) could have a material adverse effect on our reputation, our ability to compete for other contracts and our financial position, results of operations and/or cash flows.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government also has the ability to stop work under a contract for a limited period of time for its convenience. The U.S. government has stopped work in the past and could stop work across a limited or broad number of contracts. In the event of a stop work order, contractors are typically protected by provisions covering reimbursement for costs incurred to the date of the order and for costs associated with the temporary stoppage of work plus a reasonable fee. However, such temporary stoppages often introduce inefficiencies and result in financial and other damages for which contractors may not be able to obtain full recovery. In some cases, they have also ultimately resulted and could result in termination of a contract for convenience or reduced future orders.</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if program costs exceed certain thresholds, or if programs are behind schedule, our U.S. government customer has been, and may in the future be, required to provide congressional notification of significant or critical cost increases or noncompliance with contractual cost or schedule provisions under the Nunn-McCurdy Act, which, in some circumstances, could result in program restructure or termination. Certain of our programs have been, and in the future, one or more of our programs could be, subject to notification under the Nunn-McCurdy Act, and if we are unable to achieve certification for continuance, or if the cost of such efforts exceeds our expectations, it could have a material adverse effect on such program and/or our reputation, financial position, results of operations and/or cash flows.</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U.S. government can also introduce new contract terms that could impact and/or restrict our capital deployment strategy under certain circumstances related to contractor underperformance, noncompliance, insufficient prioritization of a particular contract, insufficient investment or insufficient production speed. If our contracts with the U.S. government include such terms and we are determined to have triggered any of the foregoing circumstances, we may be prohibited from engaging in share repurchases or dividends for a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jc w:val="both"/>
        <w:ind w:right="50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or U.S. government funding more broadly, including a prolonged continuing resolution, government shutdown or breach of the debt ceiling, and future budget and program decisions can negatively impact our business and programs and could have a material adverse effect on our financial position, results of operations and/or cash flows.</w:t>
      </w:r>
    </w:p>
    <w:p>
      <w:pPr>
        <w:spacing w:after="0" w:line="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U.S. government programs are subject to annual congressional budget authorization and appropriation processes. For many programs, Congress appropriates funds annually even though the program performance period may extend over several years. Programs are often partially funded initially, with additional funds committed incrementally over time as Congress makes further appropriations. When we or our subcontractors incur costs in excess of funds obligated on a contract, we are generally at risk for reimbursement unless and until additional funds are obligated to the contract. We cannot predict what funding will ultimately be approved for individual programs. In addition, certain changes in priorities and defense spending, the timing and substance of the appropriations process, use of continuing resolutions (which may carry restrictions, including on new contracts and program starts) and the federal debt limit (including a breach of the federal debt ceiling), have adversely affected and could in the future adversely affect the amount and timing of funding for individual programs and delay purchasing or payments by our customers. In the event government funding for our significant programs is reduced, delayed or unavailable, our contracts or subcontracts, or competitions for such programs, have at times been, and in the future may be, terminated or changed, including a reduction in orders.</w:t>
      </w:r>
    </w:p>
    <w:p>
      <w:pPr>
        <w:spacing w:after="0" w:line="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U.S. continues to face a changing geopolitical environment, along with substantial fiscal, economic, political and security challenges, which affect funding and budgetary priorities. The budget and macroeconomic environment, global security environment, political instability, and uncertainty surrounding the appropriations processes and the debt ceiling, remain significant short and long-term risks for our business. See “Overview” in MD&amp;A. Considerable uncertainty exists regarding how future budget and program decisions will unfold. We also have faced, and may in the future face, a prolonged government shutdown. A prolonged government shutdown could lead to program cancellations, disruptions and/or stop work orders and could limit the U.S. government’s ability to progress programs and make timely payments. Such a shutdown could also limit our ability to perform on our contracts and/or successfully compete for, be awarded and/or begin new work.</w:t>
      </w:r>
    </w:p>
    <w:p>
      <w:pPr>
        <w:spacing w:after="0" w:line="6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In addition, high deficit levels and high debt servicing costs could drive cuts to federal spending. If the statutory debt limit is reached and not increased adequately, we could be obligated to work without receiving timely payments, and a prolonged breach could have far-reaching adverse consequences.</w:t>
      </w:r>
    </w:p>
    <w:p>
      <w:pPr>
        <w:spacing w:after="0" w:line="14" w:lineRule="exact"/>
        <w:rPr>
          <w:sz w:val="20"/>
          <w:szCs w:val="20"/>
          <w:color w:val="auto"/>
        </w:rPr>
      </w:pPr>
    </w:p>
    <w:p>
      <w:pPr>
        <w:ind w:right="1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Contract cost growth or changes in estimated contract revenues and costs can affect our profitability and could have a material adverse effect on our financial position, results of operations and/or cash flows.</w:t>
      </w:r>
    </w:p>
    <w:p>
      <w:pPr>
        <w:spacing w:after="0" w:line="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accounting requires judgment, including in assessing risks, estimating contract revenues and costs, and predicting future performance. Given the size and nature of our contracts, estimating total revenues and costs at completion is complex and subject to many variables. When there is sufficient information to assess expected future performance, we consider performance-related incentives, awards and penalties, as well as the expected performance of our suppliers and the availability and cost of labor, materials and components in estimating contract revenue and profitability.</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income can be adversely affected when estimated contract costs increase, especially without comparable increases in revenue. There are many reasons estimated contract costs can increase, including inflation, labor challenges, supply chain challenges, shortages of raw materials, market and exchange rate volatility, delays or limitations in customer funding, design or other development challenges, production challenges (including from technical or quality issues and other performance concerns), inability to realize learning curves or expected cost savings, changes in laws or regulations, actions necessary for long-term customer satisfaction, and natural disasters or other environmental matters.</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aim to mitigate this risk through contract terms, and we have submitted and may submit requests for equitable adjustment (REAs), engineering change proposals (ECPs) or other requests or claims to seek recovery in whole or in part for our increased costs. We have also sought, and will seek, other avenues, as appropriate, to compensate the company for certain unexpected cost increases. However, our contracts may not enable full recovery, and/or customers may disagree with our requests or may not have funding to cover them. Changes in underlying assumptions, circumstances or estimates, and the failure to recover on REAs, ECPs or other claims could have a material adverse effect on the profitability of one or more of our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addition, from time to time, we may begin performing on a contract prior to completing contract negotiations. Uncertainties in final contract terms, quantity and pricing or loss of negotiating leverage associated with long delays in finalizing contract terms could negatively affect our profitability on those contracts. Certain of our contracts also include options exercisable at the customer’s discretion. The customer may decline to exercise an option, or the customer may exercise an option for which we may incur a loss or perform at a low margin, either of which could adversely affect our results of operations.</w:t>
      </w:r>
    </w:p>
    <w:p>
      <w:pPr>
        <w:spacing w:after="0" w:line="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risk varies by contract type. Fixed-price contracts tend to have more financial risk than cost-type contracts, including as a result of inflationary pressures, labor rates and shortages, challenges in estimating contract revenues and costs, and supplier challenges. In 2025, approximately half of our sales were derived from fixed-price contracts. We have entered into fixed-price contracts more often when costs can be more reasonably estimated based on actual experience, such as for mature production programs. However, our customers have sought, and may in the future seek, fixed-price contracts for development programs, combined development and production programs, or low-rate initial production programs, where the risks are greater. For example, fixed-price contracts for such programs have increased performance and financial risks due to a number of factors, including the following challenges: estimating costs required to complete such contracts, which are subject to significant variability, particularly with respect to development programs, starting and stabilizing manufacturing production and test lines while concurrently validating final design, and managing changes in requirements or capabilities requested by the customer. If we do not achieve our estimates or meet terms in our contracts, our profitability has at times been, and may be, reduced, and we have incurred and may incur losses.</w:t>
      </w:r>
    </w:p>
    <w:p>
      <w:pPr>
        <w:spacing w:after="0" w:line="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cost-type contracts, allowable costs are generally subject to reimbursement plus a fee. We often enter into cost-type contracts for development programs with complex design and technical challenges. These cost-type programs may have award or incentive fees that are uncertain and may be earned over extended periods or towards the end of the contract. In these cases, financial risks include profit recognition or program cancellation, including if cost, schedule, or technical performance issues arise. We also face additional financial risk when solicitations require us to bid on cost-type development work and fixed-price production lots and/or options in one submission, where we must estimate the cost of production before a product has been developed and tested, or cost-type development work requiring us to provide certain items at our expense or with little or no fee. Changes in macroeconomic conditions increase these risks.</w:t>
      </w:r>
    </w:p>
    <w:p>
      <w:pPr>
        <w:spacing w:after="0" w:line="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Because of the significance of management’s judgments and estimation processes, and the difficulties inherent in estimating future costs, particularly in a challenging and dynamic macroeconomic environment, it is possible that our results could differ materially from our estimates. See “Critical Accounting Policies and Estimates” in MD&amp;A and Note 11 to the consolidated financial statements.</w:t>
      </w:r>
    </w:p>
    <w:p>
      <w:pPr>
        <w:spacing w:after="0" w:line="50" w:lineRule="exact"/>
        <w:rPr>
          <w:sz w:val="20"/>
          <w:szCs w:val="20"/>
          <w:color w:val="auto"/>
        </w:rPr>
      </w:pPr>
    </w:p>
    <w:p>
      <w:pPr>
        <w:ind w:right="4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dynamics within our markets may affect our ability to win new contracts and result in reduced revenues, which could have a material adverse effect on our financial position, results of operations and/or cash flows.</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our competitors may have more financial capacity or more extensive or specialized engineering, technical, manufacturing, marketing or servicing capabilities. They may be willing to accept more risk or lower profitability in competing for contracts. We have seen, and anticipate we will continue to see, increased competition, including in some of our core markets, especially as a result of our customers’ budget pressures and their focus on speed, affordability and competition. The U.S. government’s continued emphasis on reforming its acquisition processes, including procuring commercial products and services and utilizing non-Federal Acquisition Regulation-based procurement methods, such as Other Transaction Authority (OTA) agreements and other contract types, has facilitated, and may continue to facilitate, participation by new and emerging market entrants, which has increased and may in the future further increase competition for the programs we pursue, which could result in reduced contract opportunities, increased pricing pressure, and/or demands to accept less favorable terms. In certain circumstances, these alternative contracting models may place increased risk on the contractor, such as the potential for greater assumption of development costs or for limited reimbursement recourse in certain situations. Further, certain non-Federal Acquisition Regulation-based procurement methods, such as OTA awards, are not subject to all of the procurement requirements that typically apply to DoW contracts and rights to protest such awards may be more limited than for other contracts.</w:t>
      </w:r>
    </w:p>
    <w:p>
      <w:pPr>
        <w:spacing w:after="0" w:line="7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customers are increasingly working with commercial contractors as well as newer entrants and startups in the defense industry for some products and services. Such contractors may have lower cost, more agile operating structures and access to capital and talent, a greater ability to leverage changes in the customer’s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strategies (e.g., multiple awardees, short lifecycles) or be more inclined to take on increased risk. In addition, some customers continue to utilize small business contractors or determine to source work internally.</w:t>
      </w:r>
    </w:p>
    <w:p>
      <w:pPr>
        <w:spacing w:after="0" w:line="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success in competing depends, in part, on our ability to remain price- and cost-competitive, respond to changes in customer acquisition strategies and preferences, accurately anticipate our customers’ needs, successfully effect our digital transformation strategy and identify, adopt and integrate new digital technologies, including artificial intelligence, into our manufacturing, operations, business processes, products and services.</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that the increasing competition in the U.S. and outside the U.S. from U.S., foreign and multinational firms, including new entrants, could further increase due to mergers or acquisitions within our industry and could limit our access to certain suppliers, absent appropriate remedies to protect our interests. We are also facing increasing competition for, and more limited access to, various critical products, services and other supplies.</w:t>
      </w:r>
    </w:p>
    <w:p>
      <w:pPr>
        <w:spacing w:after="0" w:line="54"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Additionally, in some instances, companies both inside and outside the U.S. may receive loans, investments, subsidies, preferential treatment and other assistance from their governments or customers that may not be provided or available to other companies. Such assistance may increase the competitiveness of such companies in certain opportunities. Certain foreign companies may also be subject to fewer restrictions on technology transfer.</w:t>
      </w:r>
    </w:p>
    <w:p>
      <w:pPr>
        <w:spacing w:after="0" w:line="3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U.S. government procurement and certain other countries’ laws permit legal challenges to the terms of a contract solicitation or award, sometimes referred to as a bid protest. Bid protests can result in award decisions being reversed and loss of the contract award. Even where a bid protest does not result in such a loss, it can result in significant expenses and delay the start of contract activities and revenue or result in contract modifications.</w:t>
      </w:r>
    </w:p>
    <w:p>
      <w:pPr>
        <w:spacing w:after="0" w:line="37" w:lineRule="exact"/>
        <w:rPr>
          <w:sz w:val="20"/>
          <w:szCs w:val="20"/>
          <w:color w:val="auto"/>
        </w:rPr>
      </w:pPr>
    </w:p>
    <w:p>
      <w:pPr>
        <w:ind w:right="5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macroeconomic environment has negatively impacted and could in the future negatively impact our business, and if we are unable to mitigate such challenges, it could have a material adverse effect on our financial position, results of operations and/or cash flows.</w:t>
      </w:r>
    </w:p>
    <w:p>
      <w:pPr>
        <w:spacing w:after="0" w:line="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business, financial position, results of operations and/or cash flows have been and may in the future be adversely impacted by the global macroeconomic environment, which impacts have included and may in the future include high rates of inflation, increased interest rates, tight credit conditions in financial markets, widespread disruptions in supply chains, workforce challenges, including labor shortages, changes in trade policies, such as tariffs, and market volatility, including exchange rate volatility, all of which may affect material costs and supplier pricing. These and other macroeconomic challenges have led and can lead to increased costs, labor and supply shortages, and delays and disruption in performance, as well as competing demands for scarce resources, which in turn have adversely impacted and may continue to adversely impact our customers, our industry, our company, our suppliers and others with whom we do business. We work proactively to mitigate the challenges caused by the macroeconomic environment, including, in some cases, hedging foreign exchange, interest rate and commodity price risk, and seeking the inclusion of economic price adjustment clauses or seeking to recover on REAs, ECPs or other claims, but the impacts of these challenges are uncertain and our efforts to mitigate them may not be successful.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90" w:lineRule="exact"/>
        <w:rPr>
          <w:sz w:val="20"/>
          <w:szCs w:val="20"/>
          <w:color w:val="auto"/>
        </w:rPr>
      </w:pPr>
    </w:p>
    <w:p>
      <w:pPr>
        <w:ind w:right="10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 and could have a material adverse effect on our financial position, results of operations and/or cash flows.</w:t>
      </w:r>
    </w:p>
    <w:p>
      <w:pPr>
        <w:spacing w:after="0" w:line="3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size, nature and complexity of our business make us particularly susceptible to investigations, claims, disputes, enforcement actions, prosecutions, litigation and other legal proceedings (collectively “legal proceedings”), particularly those involving governments, which may continue to increase. We are or may become subject to legal proceedings globally (including criminal, civil and administrative) and across a broad array of matters, including, but not limited to, government contracts; cost accounting; financial accounting and reporting; false statements or claims; cybersecurity; and pension accounting and other employee benefit plan matters. These matters can divert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awards. Certain outcomes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Legal proceedings, even if pending or not ultimately resulting in adverse action, or even if fully indemnified or insured, can negatively impact our reputation among our customers, suppliers and the public, and make it substantially more difficult for us to compete effectively for business, obtain and retain awards,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adequate funding for our programs or obtain adequate supplies or insurance in the future. See Note 10 to the consolidated financial statements for information regarding the company’s investigations, claims and litigation.</w:t>
      </w:r>
    </w:p>
    <w:p>
      <w:pPr>
        <w:spacing w:after="0" w:line="36" w:lineRule="exact"/>
        <w:rPr>
          <w:sz w:val="20"/>
          <w:szCs w:val="20"/>
          <w:color w:val="auto"/>
        </w:rPr>
      </w:pPr>
    </w:p>
    <w:p>
      <w:pPr>
        <w:ind w:right="100" w:hanging="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and our partners are subject to various procurement and other laws, regulations and contract terms applicable to our industry, as well as those more broadly applicable to industry, and changes in such laws, regulations or terms, any negative findings by the U.S. government as to our or our partners’ compliance with them, and changes in our customers’ business practices globally could affect our ability to compete and have a material adverse effect on our financial position, results of operations and/or cash flows.</w:t>
      </w:r>
    </w:p>
    <w:p>
      <w:pPr>
        <w:spacing w:after="0" w:line="4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various specific procurement laws, regulations, rules and other legal requirements. If we are found to have violated any such requirements, or are found not to have acted responsibly, we may be subject to a wide array of actions, including contract modifications or termination, payment withholds, the loss of export/import privileges, administrative, civil or criminal judgments or penalties (including convictions, agreements, fines, damages and non-monetary relief), or suspension or debarment. Additionally, these various legal requirements, although sometimes customary in government contracting, increase costs and risks and have been and are evolving at a significant pace, which further increases costs and risks. The costs are not always fully recoverable. New laws or other requirements, or changes to existing ones (including, for example, related to cybersecurity, information and data protection, cost accounting, environment, sustainability, securities, competition, compensation costs, employment, taxes, counterfeit parts, pensions, use of certain non-US equipment or acquisitions more broadly), can significantly increase our costs (including compliance costs) and risks, create operational challenges, potentially limit our ability to return cash to shareholders, reduce our profitability and/or adversely affect our competitiveness. Such risks may increase as a result of new regulations or executive orders (such as the recent executive order applicable to government defense contractors, which seeks, among other things, to address underperformance and insufficient prioritization of government contracts, insufficient investment in production and production speed, as well as limit share repurchases and dividends by government defense contractors), different interpretations in how government agencies construe existing requirements, or government agencies taking positions that represent changes from historical practices. In addition, changes in priorities and government actions with respect to defense contracting have led to increased uncertainty regarding such risks, including as a result of uncertainty regarding the impact and implementation of recent executive orders.</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DCAA, Defense Contract Management Agency (DCMA) and the DoW Inspector General. These agencies review performance under our contracts, our cost structure and accounting, our compliance, and the adequacy of our systems in meeting government requirements. Costs ultimately found to be unallowable or improperly allocated are generally not reimbursed or require us to refund the customer. If an audit uncovers improper or illegal activities, we could be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As a result of such actions, we may be subject to increased scrutiny, identified for enforcement action, and/or required to engage in remediation efforts, any or all of which could damage our reputation, increase our costs (including compliance costs) and risks, create operational challenges, and/or adversely affect our competitiveness. In addition, we risk serious reputational harm in situations involving allegations of impropriety made against us or our business partners.</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industry has experienced, and we expect it will continue to experience, significant changes to business practices globally, in part as a result of changes in the global security and threat environment and an increased focus on affordability, efficiencies, business systems, recovery of costs and a reprioritization of available defense funds. We have experienced and may continue to experience an increased number of audits and challenges to our claims and our business systems for current and past years, as well as longer periods to close audits, broader requests for information and an increased risk of withholdings of payments. The U.S. government has been pursuing and may continue to pursue policies that could negatively impact our profitability, including those that shift additional responsibility, cost and performance risks to the contractor.</w:t>
      </w:r>
    </w:p>
    <w:p>
      <w:pPr>
        <w:spacing w:after="0" w:line="48" w:lineRule="exact"/>
        <w:rPr>
          <w:sz w:val="20"/>
          <w:szCs w:val="20"/>
          <w:color w:val="auto"/>
        </w:rPr>
      </w:pPr>
    </w:p>
    <w:p>
      <w:pPr>
        <w:ind w:right="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improper conduct of employees, agents, subcontractors, suppliers, business partners or joint ventures in which we participate can impact our reputation and our ability to do business, which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potential liability based on misconduct by employees, agents or others working with us or on our behalf that could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intellectual property and contract terms. Improper actions by our employees, agents or others working with us or on our behalf also subject us to risk of administrative, civil or criminal investigations and enforcement actions, monetary and non-monetary penalties, liabilities, and the loss of privileges and other sanctions, including suspension and debarment. We have in the past experienced and may in the future experience misconduct committed by our employees, agents, suppliers, partners or others working with us or on our behalf. This risk of improper conduct increases as we continue to expand globally, with greater opportunities and demands to do more business with local and new partners, and in new environments. At the same time, law enforcement agencies are continuing to focus collaboratively on combating global corruption and other misconduct. We form and are members of joint ventures or other business arrangements and/or invest in third parties with whom we do business. We may be unable to prevent misconduct or violations of applicable laws by these joint ventures or our partners, including, in each case, their respective officers, directors and employees, and their actions may adversely impact us and our reputation.</w:t>
      </w:r>
    </w:p>
    <w:p>
      <w:pPr>
        <w:spacing w:after="0" w:line="66" w:lineRule="exact"/>
        <w:rPr>
          <w:sz w:val="20"/>
          <w:szCs w:val="20"/>
          <w:color w:val="auto"/>
        </w:rPr>
      </w:pPr>
    </w:p>
    <w:p>
      <w:pPr>
        <w:ind w:right="3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unforeseen costs associated with compliance and remediation efforts, and government and third-party claims, could have a material adverse effect on our reputation and our financial position, results of operations and/or cash flows.</w:t>
      </w:r>
    </w:p>
    <w:p>
      <w:pPr>
        <w:spacing w:after="0" w:line="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laws and regulations, including as they may be expanded, otherwise changed or enforced differently over time. Compliance with these existing and evolving environmental laws and regulations requires, and is expected to continue to require, significant operating and capital costs. For example, some of these recently enacted laws and regulations prohibit the use of certain chemicals or other substances that are used in our business, which has, in some cases, required us to identify alternate sources, resulting in additional costs and/or otherwise impacting our business and operations.</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Environmental matters may significantly impact our business and operations and present evolving risks and challenges. New and evolving laws, regulations and rulemakings in different jurisdictions (inside and outside the United States) may impose different and at times more or less restrictive environmental requirements on our operations. Compliance with these laws and regulations could also require capital investments, could adversely impact our ongoing operations, and could require changes on a more accelerated time frame. We expect our suppliers to face similar challenges and incur additional compliance costs that may be passed on to us. These direct and indirect costs can adversely impact our results of operations and financial condition, and, if we are unable to comply with legislative and regulatory requirements, our reputation and ability to do business could be negatively impacted.</w:t>
      </w:r>
    </w:p>
    <w:p>
      <w:pPr>
        <w:spacing w:after="0" w:line="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Environmental impacts create short and long-term financial risks to our business globally. We have significant operations located in regions that have been, and may in the future be, exposed to significant weather events and other natural disasters. These events could damage our and our suppliers’ facilities, products, and other assets, and cause disruptions to our business operations and supply chain as well as the operations of our customers, and require an increase in expenditures to improve climate resiliency. The costs of our efforts to develop and implement sustainability initiatives and comply with environmental regulations where we operate may be greater than expected, which could affect our ability to achieve our goals. Additionally, we may be the subject of criticism or other actions by government officials, private groups or influential individuals who disagree with our actions with respect to sustainability and/or environmental matters.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be subject to substantial administrative, civil or criminal fines, penalties or other sanctions (including suspension, debarment or disqualification) for violations of environmental laws.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5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We incur, and expect to continue to incur, substantial remediation costs related to the cleanup of pollutants previously released into the environment. Stricter or different remediation standards or enforcement of existing laws and regulations, new requirements, including regulation of new substances, discovery of previously unknown or more extensive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and may become a party to various legal proceedings and disputes involving government and private parties (including individual and class actions) relating to alleged impacts from pollutants released into the environment, including bodily injury and property damage. For example, please see Note 10 for a discussion of certain disputes and lawsuits related to legacy Bethpage environmental conditions. These matters could result in material compensatory or other damages, remediation costs, penalties, and non-monetary relief, and adverse determinations on allowability or insurance coverage.</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and private parties also seek to hold us responsible for liabilities or obligations related to former operations that have been divested or spun-off and/or for which we believe other parties have agreed to be responsible and/or to indemnify us. These rights may not be sufficient to protect us.</w:t>
      </w:r>
    </w:p>
    <w:p>
      <w:pPr>
        <w:spacing w:after="0" w:line="23" w:lineRule="exact"/>
        <w:rPr>
          <w:sz w:val="20"/>
          <w:szCs w:val="20"/>
          <w:color w:val="auto"/>
        </w:rPr>
      </w:pPr>
    </w:p>
    <w:p>
      <w:pPr>
        <w:ind w:right="42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subject to income and other taxes in the U.S. and other jurisdictions. Changes in applicable tax laws and regulations, or their interpretation and application, including the possibility of retroactive effect, as well as measurement of benefit plan obligations, and revaluation of uncertain tax positions, have affected and could affect our tax expense, the timing of payments, or deferred tax assets. In addition, the final determination of any tax audits or related litigation, in particular with regard to our positions on research credits, could be materially different from our historical income tax provisions and accruals. In addition, we may be subject to future tax audits and legal challenges involving OATK, which we acquired in 2018, or the spinoff of its then subsidiary Vista Outdoor, and we may be unable to obtain indemnification or we may be required to indemnify Vista.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90" w:lineRule="exact"/>
        <w:rPr>
          <w:sz w:val="20"/>
          <w:szCs w:val="20"/>
          <w:color w:val="auto"/>
        </w:rPr>
      </w:pPr>
    </w:p>
    <w:p>
      <w:pPr>
        <w:ind w:right="1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and other security threats or disruptions could have a material adverse effect on our reputation and our financial position, results of operations and/or cash flows.</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significant cyber and other security threats. They include, among other things, attempts to gain unauthorized access to sensitive information or otherwise compromise the integrity, confidentiality and/or availability of our systems, hardware and networks, and the information on them, insider threats, ransomware, threats to the safety of our directors, officers and employees, threats to our facilities, infrastructure, products (we produce and use), and subcontractors or other suppliers (referred to inclusively as suppliers), and threats from terrorist acts, espionage, civil unrest and other acts of aggression. We are also subject to increasing government, customer and other cyber and security requirements, including disclosure obligations.</w:t>
      </w:r>
    </w:p>
    <w:p>
      <w:pPr>
        <w:spacing w:after="0" w:line="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Cyber threats, both on premises and in the cloud, are complex, continuous and evolving and include, but are not limited to: malicious software, destructive malware, ransomware, targeting by more advanced and persistent adversaries, including nation states and other actors, zero-day attacks, attempts to gain unauthorized access to systems or data, disruption to operations, critical systems or denial of service attacks, unauthorized release of confidential, personal or other protected information (ours or that of our employees, customers or partners), corruption of data, networks or systems, harm to individuals, and loss of assets. We have been and could be impacted by cyber threats or other disruptions or vulnerabilities found in products or services we use or in our internal, partners’ or customers’ systems that are used in connection with our business. Further, artificial intelligence techniques to automate and enhance cyber attacks pose an evolving and increased level of risk to our information systems. We have experienced cyber attacks and, due to the evolving threat landscape, expect we will continue to experience additional attacks in the future. The various measures and controls we have implemented to monitor and mitigate risks associated with these threats and to increase the cyber resiliency of our infrastructure and products may not always be sufficient or fully effective, particularly against previously unknown vulnerabilities, including those that could go undetected for an extended period, which may inhibit our ability to provide prompt, full, and reliable information about such incidents to our customers, regulators, and the public. For further discussion of our cybersecurity risk management, strategy and governance, see “Cybersecurity.”</w:t>
      </w:r>
    </w:p>
    <w:p>
      <w:pPr>
        <w:spacing w:after="0" w:line="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Cyber events have caused and could cause us harm and require us to undertake remedial actions. Successful attacks can lead to losses or misuse of sensitive information or capabilities, theft or corruption of data, harm to personnel, infrastructure or products, protracted disruptions in our operations and performance, and the misuse of our products. They can also damage our reputation, impact our ability to obtain adequate insurance coverage, and lead to loss of business, regulatory actions, and costs, liabilities or other financial losses for which we may not have adequate sources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suppliers and partners to whom we entrust confidential data, and on whom we rely to provide products and services, face similar threats and growing requirements. We depend on our customers, suppliers, and other business partners to implement and verify adequate controls and safeguards to protect against and report cyber incidents. When they fail to deter, detect, remediate or report cyber incidents in a timely manner, or fail to implement applicable requirements, we suffer, and may in the future suffer, financial and other harm, including to our information, operations, performance, employees and reputation. Further, the systems, products and services that we provide to customers may not be able to detect or deter threats, or effectively to mitigate resulting losses. These losses could adversely affect our customers and our company.</w:t>
      </w:r>
    </w:p>
    <w:p>
      <w:pPr>
        <w:spacing w:after="0" w:line="6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also face increasing and evolving disclosure obligations related to cybersecurity events and the risk of failing to meet all our existing or future disclosure obligations and/or having our disclosures misinterpreted. National security or public safety considerations may also affect, delay or in limited instances prevent, our public disclosure of a cybersecurity incident.</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face threats to our physical security, including to our facilities and the safety and well-being of our people, including senior executives. These threats could involve terrorism, insider threats, targeted threats against senior executives, workplace violence, or civil unrest, which could adversely affect our company. Our customers and suppliers face similar risks that, if realized, could also adversely impact our operations. Such acts could cause delays, manufacturing downtime, or other impacts that could detrimentally impact our ability to perform our operations. We could also incur unanticipated costs to remediate impacts and lost business.</w:t>
      </w:r>
    </w:p>
    <w:p>
      <w:pPr>
        <w:spacing w:after="0" w:line="58" w:lineRule="exact"/>
        <w:rPr>
          <w:sz w:val="20"/>
          <w:szCs w:val="20"/>
          <w:color w:val="auto"/>
        </w:rPr>
      </w:pPr>
    </w:p>
    <w:p>
      <w:pPr>
        <w:jc w:val="both"/>
        <w:ind w:right="280" w:hanging="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earnings and profitability depend, in part, on the performance, financial viability, and compliance with regulatory requirements globally of our subcontractors and suppliers, as well as on the availability and pricing of highly skilled labor, raw materials, chemicals, parts, and components. The disruption of one or more of these factors could have a material adverse effect on our financial position, results of operations and/or cash flows.</w:t>
      </w:r>
    </w:p>
    <w:p>
      <w:pPr>
        <w:spacing w:after="0" w:line="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subcontractors and other suppliers (referred to collectively as suppliers) to provide raw materials, chemicals, parts, components and subsystems for our products, produce hardware elements and sub-assemblies, provide software and intellectual property, and perform some of the services we need for our operations or provide to our customers, and to do so efficiently and in compliance with all applicable laws, regulations and contract terms, while maintaining strong values and cultures. Disruptions, performance problems or other issues with our suppliers, including unanticipated cost growth, failure to meet regulatory or contractual requirements, and/or unethical or illegal behavior, or a misalignment between our contractual obligations to our customers and our agreements with our suppliers, have had and may continue to have various adverse impacts on the company, including on our ability to meet our commitments to customers and financial expectations. Supply chain challenges, including risk of delays and disruptions continue to be heightened globally.</w:t>
      </w:r>
    </w:p>
    <w:p>
      <w:pPr>
        <w:spacing w:after="0" w:line="5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Our ability to perform our obligations on time can be adversely affected if one or more of our suppliers is unable to provide the agreed-upon products, materials or intellectual property, or perform the agreed-upon services, in a timely, compliant and cost-effective manner. We have experienced, and may continue to experience, financial or other performance challenges if we are unable to use or obtain certain raw materials, chemicals, parts, components or other substances in a timely and/or cost-efficient manner due to laws or other regulations that restrict or prohibit the use or import of such items, or cause suppliers to be unwilling or unable to supply them, and we cannot obtain a reasonable substitute on a timely or cost-effective basis, including as a result of tariffs or other trade restrictions. Changes in political or economic conditions, including changes in demand, the macroeconomic environment (including inflation and labor and supply chain challenges), defense budgets and/or priorities, the global security environment, export/import restrictions, tariffs, sanctions and other trade-related activities, access to critical technology and materials (including metals and components), and/or evolving requirements, among others, have adversely affected and could adversely affect the financial stability of our suppliers and/or their ability to perform effectively.</w:t>
      </w:r>
    </w:p>
    <w:p>
      <w:pPr>
        <w:spacing w:after="0" w:line="5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inability of our suppliers to perform effectively has required and may require us to provide them additional support and/or to transition to alternate suppliers, if available, with additional costs and delays. We expect we will need to continue to provide additional resources to support certain of our suppliers in performing under our contracts. In addition, if we are unable to do that or if our suppliers are no longer able to perform due to financial difficulties, we may face additional losses and liabilities under our current contracts and adversely impact the prospects for certain new ones.</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our U.S. government contracts, we are required to procure certain raw materials, chemicals, components and parts from supply sources approved by the customer and/or are restricted from procuring products or services from certain sources. Because the identification and qualification of new or additional suppliers for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products and services can take an extended period of time and can result in additional cost, supplier disruptions can have an adverse impact on our business. For example, we require access to certain microelectronics and our ability to produce and/or deliver products will be significantly impacted if the microelectronics manufacturing supply chain is cut off or significantly limited or delayed. This risk is increased for products and services that are single or sole source. For example, for some components, we may have had, or have, only one supplier, or one domestic supplier, that meets our needs. If that supplier cannot timely perform, or if we are unable to procure components from certain suppliers due to regulatory restrictions, we may be unable to find a suitable alternative and to meet our obligations.</w:t>
      </w:r>
    </w:p>
    <w:p>
      <w:pPr>
        <w:spacing w:after="0" w:line="6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Additionally, we may be held responsible not only for our own compliance with legal, contractual and customer requirements, but that of our suppliers, including with respect to counterfeit, unauthorized or otherwise non-compliant parts or materials.</w:t>
      </w:r>
    </w:p>
    <w:p>
      <w:pPr>
        <w:spacing w:after="0" w:line="23" w:lineRule="exact"/>
        <w:rPr>
          <w:sz w:val="20"/>
          <w:szCs w:val="20"/>
          <w:color w:val="auto"/>
        </w:rPr>
      </w:pPr>
    </w:p>
    <w:p>
      <w:pPr>
        <w:ind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a qualified workforce necessary for our business, we may be unable to maintain our competitive position, meet the needs of our customers or achieve our results, which could have a material adverse effect on our financial position, results of operations and/or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and growth opportunities are heavily dependent upon our ability to attract and retain sufficient qualified personnel who are or can</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reasonably obtain requisite security clearances and program access, who have the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continue to face increased competition for talent with traditional defense companies, new entrants in our markets and commercial companies, globally, with increasing wage rates and, in some cases, greater flexibility around working conditions. Although we have realized benefits from extensive hiring and retention programs in recent years, the risk of</w:t>
      </w:r>
    </w:p>
    <w:p>
      <w:pPr>
        <w:spacing w:after="0" w:line="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insufficient personnel may increase, either broadly or with respect to select critical staffing requirements, including those with security clearances. If necessary qualified personnel are more scarce or more difficult to attract or retain under reasonable terms, or if we experience a high level of attrition, generally or in particular areas, or if such personnel are increasingly unable to obtain security clearances or program access on a timely basis or are unable to be timely and effectively trained, we would expect higher labor-related costs and we could face challenges performing on various of our programs and meeting financial expectations. In addition, the macroeconomic environment, including continued challenges in the global labor market, may further affect our ability to hire, develop and retain the necessary workforce. Separately, the recent executive order regarding executive salaries and incentive compensation metrics applicable to defense contractors could adversely impact our ability to attract or retain executive talent.</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of our employees are covered by collective bargaining agreements. We generally have been able to renegotiate renewals to expiring agreements without significant disruption of operating activities. However, other companies have experienced challenges in renewing labor agreements. If, for example, we also experience difficulties with renewals and renegotiations of existing collective bargaining agreements, or if our employees pursue new collective representation, we could incur additional expenses and impacts on operating efficiency and may be subject to work stoppages, production delays, increased labor costs and/or other labor-related disruptions. Any such expenses, stoppages or disruptions could adversely affect our performance and results.</w:t>
      </w:r>
    </w:p>
    <w:p>
      <w:pPr>
        <w:spacing w:after="0" w:line="62" w:lineRule="exact"/>
        <w:rPr>
          <w:sz w:val="20"/>
          <w:szCs w:val="20"/>
          <w:color w:val="auto"/>
        </w:rPr>
      </w:pPr>
    </w:p>
    <w:p>
      <w:pPr>
        <w:ind w:right="40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 which could have a material adverse effect on our financial position, results of operations and/or cash flows.</w:t>
      </w:r>
    </w:p>
    <w:p>
      <w:pPr>
        <w:spacing w:after="0" w:line="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Sales to customers outside the U.S. are an important component of our business and strategy. Our international business is subject to numerous political and economic factors, legal requirements, cross-cultural considerations and other risks associated with doing business globally. These risks differ in some respects from those associated with our U.S. business and our exposure to such risks is expected to increase if and as our international business continues to grow.</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international business is generally subject to regulations and practices of the United States and other countries in which we do business. Failure by us, our employees, partners or others with whom we work to comply with applicable laws and regulations could result in administrative, civil, commercial or criminal liabilities, including suspension or debarment from government contracts or suspension of export/import privileges. Additionally, failure to comply with local practices can adversely impact our ability to win business and/or perform work. New regulations and requirements, or changes to existing ones, in countries in which we operate can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increase our costs and risks of doing business internationally. Our customers outside of the U.S. also often have the ability to terminate contracts for convenience as well as for default of contract terms. If such a termination were to occur, it could have a material adverse effect on our reputation, our ability to compete for other contracts and our financial position, results of operations and/or cash flows.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Changes in laws, political leadership and environment, and/or security risks may dramatically affect our ability to conduct or continue to conduct business in international markets. Our international business is impacted by changes in U.S. and non-U.S. national policies and priorities, and geopolitical relationships, any of which may be influenced by changes in the global threat environment, political leadership, geopolitical and economic uncertainties, trade policies, such as tariffs, world events, government budgets, inflationary pressures, trade sanctions, and economic and political factors more generally. For example, one of the ways in which our business sells our products and services internationally is through the United States Foreign Military Sales (FMS) program. Changes to the U.S. government’s policies regarding FMS could significantly impact our international business.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U.S. and its allies and security partners continue to face a global security environment of heightened tensions and instability, threats from state and non-state actors, including major global powers, as well as terrorist organizations, emerging nuclear tensions, and diverse regional security concerns. These factors have impacted and may in the future impact demand for our products and services, the competitive position of our products and services, funding for programs, our ability to perform, our supply chain, export authorizations, purchasing decisions or customer payments. Global macroeconomic conditions, as well as fluctuations in foreign currency exchange rates and credit, are also likely to further impact our business.</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with non-U.S. customers in some cases include terms and reflect legal requirements that create additional risks. Such terms include, in some cases, requirements to hire, invest, manufacture or purchase locally, or specific financial obligations, including offset obligations, and provisions that impose significant penalties if we fail to meet our requirements. We have also been required to enter into letters of credit, performance bonds, bank guarantees or other financial arrangements in certain cases. If we are dependent on certain suppliers, as in the U.S., we face risks related to their failure to perform in accordance with legal requirements, particularly where we rely on a sole source supplier. Our ability to sell products globally could be adversely affected if we are unable to design our products on a cost-effective basis or to obtain and retain all necessary export authorizations, which the U.S. government can deny, change or revoke for reasons outside our control. We also partner with non-U.S. companies, including through joint ventures and other forms of collaboration, which subjects us to risks related to the ability to identify and negotiate appropriate arrangements with qualified and acceptable local partners, potential exposure for their actions, and the ability effectively to terminate these arrangements. Such risks are complicated further when we partner with government-affiliated entities.</w:t>
      </w:r>
    </w:p>
    <w:p>
      <w:pPr>
        <w:spacing w:after="0" w:line="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products and services we provide, including those provided by suppliers and joint ventures, are sometimes in countries with unstable governments, economic or fiscal challenges, military or political conflicts, different business practices and/or developing legal systems. This may increase the risk to our employees, suppliers or other third parties, including for their safety, and increase our risk to a wide range of financial consequences and other liabilities, as well as loss of property or damage to our products.</w:t>
      </w:r>
    </w:p>
    <w:p>
      <w:pPr>
        <w:spacing w:after="0" w:line="41" w:lineRule="exact"/>
        <w:rPr>
          <w:sz w:val="20"/>
          <w:szCs w:val="20"/>
          <w:color w:val="auto"/>
        </w:rPr>
      </w:pPr>
    </w:p>
    <w:p>
      <w:pPr>
        <w:ind w:right="160" w:hanging="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innovate, develop new products and technologies, progress and benefit from digital transformation and maintain technologies, facilities and equipment to win new competitions and meet the needs of our customers. Failure to do so or meet our contractual obligations that require innovative design could adversely affect our profitability, reputation and future prospects and have a material adverse effect on our financial condition, results of operations and/or cash flows.</w:t>
      </w:r>
    </w:p>
    <w:p>
      <w:pPr>
        <w:spacing w:after="0" w:line="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highly demanding operating conditions, to accomplish challenging missions. Our success depends upon our ability to develop technologically advanced, innovative and cost-effective products and services, produce products at scale, and market these products and services to our customers globally. Our ability to develop such products depends on the talent of our workforce, continued funding for, and investment in, research and development, continued access to assured suppliers of important technologies and components, our ability to effectively compete, and our ability to provide the people, technologies, facilities, equipment and financial capacity needed to develop and deliver those products and services with maximum efficiency. To perform on our contracts and to win new business, we also depend increasingly on our ability to progress successfully on our digital transformation strategy. To meet evolving customer requirements, it is increasingly necessary to differentiate our offerings and to achieve efficiencies in our operations through digital based solutions, including artificial intelligence. Leveraging artificial intelligence in our business processes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operations can enhance our performance and enable our workforce to meet the needs of the customer. Our business may be adversely affected if we cannot continue to successfully integrate artificial intelligence into our business processes, products and services in a cost-effective, efficient, compliant and responsible manner. In addition, the advancement and integration of artificial intelligence technologies into our business are transforming the nature of work and the skills required within our workforce and may lead to workforce displacement. This could require us to invest in additional employee training, manage impacts on morale and retention and compete for candidates who possess more advanced technological skills. If we are unsuccessful in managing such risks to our workforce, it could negatively impact our operations. Additionally, emerging and potential regulations governing the use of artificial intelligence could impose additional requirements that may increase our costs or adversely impact our speed of delivery. Further, improper use of, or failure to adequately integrate, artificial intelligence could increase costs and lead to data breaches, reputational risks and otherwise negatively impact our business.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new products and technologies in a timely fashion, and progress successfully to identify, develop and integrate new technologies and effect digital solutions and transformation, or if we fail to achieve market acceptance and scale production more rapidly than our competitors, we may be unable to maintain our competitive position and our future success could be materially adversely affected.</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Problems and delays that could limit the successful development and delivery of our solutions, prevent us from meeting requirements and/or create risk and liabilities include issues with design, technology, operations or digital transformation, inability to achieve learning curve assumptions, inability to integrate emerging and rapidly developing technologies like artificial intelligence, manufacturing materials or components, or subcontractor (or other supplier) performance. Similarly, failures to perform on schedule or otherwise to fulfill our contractual obligations can negatively impact our financial position, reputation and ability to win future business.</w:t>
      </w:r>
    </w:p>
    <w:p>
      <w:pPr>
        <w:spacing w:after="0" w:line="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that can negatively affect revenue, schedule and profitability, and result in loss of life or property. They include loss on launch or flight of spacecraft, loss of aviation platforms, premature failure of products that cannot be accessed for repair or replacement, unintended explosions, problems with design, quality and workmanship, country of origin of procured materials, inadequate supplier components and degradation of product performance. Certain contracts, primarily involving space satellite systems, contain provisions that entitle the customer to recover payments and/or fees in the event of failure of the system or other performance challenges upon launch or subsequent deployment for less than a specified period of time. Under such terms, we are generally required to forfeit fees previously recognized and/or collected.</w:t>
      </w:r>
    </w:p>
    <w:p>
      <w:pPr>
        <w:spacing w:after="0" w:line="63" w:lineRule="exact"/>
        <w:rPr>
          <w:sz w:val="20"/>
          <w:szCs w:val="20"/>
          <w:color w:val="auto"/>
        </w:rPr>
      </w:pPr>
    </w:p>
    <w:p>
      <w:pPr>
        <w:ind w:right="5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disruptions caused by natural disasters or other events outside of our control, which could have a material adverse effect on our financial position, results of operations and/or cash flows.</w:t>
      </w:r>
    </w:p>
    <w:p>
      <w:pPr>
        <w:spacing w:after="0" w:line="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significant operations, including centers of excellence, located in regions that have been, and may in the future be, exposed to hurricanes, earthquakes, water levels, fires, windstorms, heat waves, other extreme weather conditions, acts of terrorism, power shortages and blackouts, telecommunications failures, epidemics, pandemics, and similar outbreaks, and other significant disruptions. We expect our facilities, operations, employees and communities to continue to be at risk for future natural disasters or other weather events, particularly at facilities prone to extreme weather events, such as in Florida and California. Climate related changes can impact weather patterns (e.g., increased frequency and severity of significant weather events), natural hazards (e.g., increased fire risk), mean temperature and sea levels, and long-term precipitation patterns (e.g., increased risk of drought,</w:t>
      </w:r>
    </w:p>
    <w:p>
      <w:pPr>
        <w:spacing w:after="0" w:line="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desertification, water scarcity and/or poor water quality). Such natural disasters and other significant disruptions can interrupt our operations, impact our employees, and result in significant costs and adversely affect our performance.</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subcontractors and other suppliers have also been, and may in the future be, subject to natural disasters or other significant disruptions that could delay or otherwise affect their ability to deliver or perform. Disruptions also impact the availability and cost of materials needed for manufacturing and can increase insurance and other operating costs, or result in a lack of available coverage. Although we take steps to mitigate these risks, including considering them in determining where to put new businesses, the damage, disruption, delay and other adverse effects of natural disasters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ind w:right="22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provide products and services, including related to hazardous and high risk operations, which subjects us to various environmental, regulatory, financial, reputational and other risks, and if any of these risks were to materialize, it could have a material adverse effect on our reputation and our financial position, results of operations and/or cash flows.</w:t>
      </w:r>
    </w:p>
    <w:p>
      <w:pPr>
        <w:spacing w:after="0" w:line="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and missile launches. We use and provide energetic materials, including in propulsion systems, which are highly explosive and flammable. We develop missile systems, and counter systems, including strategic deterrents, as well as subsystems and components. These and other activities subject us to various extraordinary risks, including those associated with (1) nuclear-related or non-nuclear launch activities and operations, including failed launches, (2) unintended release or initiation of energetic materials and explosions, whether in the development, test or use of such energetic materials, and (3) the storage, handling and disposal of radioactive and other hazardous or flammable materials and any changes in related regulations. We may be subject to potential liabilities, including for personal injury and harm to human health, property damage, environmental harm, and reputational harm arising out of such incidents or hazardous activities and operations, whether or not the cause was within our control, and insurance may not be reasonably available. Under some circumstances, the U.S. government and prime contractors may provide for certain indemnification and other protection, including pursuant to, or in connection with, Public Law 85-804, 10 U.S.C. 3861, the Price-Anderson Nuclear Industries Indemnity Act, the NASA Space Act, the Commercial Space Launch Act and the Terrorism Risk Insurance Reauthorization Act, for certain risks, but those protections may not be available or adequate.</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of our products, such as medium and large caliber ammunition and propulsion systems, involve the use, manufacture and/or handling of a variety of explosive and flammable materials or other hazardous substances. These activities have resulted and may result in incidents that cause workplace injuries and fatalities, damage or destruction of property, the temporary shut down or other disruption of manufacturing, production delays, environmental harm and expense, fines and liabilities to third parties. We have safety and loss prevention programs, which provide for pre-construction reviews, along with safety audits of operations involving explosive materials, to attempt to avoid or mitigate such incidents, as well as potential insurance coverage and indemnification to address resulting liabilities, but they may not be successful.</w:t>
      </w:r>
    </w:p>
    <w:p>
      <w:pPr>
        <w:spacing w:after="0" w:line="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our customers, or others, may use, handle or test our products and services in ways that can be unusually hazardous or risky, or in ways that are not intended, not authorized or inconsistent with guidance and warnings, which may create potential liabilities for our company, as well as reputational harm.</w:t>
      </w:r>
    </w:p>
    <w:p>
      <w:pPr>
        <w:spacing w:after="0" w:line="50" w:lineRule="exact"/>
        <w:rPr>
          <w:sz w:val="20"/>
          <w:szCs w:val="20"/>
          <w:color w:val="auto"/>
        </w:rPr>
      </w:pPr>
    </w:p>
    <w:p>
      <w:pPr>
        <w:jc w:val="both"/>
        <w:ind w:right="14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and fully exploit our intellectual property rights or obtain necessary rights to intellectual property of others, which could materially and adversely affect our ability to compete and perform on contracts, and have a material adverse effect on our reputation and our financial position, results of operations and/or cash flows.</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perform on our contracts and to win new business, we depend on our ability to develop, protect and exploit our intellectual property and use the intellectual property of others. Increasing demands from our customers to access and obtain rights in our intellectual property, and positions taken by our suppliers and competitors, challenge our ability to protect and exploit intellectual property.</w:t>
      </w:r>
    </w:p>
    <w:p>
      <w:pPr>
        <w:spacing w:after="0" w:line="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own many forms of intellectual property, including trade secrets, U.S. and foreign patents, trademarks, and copyrights, and we license or otherwise obtain access to various intellectual property rights of third parties. The U.S. government and certain foreign governments hold licenses or other rights to certain intellectual property that we develop in performance of government contracts, and at times seek to use or authorize others to use such intellectual property, including in competition with us. Governments continue to increase efforts to obtain more extensive rights in contractors’ intellectual property, including where we do not believe they are entitled to do so under current law. This could reduce our ability to develop, protect and exploit certain of our intellectual property rights and to compete.</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products and services embody valuable trade secrets, proprietary information and know-how. We typically seek to protect this information by entering into confidentiality and intellectual property agreements with our employees and third parties such as consultants, collaborators and suppliers. These agreements and other measures may not provide adequate protection for our trade secrets and other proprietary information. In the event of misuse, theft or misappropriation of such intellectual property rights or breach of confidentiality obligations, we may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adequate legal remedies. In addition, our trade secrets or other proprietary information may otherwise become known or be independently developed by competitors.</w:t>
      </w:r>
    </w:p>
    <w:p>
      <w:pPr>
        <w:spacing w:after="0" w:line="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some instances, our ability to win or perform contracts requires us to use third party intellectual property. This may require the government or our customer to provide rights to such third party intellectual property or for us to negotiate directly with third parties to obtain necessary rights on reasonable terms, which may not be practicable.</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intellectual property is subject to challenge, invalidation, or circumvention by third parties. Our access to and use of intellectual property licensed or otherwise obtained from third parties is also subject to challenges. Litigation to determine the scope of intellectual property rights, even if ultimately successful, has been and could in the future be costly. Moreover, the legal framework concerning intellectual property rights varies among countries and the protections under foreign laws and courts may not be favorable and are subject to change.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04" w:lineRule="exact"/>
        <w:rPr>
          <w:sz w:val="20"/>
          <w:szCs w:val="20"/>
          <w:color w:val="auto"/>
        </w:rPr>
      </w:pPr>
    </w:p>
    <w:p>
      <w:pPr>
        <w:ind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our significant risks, which could have a material adverse effect on our financial position, results of operations and/or cash flows.</w:t>
      </w:r>
    </w:p>
    <w:p>
      <w:pPr>
        <w:spacing w:after="0" w:line="24"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We endeavor to obtain insurance from financially stable, responsible, highly rated counterparties in established markets to cover significant risks and liabilities (including, for example, natural disasters, space launches and on-orbit operations, cybersecurity, hazardous operations, energetics and products liability). Not every risk or liability can be insured, and insurance coverage is not always reasonably available. Further, policy limits and terms of coverage reasonably obtainable may not be sufficient to cover actual losses or liabilities. For example, the space insurance market is experiencing increased price volatility and capacity constraints. Due to recent increases in the frequency and severity of losses in the space market, insurers are decreasing limits, increasing pricing and some have exited the market. Even if insurance coverage is available, we are not always able to obtain it at a price or on terms acceptable to us or without increasing exclusions. For example, if any of our space missions, including launch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orbit operations, are partially or wholly uninsured, we will bear a portion or all the losses resulting from a mission failure.</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Disputes with insurance carriers over the availability of coverage, and the insolvency of one or more of our insurers has affected and may continue to affect the availability or timing of recovery, as well as our ability to obtain insurance coverage at reasonable rates in the future. In some circumstances we may be entitled to certain legal protections or indemnifications from our customers through contractual provisions, laws or otherwise. However, these protections are not always available, are difficult to negotiate and obtain, are typically subject to certain terms or limitations, including the availability of funds, and may not be sufficient to cover our losses or liabilities.</w:t>
      </w:r>
    </w:p>
    <w:p>
      <w:pPr>
        <w:spacing w:after="0" w:line="58" w:lineRule="exact"/>
        <w:rPr>
          <w:sz w:val="20"/>
          <w:szCs w:val="20"/>
          <w:color w:val="auto"/>
        </w:rPr>
      </w:pPr>
    </w:p>
    <w:p>
      <w:pPr>
        <w:ind w:right="6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Depending upon the investment performance of plan assets, changes in actuarial assumptions, and legislative or other regulatory actions, pension and other postretirement benefit (OPB) obligations and related expenses and funding requirements may fluctuate significantly and could have a material adverse effect on our financial position, results of operations and/or cash flows.</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pension and OPB obligations and related expenses are dependent upon the investment performance of plan assets and various assumptions, including discount and interest rates, mortality and the estimated long-term rates of return on plan assets. Changes in assumptions associated with our pension and OPB plans, the investment performance of plan assets, and gains or losses associated with changes in valuation of marketable securities related to our non-qualified plans and other non-operating assets could have a material adverse effect on our financial position, results of operations and/or cash flows.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Funding requirements for our pension plans, including Pension Benefit Guaranty Corporation premiums, are subject to legislative and other government regulatory actions. In accordance with government regulations, pension plan cost recoveries under our U.S. government contracts may occur in different periods from when they are recognized for financial statement purposes or when pension funding is made. These timing differences, as well as government challenges to pension and OPB cost recovery, could have a material adverse effect on our financial position, results of operations and/or cash flows.</w:t>
      </w:r>
    </w:p>
    <w:p>
      <w:pPr>
        <w:spacing w:after="0" w:line="54" w:lineRule="exact"/>
        <w:rPr>
          <w:sz w:val="20"/>
          <w:szCs w:val="20"/>
          <w:color w:val="auto"/>
        </w:rPr>
      </w:pPr>
    </w:p>
    <w:p>
      <w:pPr>
        <w:ind w:right="2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investments and/or recorded goodwill and other long-lived assets may become impaired, which could have a material adverse effect on our financial condition and/or results of operations.</w:t>
      </w:r>
    </w:p>
    <w:p>
      <w:pPr>
        <w:spacing w:after="0" w:line="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is an intangible asset that we recognize in connection with acquisitions of third-party businesses. Goodwill accounts for approximately 34 percent of our total assets as of December 31, 2025. Other long-lived assets principally comprise property, plant and equipment (PP&amp;E) used in operating our business. The cost of PP&amp;E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utilized in support of our commercial business, including approximately $600 million of PP&amp;E in our commercial space business, is not allocable to government contracts and is therefore subject to greater recoverability risk than PP&amp;E utilized in support of our U.S. government contracts. Although the fair value of our reporting units and the net realizable value of our other long-lived assets currently exceed their respective carrying values, changes in business conditions, the market-based inputs used in our goodwill impairment test, or our assumptions related to the recoverability of our long-lived assets, could result in significant write-offs of goodwill or other long-lived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and other important factors disclosed in this report and from time to time in our other filings with the SEC.</w:t>
      </w:r>
    </w:p>
    <w:p>
      <w:pPr>
        <w:spacing w:after="0" w:line="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holistic process for overseeing and managing cybersecurity and related risks. This process is supported by both management and our Board of Directors.</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Chief Information and Digital Officer (CIDO) reports to the CEO. Our Chief Information Security Officer (CISO) reports to the CIDO and leads our cybersecurity functions. The CISO is responsible for the assessment and management of cybersecurity risk and the resiliency, protection and defense of our networks and systems. The CISO leads a team of cybersecurity professionals with broad experience and expertise, including in cybersecurity threat assessments and detection, mitigation technologies, cybersecurity training, incident response, cyber forensics, data protection, privacy, insider threats and regulatory compliance. The current CISO is an executive with extensive technical and operational experience in building and leading cybersecurity and resiliency teams in industry and the government.</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enterprise risk management activities in general, and each of our Board committees assists the Board in the role of risk oversight. The full Board receives an update on the company’s risk management process and the risk trends related to cybersecurity at least annually. Periodic briefings are also provided when warranted by emerging risks. The Audit and Risk Committee specifically assists the Board in its oversight of risks related to cybersecurity. To help ensure effective oversight, the CISO briefs the Audit and Risk Committee on the company’s information security and cybersecurity risk posture at least four times a year.</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Enterprise Risk Management Council (ERMC) considers risks relating to cybersecurity, among other significant risks, and applicable mitigation plans to address such risks. The ERMC is comprised of the Executive Leadership Team, as well as the Chief Accounting Officer, Chief Ethics and Compliance Officer, Corporate Secretary, Chief Environment, Quality and Safety Officer, Treasurer and Vice President, Internal Audit. The CIDO and CISO attend each ERMC meeting. The ERMC meets during the year and receives periodic updates from the CIDO and CISO on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an established process governing our response to a cybersecurity incident from detection to mitigation, recovery, assessment, internal and external notifications and functional stakeholder engagements with legal, privacy and risk management, among others. Depending on the nature and severity of an incident, this process provides for escalating notification to our CEO and the Board (including our Lead Independent Director and the Audit and Risk Committee chair), as appropriate.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cybersecurity risk management includes the following key elements:</w:t>
      </w:r>
    </w:p>
    <w:p>
      <w:pPr>
        <w:spacing w:after="0" w:line="88" w:lineRule="exact"/>
        <w:rPr>
          <w:sz w:val="20"/>
          <w:szCs w:val="20"/>
          <w:color w:val="auto"/>
        </w:rPr>
      </w:pPr>
    </w:p>
    <w:p>
      <w:pPr>
        <w:ind w:left="660" w:hanging="328"/>
        <w:spacing w:after="0" w:line="25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Multi-Layered Defense and Real Time Monitoring </w:t>
      </w:r>
      <w:r>
        <w:rPr>
          <w:rFonts w:ascii="Times New Roman" w:cs="Times New Roman" w:eastAsia="Times New Roman" w:hAnsi="Times New Roman"/>
          <w:sz w:val="18"/>
          <w:szCs w:val="18"/>
          <w:color w:val="auto"/>
        </w:rPr>
        <w:t>– We maintain a global cybersecurity program designed to identify, assess and manage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from cybersecurity threats. Our program is aligned with the National Institute of Standards and Technology (NIST) Cybersecurity Framework. We employ a defense-in-depth strategy that utilizes automation and intelligence-driven threat hunting methodologies, strictly enforced identity controls and real time monitoring to protect our networks and platform integrity. We continue to invest in our compliance capabilities, maintaining readiness for Cybersecurity Maturity Model Certification requirements and meeting evolving DoW standards. We protect our computing environments and products from cybersecurity threats through multi-layered defenses and apply lessons learned from our defense and monitoring efforts to help prevent future attacks. We are proactive — utilizing data analytics to detect anomalies and search for cyber threats. Our Cybersecurity Operations Center provides comprehensive cyber threat detection and response capabilities and maintains a 24x7 monitoring system which complements the technology, processes and threat detection techniques we use to monitor, manage and mitigate cybersecurity threats or vulnerabilities. From time to time, we engage third-party consultants or other advisors to assist in assessing, identifying and/or managing cybersecurity threats.</w:t>
      </w:r>
    </w:p>
    <w:p>
      <w:pPr>
        <w:spacing w:after="0" w:line="70"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Periodic Assessment </w:t>
      </w:r>
      <w:r>
        <w:rPr>
          <w:rFonts w:ascii="Times New Roman" w:cs="Times New Roman" w:eastAsia="Times New Roman" w:hAnsi="Times New Roman"/>
          <w:sz w:val="18"/>
          <w:szCs w:val="18"/>
          <w:color w:val="auto"/>
        </w:rPr>
        <w:t>– The cybersecurity program is subject to periodic internal assessments (including Internal Audit and penetration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third-party assessments and exercises. We periodically refine our processes to incorporate lessons learned from these assessments and exercises. Additionally, several external entities evaluate our cybersecurity program, including the U.S. Defense Contract Management Agency, the Defense Industrial Base Cybersecurity Assessment Center and a Cybersecurity Maturity Model Certification Third Party Assessment Organization, to assess and certify our cybersecurity regulatory compliance. We also engage with external auditors and consultants who conduct audits and assessments of our cybersecurity controls.</w:t>
      </w:r>
    </w:p>
    <w:p>
      <w:pPr>
        <w:spacing w:after="0" w:line="60"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Insider Threats </w:t>
      </w:r>
      <w:r>
        <w:rPr>
          <w:rFonts w:ascii="Times New Roman" w:cs="Times New Roman" w:eastAsia="Times New Roman" w:hAnsi="Times New Roman"/>
          <w:sz w:val="18"/>
          <w:szCs w:val="18"/>
          <w:color w:val="auto"/>
        </w:rPr>
        <w:t>– We maintain an insider threat program, led by our Vice President, Corporate and Enterprise Security, designed to identify,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 potential risks from within our company. Our insider threat program, which is supported by the cybersecurity program, evaluates potential risks consistent with applicable laws and regulations, customer requirements and industry practices.</w:t>
      </w:r>
    </w:p>
    <w:p>
      <w:pPr>
        <w:spacing w:after="0" w:line="38" w:lineRule="exact"/>
        <w:rPr>
          <w:rFonts w:ascii="Times New Roman" w:cs="Times New Roman" w:eastAsia="Times New Roman" w:hAnsi="Times New Roman"/>
          <w:sz w:val="18"/>
          <w:szCs w:val="18"/>
          <w:i w:val="1"/>
          <w:iCs w:val="1"/>
          <w:color w:val="auto"/>
        </w:rPr>
      </w:pPr>
    </w:p>
    <w:p>
      <w:pPr>
        <w:ind w:left="660" w:right="1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Sharing and Collaboration </w:t>
      </w:r>
      <w:r>
        <w:rPr>
          <w:rFonts w:ascii="Times New Roman" w:cs="Times New Roman" w:eastAsia="Times New Roman" w:hAnsi="Times New Roman"/>
          <w:sz w:val="18"/>
          <w:szCs w:val="18"/>
          <w:color w:val="auto"/>
        </w:rPr>
        <w:t>– We work with government, customer, industry and/or supplier partners, such as the National Defense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Sharing and Analysis Center and other government-industry partnerships, to gather and develop best practices and share information to address cyber threats. These relationships enable the rapid sharing of threat and vulnerability mitigation information across the defense industrial base and supply chain.</w:t>
      </w:r>
    </w:p>
    <w:p>
      <w:pPr>
        <w:spacing w:after="0" w:line="58"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Risk Management </w:t>
      </w:r>
      <w:r>
        <w:rPr>
          <w:rFonts w:ascii="Times New Roman" w:cs="Times New Roman" w:eastAsia="Times New Roman" w:hAnsi="Times New Roman"/>
          <w:sz w:val="18"/>
          <w:szCs w:val="18"/>
          <w:color w:val="auto"/>
        </w:rPr>
        <w:t>– We conduct cybersecurity assessments before sharing or allowing the hosting or processing of our sensitive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computing environments managed by third parties. Our standard terms and conditions contain contractual provisions requiring certain cybersecurity and data protections and controls and require third parties to notify us promptly of cyber incidents or data breaches so that we can assess potential impact on us.</w:t>
      </w:r>
    </w:p>
    <w:p>
      <w:pPr>
        <w:spacing w:after="0" w:line="58"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 We provide annual cybersecurity and information security awareness training to our employees with network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identify, avoid and mitigate cybersecurity threats and insider risks. This training also includes awareness about the policies and guidance associated with data privacy and protection of personal information, and protection and security of our company, customer and other third-party data. We regularly conduct targeted phishing exercises for employees on each company network. We also periodically host cybersecurity and ransomware tabletop exercises with management and other company functional stakeholders to practice rapid cyber incident response.</w:t>
      </w:r>
    </w:p>
    <w:p>
      <w:pPr>
        <w:spacing w:after="0" w:line="48"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 We provide training and other resources to our suppliers to support cybersecurity resiliency and data security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supply chain in addition to any requirements from our customers, as a condition of doing business with us, and require them to complete information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questionnaires to review and assess any potential cyber-related risks depending on the nature of the services or products being provided.</w:t>
      </w:r>
    </w:p>
    <w:p>
      <w:pPr>
        <w:spacing w:after="0" w:line="102" w:lineRule="exact"/>
        <w:rPr>
          <w:sz w:val="20"/>
          <w:szCs w:val="20"/>
          <w:color w:val="auto"/>
        </w:rPr>
      </w:pPr>
    </w:p>
    <w:p>
      <w:pPr>
        <w:ind w:left="660" w:righ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Cybersecurity Service Providers </w:t>
      </w:r>
      <w:r>
        <w:rPr>
          <w:rFonts w:ascii="Times New Roman" w:cs="Times New Roman" w:eastAsia="Times New Roman" w:hAnsi="Times New Roman"/>
          <w:sz w:val="18"/>
          <w:szCs w:val="18"/>
          <w:color w:val="auto"/>
        </w:rPr>
        <w:t>– We engage third party service providers to expand the capabilities and capacity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program, including for design, monitoring and testing of the program’s risk prevention and protection measures and process execution, including incident detection, investigation, analysis and response, eradication and recovery.</w:t>
      </w:r>
    </w:p>
    <w:p>
      <w:pPr>
        <w:spacing w:after="0" w:line="38" w:lineRule="exact"/>
        <w:rPr>
          <w:rFonts w:ascii="Times New Roman" w:cs="Times New Roman" w:eastAsia="Times New Roman" w:hAnsi="Times New Roman"/>
          <w:sz w:val="18"/>
          <w:szCs w:val="18"/>
          <w:color w:val="auto"/>
        </w:rPr>
      </w:pPr>
    </w:p>
    <w:p>
      <w:pPr>
        <w:ind w:left="660" w:right="64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Security </w:t>
      </w:r>
      <w:r>
        <w:rPr>
          <w:rFonts w:ascii="Times New Roman" w:cs="Times New Roman" w:eastAsia="Times New Roman" w:hAnsi="Times New Roman"/>
          <w:sz w:val="18"/>
          <w:szCs w:val="18"/>
          <w:color w:val="auto"/>
        </w:rPr>
        <w:t>– We provide cyber threat intelligence to, and collaboration with, our product security teams and share expertise in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vulnerability, exploit and resilience technology that can be applied to network infrastructure and company product offerings.</w:t>
      </w:r>
    </w:p>
    <w:p>
      <w:pPr>
        <w:spacing w:after="0" w:line="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to date none have materially affected the company or our financial position, results of operations and/or cash flows. We continue to invest in the cybersecurity and resiliency of our networks and products and to enhance our internal controls and processes, which are designed to help protect our programs, systems and infrastructure, and the information they contain. For more information regarding the risks we face from cybersecurity threats, please see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At December 31, 2025, we had approximately 53 million square feet of floor space at 446 separate locations, primarily in the U.S., for manufacturing, warehousing, research and testing, administration and various other uses. We leased to third parties approximately 42,000 square feet of our owned and leased facilities. The company’s major operations are at the following locations: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Sierra Vista, AZ; El Segundo, Mojave, Palmdale and San Diego, CA; Melbourne and St. Augustine, FL; Iuka and Moss Point, MS; Beavercreek, OH; Oklahoma City, OK; and Clearfield and Layton, UT.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Huntsville and Madison, AL; Mesa, AZ; Northridge, CA; Warner Robins, GA; Lake Charles, LA; Elkton, MD; Elk River and Plymouth, MN; Ogden and Roy, UT; Dulles, McLean and Radford, VA; and Keyser, WV. Locations outside the U.S. include 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Manhattan Beach, McClellan, San Diego, Sunnyvale and Woodland Hills, CA; Apopka, FL; Rolling Meadows, IL; Annapolis, Annapolis Junction, Baltimore, Elkridge, Halethorpe, Linthicum and Sykesville, MD; Bethpage and Williamsville, NY; Cincinnati, OH; Salt Lake City, UT; and Chantilly, Charlottesville and Waynesboro, VA. Locations outside the U.S. include France, Germany, Italy and the United Kingdom.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Huntsville, AL; Chandler and Gilbert, AZ; Azusa, Carson, Los Angeles, Manhattan Beach, Oxnard, Redondo Beach and San Diego, CA; Aurora, Boulder and Colorado Springs, CO; Beltsville, Elkridge and Hanover, MD; Devens, MA; Clearfield, Corinne, Magna, Salt Lake City and Tremonton, UT; and Dulles, Fairfax, McLean and Sterling, VA.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31, 2025:</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Square feet (in thousands)</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0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U.S. Government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Owned</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Leased</w:t>
            </w: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Owned/Leased</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3,050</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7,020</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3,414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4,418</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2,304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8,243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4,243</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10,321</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7,516</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22,995</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23,423</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6,277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10 and 11 to the consolidated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10 and 11 to the consolidated financial statements, and for further information on the risks we face from existing and future investigations, lawsuits, arbitration, claims, enforcement actions and other legal proceedings, please see “Risk Factors.”</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800,000,000 shares authorized at a $1 par value per share, of which 141,997,194 shares and 144,952,026 shares were issued and outstanding as of December 31, 2025 and 2024,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10,000,000 shares authorized at a $1 par value per share, of which no shares were issued and outstanding as of December 31, 2025 and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22, 2026, there were 16,994 common shareholders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December 31,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560" w:type="dxa"/>
            <w:vAlign w:val="bottom"/>
          </w:tcPr>
          <w:p>
            <w:pPr>
              <w:jc w:val="center"/>
              <w:ind w:left="310"/>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92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6"/>
                <w:szCs w:val="16"/>
                <w:color w:val="auto"/>
              </w:rPr>
            </w:pPr>
          </w:p>
        </w:tc>
        <w:tc>
          <w:tcPr>
            <w:tcW w:w="118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7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line="230"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(2)</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in millions)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27, 2025 - October 24, 2025</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609.37</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111,974</w:t>
            </w:r>
          </w:p>
        </w:tc>
        <w:tc>
          <w:tcPr>
            <w:tcW w:w="1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2,923</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2025 - November 21, 2025</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405,703</w:t>
            </w:r>
          </w:p>
        </w:tc>
        <w:tc>
          <w:tcPr>
            <w:tcW w:w="2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571.55</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405,703</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2,691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22, 2025 - December 31, 2025</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277,220</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566.31</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277,220</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2,534</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794,897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575.05</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794,897</w:t>
            </w:r>
          </w:p>
        </w:tc>
        <w:tc>
          <w:tcPr>
            <w:tcW w:w="1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2,534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3" w:lineRule="exact"/>
        <w:rPr>
          <w:rFonts w:ascii="Times New Roman" w:cs="Times New Roman" w:eastAsia="Times New Roman" w:hAnsi="Times New Roman"/>
          <w:sz w:val="19"/>
          <w:szCs w:val="19"/>
          <w:color w:val="auto"/>
          <w:vertAlign w:val="superscript"/>
        </w:rPr>
      </w:pPr>
    </w:p>
    <w:p>
      <w:pPr>
        <w:ind w:left="180" w:right="120" w:hanging="172"/>
        <w:spacing w:after="0" w:line="256"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11, 2024, the company’s board of directors authorized a new share repurchase program of up to an additional $3.0 billion in share repurchases of the company’s common stock. Repurchases under the program commenced in September 2025. All repurchases of common stock during the three months ended December 31, 2025 were made pursuant to this program. By its terms, the program will expire when the company has used all authorized funds for repurchases.</w:t>
      </w:r>
    </w:p>
    <w:p>
      <w:pPr>
        <w:spacing w:after="0" w:line="5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 assuming reinvestment of dividends, over a five-year period of $100 invested at the close of business on December 31, 2020, in Northrop Grumman Stock, the Standard &amp; Poor’s (S&amp;P) 500 Index and the S&amp;P Aerospace &amp; Defense (A&amp;D) Index.</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71120</wp:posOffset>
            </wp:positionV>
            <wp:extent cx="4808855" cy="3291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885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S&amp;P A&amp;D Index is comprised of Axon Enterprise, Inc., The Boeing Company, General Dynamics Corporation, General Electric Company, Howmet Aerospace Inc., Huntington Ingalls Industries Inc., L3Harris Technologies, Inc., Lockheed Martin Corporation, Northrop Grumman Corporation, RTX Corporation, Textron Inc., and TransDigm Group Incorporated.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graph is not deemed to be “filed” with the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ind w:right="3800"/>
        <w:spacing w:after="0" w:line="31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ind w:right="180"/>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10-K, as well as Part II, “Item 7. Management's Discussion and Analysis of Financial Condition and Results of Operations” (MD&amp;A) of our Form 10-K for the year ended December 31, 2024 (“2024 Annual Report on Form 10-K”). To the extent the January 1, 2025 SSAS realignment impacted the disclosures in the 2024 Annual Report on Form 10-K, we recast those prior year disclosures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Training Services Business</w:t>
      </w:r>
    </w:p>
    <w:p>
      <w:pPr>
        <w:spacing w:after="0" w:line="31" w:lineRule="exact"/>
        <w:rPr>
          <w:sz w:val="20"/>
          <w:szCs w:val="20"/>
          <w:color w:val="auto"/>
        </w:rPr>
      </w:pPr>
    </w:p>
    <w:p>
      <w:pPr>
        <w:ind w:right="2860"/>
        <w:spacing w:after="0" w:line="250"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“divestiture”) for $333 million in cash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ongoing conflict in Ukraine, recent events in Venezuela and threats elsewhere, particularly in the Middle East and the Western Pacific region, have increased global tensions and instability and highlighted security requirements globally, including in Europe, the Middle East, the Pacific region and Latin America, as well as the U.S. These conflicts have resulted in and may continue to result in increased demand for defense products and services from allies and partner nations, particularly in those regions. For example, we experienced an increase in demand for certain of our products and services directly and indirectly related to the conflict in Ukraine. We continue to monitor developments in these regions, but have not experienced, and do not anticipate experiencing, significant adverse financial impacts directly from these conflicts.</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current global security environment, characterized by significant national security threats to the U.S. and its allies, continues to highlight the need for strong deterrence and robust defense capabilities, and we are actively evaluating both opportunities and risks associated with this environment. We believe our capabilities, particularly in space, C4ISR, air and missile defense, battle management, advanced weapons, strategic deterrence, survivable aircraft and mission systems should help our customers in the U.S. and globally defend against current and future threats and, as a result, continue to position us for long-term profitable business growth.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challenges, including inflationary pressures; widespread delays and disruptions in supply chains; business slowdowns or shutdowns; workforce challenges and labor shortfalls; and market volatility. These macroeconomic factors can and have contributed, and could continue to contribute, to increased costs, delays, disruptions and other performance challenges, as well as increased competing demands for limited resources to address such increased costs and other challenges, for our company, our suppliers and partners, and our customers. We continue to work to address challenges to our business caused by the macroeconomic environment. We have seen progress in the supply chain as on-time deliveries and quality continue to improve. In remaining areas of pressure, we are proactively working with our suppliers to help meet our contract commitments.</w:t>
      </w:r>
    </w:p>
    <w:p>
      <w:pPr>
        <w:spacing w:after="0" w:line="6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although interest rates have declined over the past year, they remain elevated compared to recent years and have raised the cost of borrowing for governments. If rates increase or remain elevated, it could impact government spending priorities (in the U.S. and allied countries, in particular), including the demand for defense products. Economic tensions and changes in international trade policies, including, for example, the widespread tariffs announced since last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The full impact of these governmental actions on macroeconomic conditions and on our business is uncertain, difficult to predict and depends on a number of factors, including the extent and duration of tariffs,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reversal or temporary suspension of announced tariffs, the availability of exemptions, changes in the amount and scope of tariffs,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 effect at this time will have a material adverse effect on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 in Ukraine and threats in the Middle East, the Western Pacific and Latin America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spacing w:after="0" w:line="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July 4, 2025, the FY 2025 reconciliation bill titled the One Big Beautiful Bill Act (the “OBBBA”) was enacted. The OBBBA allocates approximately $150 billion in funds for defense spending, including funding for air and missile defense, munitions, strategic deterrence, shipbuilding and supply chains and other military capabilities, and the appropriated funds will remain available to be obligated until September 30, 2029 and expended through FY 2034. The OBBBA is expected to result in increased investments by the DoW in defense modernization projects and Pacific region deterrence, among other programs. See Note 6 to the financial statements for additional information on key income tax provisions of the OBBBA.</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Annual appropriations to fund the federal government for FY 2026 have not yet been enacted. On October 1, 2025, the U.S. Government entered a shutdown, which ended on November 12, 2025. The federal government is currently operating under a continuing resolution (“CR”) that extends funding for most agencies (including DoW) until January 30, 2026. It remains uncertain when the government will approve FY 2026 appropriations and what levels of funding the appropriations will provide. Government operations under an extended CR or a government shutdown could have adverse impacts on our programs and new starts, in particular, and the U.S. Government’s ability to make timely payments.</w:t>
      </w:r>
    </w:p>
    <w:p>
      <w:pPr>
        <w:spacing w:after="0" w:line="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Presidential Administration (the “Administration”) has issued numerous executive orders, including orders to undertake a comprehensive overhaul of the Federal Acquisition Regulation, to reform the DoW defense acquisition process and, more recently, to address underperformance and insufficient prioritization of government contracts, insufficient investment in production and production speed and incentive compensation metrics applicable to defense contractors. See “Risk factors” for further discussion regarding risks associated with executive orders and regulatory changes. Some of the Administration’s executive orders are subject to ongoing court challenges. Implementation of certain of these executive orders could adversely affect our business or create a more challenging or costly regulatory, operating and economic environment.</w:t>
      </w:r>
    </w:p>
    <w:p>
      <w:pPr>
        <w:spacing w:after="0" w:line="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 changes in U.S. government policy positions, including trade and foreign policy, tax policy and DoW policies or priorities, could materially impact defense spending broadly and the company’s programs in particular.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 We are in discussions with the U.S. Air Force regarding the potential for an accelerated production rate on the program. While the ultimate outcome of these discussions remains uncertain, we currently expect any agreement to accelerate production rate would require future investment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expand production capacity along with the opportunity to earn improved returns on the LRIP and NTE phases of the program.</w:t>
      </w:r>
    </w:p>
    <w:p>
      <w:pPr>
        <w:spacing w:after="0" w:line="1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first quarter of 2025, we recognized an additional $477 million loss across the five LRIP options. During the fourth quarter of 2025, we again reviewed our estimated profitability on the LRIP phase of the program and made no significant changes to the previously recognized loss.</w:t>
      </w:r>
    </w:p>
    <w:p>
      <w:pPr>
        <w:spacing w:after="0" w:line="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2025 results reflect our current best estimate of cost to complete the LRIP and NTE aircraft, as well as the outcome of ongoing discussions with our suppliers. If our estimated cost to complete the aircraft changes, if we reach an agreement with the customer regarding an accelerated production rate, or if our assumptions regarding contract performance, quantities, supplier negotiations, or funding to mitigate the impact of macroeconomic disruptions are resolved more or less favorably than what we have estimated, our financial position, results of operations and/or cash flows could be materially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spacing w:after="0" w:line="6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July 2024, the Sentinel program was certified for continuation by the DoW upon completion of the Nunn-McCurdy breach review. In connection with the certification, the DoW directed that the program be restructured, including plans for infrastructure related to the command and launch segment, which was the main driver of the increased cost estimates for the Production and Deployment phases.</w:t>
      </w:r>
    </w:p>
    <w:p>
      <w:pPr>
        <w:spacing w:after="0" w:line="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 Based on this preliminary execution framework, we updated our estimated profitability on the program and recognized a $76 million favorable estimate-at-completion (EAC) adjustment during the second quarter of 2025 largely related to our expectations for achieving certain contract incentives.</w:t>
      </w:r>
    </w:p>
    <w:p>
      <w:pPr>
        <w:spacing w:after="0" w:line="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reviewed our estimated profitability on the Sentinel program and made no significant changes. If our estimated cost to complete the restructured EMD effort or our expectations for achieving contract incentives are more or less favorable than what we have estimated, our financial position, results of operations and/or cash flows could be materially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Performance Assessment and Reporting</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the applicable FAR and CAS requirements that govern our U.S. government business,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contract type and/or life cycle (e.g., cost-type, fixed-price, development, production, and/or sustainment). Contract mix can also refer to differences in the profitability of the programs that drive changes in sales (e.g., sales growth or decreases on programs with accretive or dilutive margin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accounting principles generally accepted in the United States of America (“GAAP” or “FAS”), as follows:</w:t>
      </w:r>
    </w:p>
    <w:p>
      <w:pPr>
        <w:spacing w:after="0" w:line="46" w:lineRule="exact"/>
        <w:rPr>
          <w:sz w:val="20"/>
          <w:szCs w:val="20"/>
          <w:color w:val="auto"/>
        </w:rPr>
      </w:pPr>
    </w:p>
    <w:p>
      <w:pPr>
        <w:jc w:val="both"/>
        <w:ind w:left="660" w:right="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sales is defined as 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54"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adjusted net earnings (MTM-adjusted net earnings) and MTM-adjusted earnings per share (MTM-adjusted EPS) exclude MTM pension and OPB benefit (expense)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These measures are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41,033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37,674</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36,663</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36,753</w:t>
            </w:r>
          </w:p>
        </w:tc>
        <w:tc>
          <w:tcPr>
            <w:tcW w:w="1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89.8 %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89.4 %</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93.5 %</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4,511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527</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886</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17.5 %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7"/>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29.08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28.34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sales to organic sales: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41,033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40,729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w:t>
            </w: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2025 sales increased $921 million, or 2 percent, due to higher sales of $1.1 billion at Mission Systems, $603 million at Defense Systems, net of a $192 million reduction related to the training services divestiture, and $596 million at Aeronautics Systems. These increases were partially offset by $960 million of lower sales at Space Systems, largely due to a $738 million sales reduction associated with wind-down of work on the restricted space and NGI programs, and $425 million of higher intercompany eliminations.</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15 to the consolidated financial statements for information regarding the company’s sales by customer type, contract type and geographic region for each of our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2025 operating income increased $141 million, or 3 percent, primarily due to a $231 million pre-tax gain on sale for the training services divestiture and a $218 million increase in the FAS/CAS operating adjustment. These increases were partially offset by a $167 million decrease in segment operating income, primarily driven by $423 million of lower operating income at Aeronautics Systems reflecting the first quarter B-21 loss provision, and a $126 million increase in non-divestiture-related unallocated corporate expense largely driven by higher deferred state tax expense. 2025 operating margin rate increased to 10.8 percent from 10.6 percent reflecting the items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G&amp;A costs as a percentage of sales of 9.6 percent were comparable to the prior year.</w:t>
      </w:r>
    </w:p>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further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Mark-to-Market Pension and OPB Benefit/Expense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pre-tax MTM benefit (expense) are presented in the table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(losses) gains on 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Actuarial gains (losses) on plan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MTM benefit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2025 MTM benefit of $527 million was primarily driven by actual net plan asset returns of 11.3 percent compared to our 7.5 percent asset return assumption, partially offset by a 15 basis point decrease in the discount rate from year end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July 2025, the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The company recognized the income tax effects of the OBBBA in its 2025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2025 income tax expense increased $44 million, or 5 percent, due to a higher effective tax rate (ETR) and higher earnings before income taxes. The 2025 ETR increased to 17.5 percent from 16.8 percent in 2024 primarily due to a net reduction in tax reserves in the prior year, lower research credits principally due to enactment of the OBBBA, and additional income tax expense related to nondeductible goodwill in the divested training services business. These increases were partially offset by lower interest expense on unrecognized tax benefits. The MTM benefit in both 2025 and 2024 increased each respective year’s ETR by 0.4 percentage points. See Note 6 to the consolidated financial statements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MTM-adjusted net earnings: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c>
          <w:tcPr>
            <w:tcW w:w="23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4,182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w:t>
            </w:r>
          </w:p>
        </w:tc>
        <w:tc>
          <w:tcPr>
            <w:tcW w:w="1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7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7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(394)</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3,788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175" w:lineRule="exact"/>
        <w:rPr>
          <w:sz w:val="20"/>
          <w:szCs w:val="20"/>
          <w:color w:val="auto"/>
        </w:rPr>
      </w:pPr>
    </w:p>
    <w:p>
      <w:pPr>
        <w:ind w:left="180" w:right="200" w:hanging="172"/>
        <w:spacing w:after="0" w:line="238" w:lineRule="auto"/>
        <w:tabs>
          <w:tab w:leader="none" w:pos="16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540" w:hanging="172"/>
        <w:spacing w:after="0" w:line="238" w:lineRule="auto"/>
        <w:tabs>
          <w:tab w:leader="none" w:pos="16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8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2025 net earnings were comparable to the prior year and reflect the $141 million increase in operating income described above and an $84 million increase in our MTM benefit, partially offset by a $115 million decrease in the non-operating FAS pension benefit, $44 million of higher interest expense and a $44 million increase in income tax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MTM-adjusted EPS: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 per share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0.73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26.34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60" w:lineRule="exact"/>
        <w:rPr>
          <w:rFonts w:ascii="Times New Roman" w:cs="Times New Roman" w:eastAsia="Times New Roman" w:hAnsi="Times New Roman"/>
          <w:sz w:val="20"/>
          <w:szCs w:val="20"/>
          <w:color w:val="auto"/>
          <w:vertAlign w:val="superscript"/>
        </w:rPr>
      </w:pPr>
    </w:p>
    <w:p>
      <w:pPr>
        <w:ind w:left="180" w:right="540" w:hanging="172"/>
        <w:spacing w:after="0" w:line="238" w:lineRule="auto"/>
        <w:tabs>
          <w:tab w:leader="none" w:pos="16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6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2025 diluted earnings per share increased $0.74, or 3 percent, reflecting comparable net earnings and a 2 percent reduction in weighted-average diluted shares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Effective January 1, 2025, the company realigned the Strike and Surveillance Aircraft Solutions (SSAS) business unit from Defense Systems to Aeronautics Systems. This realignment is reflected in the financial information contained in this report.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4760"/>
        <w:spacing w:after="0" w:line="315" w:lineRule="auto"/>
        <w:rPr>
          <w:sz w:val="20"/>
          <w:szCs w:val="20"/>
          <w:color w:val="auto"/>
        </w:rPr>
      </w:pPr>
      <w:r>
        <w:rPr>
          <w:rFonts w:ascii="Times New Roman" w:cs="Times New Roman" w:eastAsia="Times New Roman" w:hAnsi="Times New Roman"/>
          <w:sz w:val="18"/>
          <w:szCs w:val="18"/>
          <w:color w:val="auto"/>
        </w:rPr>
        <w:t xml:space="preserve">For a more complete description of each segment’s products and services, see “Business.” </w:t>
      </w:r>
      <w:r>
        <w:rPr>
          <w:rFonts w:ascii="Times New Roman" w:cs="Times New Roman" w:eastAsia="Times New Roman" w:hAnsi="Times New Roman"/>
          <w:sz w:val="18"/>
          <w:szCs w:val="18"/>
          <w:b w:val="1"/>
          <w:bCs w:val="1"/>
          <w:color w:val="auto"/>
        </w:rPr>
        <w:t>Segment Operating Income and Margin Rate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4,511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(475)</w:t>
            </w: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217</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(258)</w:t>
            </w: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545 %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4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Training services divestiture - unallowable state taxes and</w:t>
            </w:r>
          </w:p>
        </w:tc>
        <w:tc>
          <w:tcPr>
            <w:tcW w:w="280" w:type="dxa"/>
            <w:vAlign w:val="bottom"/>
          </w:tcPr>
          <w:p>
            <w:pPr>
              <w:spacing w:after="0"/>
              <w:rPr>
                <w:sz w:val="16"/>
                <w:szCs w:val="16"/>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300 %</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expense (benefit) of MTM adjustment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benefit of B-21 loss provisions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248</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179 %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4,377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4,544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340" w:hanging="172"/>
        <w:spacing w:after="0" w:line="238" w:lineRule="auto"/>
        <w:tabs>
          <w:tab w:leader="none" w:pos="16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deferred state tax expense (benefit) associated with MTM benefit (expense) and the B-21 loss provisions, which are recorded in Unallocated corporate expense consistent with other changes in deferred state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Income and Margin Rate</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2025 segment operating income decreased $167 million, or 4 percent, primarily due to $423 million of lower operating income at Aeronautics Systems reflecting the first quarter B-21 loss provision and $71 million of lower operating income at Space Systems, partially offset by higher operating income of $229 million at Mission Systems and $155 million at Defense Systems. Segment operating margin rate decreased to 10.4 percent primarily due to the B-21 loss provision at Aeronautics Systems, partially offset by higher operating margin rates at Defense Systems, Mission Systems and Space Systems.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2025 FAS/CAS operating adjustment reflects higher CAS pension expense largely driven by plan asset returns in prior years and changes in certain CAS actuarial assumptions as of December 31,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The decrease in 2025 unallocated corporate expense is primarily due to a $231 million gain on the sale of our training services business. Non-divestiture-related unallocated corporate expense increased primarily due to higher deferred state tax expense largely related to the repeal of mandatory capitalization of research and development expenditures under IRC Section 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 </w:t>
      </w:r>
      <w:r>
        <w:rPr>
          <w:rFonts w:ascii="Times New Roman" w:cs="Times New Roman" w:eastAsia="Times New Roman" w:hAnsi="Times New Roman"/>
          <w:sz w:val="18"/>
          <w:szCs w:val="18"/>
          <w:color w:val="auto"/>
        </w:rPr>
        <w:t>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reported sales, operating income and margin rate.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2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(1,487)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1020" w:type="dxa"/>
            <w:vAlign w:val="bottom"/>
            <w:tcBorders>
              <w:bottom w:val="single" w:sz="8" w:color="auto"/>
            </w:tcBorders>
          </w:tcPr>
          <w:p>
            <w:pPr>
              <w:spacing w:after="0"/>
              <w:rPr>
                <w:sz w:val="22"/>
                <w:szCs w:val="22"/>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 airborne battle management and command and control systems; and uncrewed autonomous aircraft systems, including high-altitude long-endurance (HALE) strategic intelligence, surveillance and reconnaissance (ISR) systems.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12,992</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12,396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11,164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1,236</w:t>
            </w:r>
          </w:p>
        </w:tc>
        <w:tc>
          <w:tcPr>
            <w:tcW w:w="3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6.3 %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2025 sales increased $596 million, or 5 percent, primarily due to a $385 million increase on F-35 largely driven by material volume, a $379 million increase on TACAMO as that program ramps, and higher volume on the E-2 and B-21 programs. These increases were partially offset by lower sales on other restricted programs and a $106 million decrease on F/A-18 as final production deliveries were completed.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2025 operating income decreased $423 million and operating margin rate decreased to 6.3 percent primarily due to a $477 million loss provision recorded on the LRIP phase of the B-21 program in the first quarter of 2025. This was partially offset by higher net EAC adjustments across the portfolio.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Defense Systems is a leader in the design, engineering, development, integration and production of strategic deterrent systems, advanced tactical weapons, and missile defense solutions for the U.S. military and a broad range of international customers. Major products and services include strategic missiles; integrated, all-domain command and control (C2) systems; precision strike weapons; advanced propulsion, including tactical solid rocket motors and high speed air-breathing and hypersonic systems; high-performance gun systems, ammunition, precision munitions and advanced fuzes; and weapons integration, modernization, and sustainment.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8,002</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7,399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7,890</w:t>
            </w: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7,095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129"/>
        </w:trPr>
        <w:tc>
          <w:tcPr>
            <w:tcW w:w="4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10.9 %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9.5 %</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jc w:val="both"/>
        <w:ind w:right="340"/>
        <w:spacing w:after="0" w:line="253" w:lineRule="auto"/>
        <w:rPr>
          <w:sz w:val="20"/>
          <w:szCs w:val="20"/>
          <w:color w:val="auto"/>
        </w:rPr>
      </w:pPr>
      <w:r>
        <w:rPr>
          <w:rFonts w:ascii="Times New Roman" w:cs="Times New Roman" w:eastAsia="Times New Roman" w:hAnsi="Times New Roman"/>
          <w:sz w:val="18"/>
          <w:szCs w:val="18"/>
          <w:color w:val="auto"/>
        </w:rPr>
        <w:t>2025 sales increased $603 million, or 8 percent, primarily due to a $224 million increase on Sentinel as that program continues to ramp, a $185 million increase on armament programs, including military ammunition programs, a $153 million increase in sales from new awards across the IBCS program portfolio, and higher volume due to material timing on the GMLRS program. These increases were partially offset by a $192 million reduction in sales related to the divested training services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2025 operating income increased $155 million, or 22 percent, due to a higher operating margin rate and higher sales. Operating margin rate increased to 10.9 percent from 9.7 percent primarily due to higher net EAC adjustments, including a $76 million favorable EAC adjustment on the Sentinel program during the second quarter of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radar, electro-optical/infrared (EO/IR) and acoustic sensors; command, control, communications and computers, intelligence, surveillance and reconnaissance (C4ISR) systems; electronic warfare systems; advanced communications and network systems; advanced microelectronics; navigation and positioning sensors; maritime power, propulsion and payload launch systems; full spectrum cyber solutions; and intelligence processing systems.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11,399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10,895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1,598</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14 %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14.6 %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2025 sales increased $1.1 billion, or 10 percent, primarily due to continued ramp-up on restricted airborne radar programs, as well as higher sales of $161 million on marine systems programs, $141 million on international ground-based radar programs and $105 million on communications programs, as several programs ramp up following new awards.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2025 operating income increased $229 million, or 14 percent, due to higher sales and a higher operating margin rate. Operating margin rate increased to 14.6 percent from 14.0 percent primarily due to higher net EAC adjustments, including a $68 million favorable EAC adjustment recorded in the third quarter of 2025 in the restricted advanced microelectronics portfolio, partially offset by investments made by the sector in connection with restricted business opportunities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and launch systems for national security, civil government, commercial and international customers. Major products include satellites and spacecraft systems, subsystems, sensors and payloads; ground systems; missile defense systems and interceptors; and launch vehicles and related propulsion systems.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10,771</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11,731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11,873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1,254</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11.0 %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sales decreased $960 million, or 8 percent, primarily due to wind-down of work on the restricted space and NGI programs, which reduced sales by</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$738 million, as well as a $172 million decrease for the SDA satellite programs due to the timing of materials and a $102 million decrease driven by lower volume on the SLS Booster program. These decreases were partially offset by a $168 million increase on GEM 63 and higher volume on HALO as those programs continue to ramp.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2025 operating income decreased $71 million, or 6 percent, due to lower sales, partially offset by a higher operating margin rate. Operating margin rate increased to 11.0 percent from 10.7 percent principally due to more favorable contract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and Expenses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9,340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3,053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12,179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12,396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11,160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11,164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6,367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5,682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5,696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5,159</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1,425</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1,263</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8,002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7,131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7,399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8,854</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7,608</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2,218</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2,146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10,679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11,399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10,895</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8,797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7,827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9,743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9,709</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1,468</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1,309</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9,588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10,477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11,873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33,741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30,457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32,726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29,263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8,213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8,307</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37,577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41,033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36,489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0"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8"/>
          <w:szCs w:val="18"/>
          <w:color w:val="auto"/>
        </w:rPr>
        <w:t>2025 product sales increased $1.0 billion, or 3 percent, primarily due to higher sales on restricted airborne radar, marine systems and international ground-based radar programs at Mission Systems, higher volume on Sentinel, military ammunition programs and the IBCS program portfolio at Defense Systems, and higher sales on the F-35, TACAMO, E-2, and B-21 programs at Aeronautics Systems. These increases were partially offset by wind-down of work on the restricted space and NGI programs and lower volume on SDA satellite programs at Space Systems.</w:t>
      </w:r>
    </w:p>
    <w:p>
      <w:pPr>
        <w:spacing w:after="0" w:line="6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2025 product costs increased $1.2 billion, or 4 percent, reflecting a lower operating margin rate principally due to the $477 million loss provision recorded on the B-21 program at Aeronautics Systems in the first quarter of 2025, partially offset by higher net EAC adjustments at Defense Systems largely driven by Sentinel.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2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color w:val="auto"/>
        </w:rPr>
        <w:t>2025 service sales decreased $94 million, or 1 percent, primarily due to lower restricted sales at Space Systems and lower service volume at Defense Systems due to the training services divestiture, partially offset by higher restricted sales at Mission Systems and higher volume on aircraft sustainment services at Aeronautics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service costs decreased $106 million, or 1 percent, consistent with the change in services sales described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at December 31, 2025 and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5"/>
                <w:szCs w:val="15"/>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15"/>
                <w:szCs w:val="15"/>
                <w:color w:val="auto"/>
              </w:rPr>
            </w:pPr>
          </w:p>
        </w:tc>
        <w:tc>
          <w:tcPr>
            <w:tcW w:w="100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5"/>
                <w:szCs w:val="15"/>
                <w:color w:val="auto"/>
              </w:rPr>
            </w:pPr>
          </w:p>
        </w:tc>
        <w:tc>
          <w:tcPr>
            <w:tcW w:w="94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color w:val="auto"/>
                <w:w w:val="94"/>
              </w:rPr>
              <w:t>Total</w:t>
            </w:r>
          </w:p>
        </w:tc>
        <w:tc>
          <w:tcPr>
            <w:tcW w:w="146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Backlog</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Backlog</w:t>
            </w: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10,467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23,052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8,610</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19,186</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27,796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13,251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5,381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18,632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9,083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17,118</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26,201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43,529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95,681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2025 net awards totaled $46.3 billion. Significant 2025 new awards include $14.8 billion for restricted programs (primarily at Aeronautics Systems, Space Systems, and Mission Systems), $3.3 billion for F-35 (at Mission Systems and Aeronautics Systems), $2.5 billion for GEM 63, $1.8 billion for GWS, and $1.3 billion for Virginia Class submarines.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investment in our business through capital expenditures, funding of our pension and OPB plans, and shareholder returns.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$4.4 billion; $265 million was held outside of the U.S. by foreign subsidiaries.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$3.0 billion, and in April 2025, we renewed our one-year $500 million uncommitted credit facility. At December 31, 2025, there were no borrowings outstanding under these credit facilities. In May 2025, we issued $1.0 billion of unsecured senior notes for general corporate purposes, including debt repayment, share repurchases and working capital.</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principal contractual commitments include purchase obligations, repayments of long-term debt and related interest, and payments under operating leases. At December 31, 2025, we had $23.9 billion of purchase obligations, approximately half of which are short-term. Purchase obligations are largely comprised of open purchase order commitments to suppliers and subcontractors under U.S. government contracts. In most circumstances, our risk associated with the purchase obligations on our U.S. government contracts is limited by the termination liability provisions within those contracts. As such, we do not believe they represent a material liquidity risk to the company. At December 31, 2025, we had capital expenditure commitments of $1.6 billion, which we expect to satisfy with cash on hand. We also had provisions for uncertain tax positions of $1.6 billion, some or all of which could result in future cash payments to various taxing authorities. At this time, we are unable to estimate the timing and amount of any future cash outflows related to these uncertain tax positions.</w:t>
      </w:r>
    </w:p>
    <w:p>
      <w:pPr>
        <w:spacing w:after="0" w:line="5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Refer to the respective notes to the consolidated financial statements for further information about our share repurchase programs (Note 2), commercial paper, credit facilities and long-term debt (Note 9), standby letters of credit and guarantees (Note 11), future minimum contributions for the company’s pension and OPB plans (Note 12), and lease payment obligations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7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trade working capital</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4,757</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r>
    </w:tbl>
    <w:p>
      <w:pPr>
        <w:spacing w:after="0" w:line="175" w:lineRule="exact"/>
        <w:rPr>
          <w:sz w:val="20"/>
          <w:szCs w:val="20"/>
          <w:color w:val="auto"/>
        </w:rPr>
      </w:pPr>
    </w:p>
    <w:p>
      <w:pPr>
        <w:ind w:right="140" w:firstLine="8"/>
        <w:spacing w:after="0" w:line="428" w:lineRule="auto"/>
        <w:tabs>
          <w:tab w:leader="none" w:pos="149"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Beginning in the fourth quarter of 2025, the company redefined trade working capital presented in this table to include accounts receivable, unbilled receivables, inventoried costs, trade accounts payable and advance payments and billings in excess of costs incurred. Prior period amounts and disclosures have been recast to conform to current period presentation.</w:t>
      </w:r>
    </w:p>
    <w:p>
      <w:pPr>
        <w:spacing w:after="0" w:line="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2025 cash provided by operating activities increased $369 million, or 8 percent, primarily due to $149 million of lower net cash tax payments and improvements in trade working capital.</w:t>
      </w:r>
    </w:p>
    <w:p>
      <w:pPr>
        <w:spacing w:after="0" w:line="40" w:lineRule="exact"/>
        <w:rPr>
          <w:sz w:val="20"/>
          <w:szCs w:val="20"/>
          <w:color w:val="auto"/>
        </w:rPr>
      </w:pPr>
    </w:p>
    <w:p>
      <w:pPr>
        <w:ind w:right="1560"/>
        <w:spacing w:after="0" w:line="315" w:lineRule="auto"/>
        <w:rPr>
          <w:sz w:val="20"/>
          <w:szCs w:val="20"/>
          <w:color w:val="auto"/>
        </w:rPr>
      </w:pPr>
      <w:r>
        <w:rPr>
          <w:rFonts w:ascii="Times New Roman" w:cs="Times New Roman" w:eastAsia="Times New Roman" w:hAnsi="Times New Roman"/>
          <w:sz w:val="18"/>
          <w:szCs w:val="18"/>
          <w:color w:val="auto"/>
        </w:rPr>
        <w:t xml:space="preserve">2024 cash provided by operating activities increased $513 million, or 13 percent, driven by $355 million lower net cash tax payments. </w:t>
      </w:r>
      <w:r>
        <w:rPr>
          <w:rFonts w:ascii="Times New Roman" w:cs="Times New Roman" w:eastAsia="Times New Roman" w:hAnsi="Times New Roman"/>
          <w:sz w:val="18"/>
          <w:szCs w:val="18"/>
          <w:b w:val="1"/>
          <w:bCs w:val="1"/>
          <w:color w:val="auto"/>
        </w:rPr>
        <w:t>Free Cash Flow</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This measure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free cash flow: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4,757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3,875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(1,450)</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(1,767)</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2,100</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157"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8"/>
          <w:szCs w:val="18"/>
          <w:color w:val="auto"/>
        </w:rPr>
        <w:t xml:space="preserve">2025 free cash flow increased $686 million, or 26 percent, due to higher net cash provided by operating activities as well as lower capital expenditures. </w:t>
      </w:r>
      <w:r>
        <w:rPr>
          <w:rFonts w:ascii="Times New Roman" w:cs="Times New Roman" w:eastAsia="Times New Roman" w:hAnsi="Times New Roman"/>
          <w:sz w:val="18"/>
          <w:szCs w:val="18"/>
          <w:b w:val="1"/>
          <w:bCs w:val="1"/>
          <w:color w:val="auto"/>
        </w:rPr>
        <w:t>Investing Cash Flow</w:t>
      </w:r>
    </w:p>
    <w:p>
      <w:pPr>
        <w:spacing w:after="0" w:line="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2025 net cash used in investing activities decreased $594 million as compared with 2024, principally due to $333 million in proceeds from the sale of the training services business and $317 million of lower capital expenditures.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2025 net cash used in financing activities increased $2.2 billion as compared with 2024, primarily due to a $3.0 billion net decrease in cash from long-term debt, partially offset by a $890 million decrease in share repurchases. Cash returned to shareholders through share repurchases and dividends totaled $2.9 billion in 2025 and $3.7 billion in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which requires us to make estimates and assumptions about future events that affect the amounts reported in our consolidated financial statements. We employ judgment in making our estimates in consideration of historical experience, currently 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Due to the long-term nature of our contracts, we generally recognize revenue over time using the cost-to-cost method, which requires us to make reasonable estimates regarding the revenue and cost associated with the design, manufacture and delivery of our products and services.</w:t>
      </w:r>
    </w:p>
    <w:p>
      <w:pPr>
        <w:spacing w:after="0" w:line="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often span a period of several years, estimation of revenue, cost, and progress toward completion requires significant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6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also consider the impact of macroeconomic factors on our estimates, in particular on contract EACs that span several years. For example, we have included in our EACs management’s best estimate of the impact inflation and disruptions in the supply chain have had and may continue to have on our contracts. Although the overall financial impact these macroeconomic factors have had on our company has largely subsided, volatility of the recent macroeconomic environment has added complexity to our estimation process and may result in our contract EACs having more variability in the future than they might otherwise have had if the estimates had been prepared in a more stable macroeconomic environment.</w:t>
      </w:r>
    </w:p>
    <w:p>
      <w:pPr>
        <w:spacing w:after="0" w:line="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These assessments require judgments and estimates that can be affected by any number of these factors over time, which may cause actual results to differ materially from those estimates as facts and circumstances change or become known to us.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and early-stage/low-rate production contracts are inherently more uncertain as to future events than on mature, full-rate production contracts. As a result, there is typically more variability in those estimates and greater financial risk associated with unanticipated cost growth on fixed-price development contracts and early-stage/low-rate production contracts.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on our consolidated statements of earnings and comprehensive income, see “Segment Operating Results” and Note 1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The determination of projected benefit obligations, the fair value of plan assets, and pension and OPB expense for our retirement benefit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use of estimates and actuarial assumptions. We perform an annual review of our actuarial assumptions in consultation with our actuaries. When we determine changes in the assumptions are warranted, or as a result of plan amendments, future pension and OPB expense and our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benefit obligation could increase or decrease materially. The principal estimates and assumptions that have a significant effect on our consolidated financial position and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 The discount rate represents the interest rate we use to determine the present value of future cash flows currently expected to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5.58 percent at December 31, 2025 and 5.73 percent at December 31, 2024.</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effects of a hypothetical change in the discount rate may be nonlinear and asymmetrical for future years as the discount rate changes. Holding all other assumptions constant, an increase or decrease of 25 basis points in the December 31, 2025 discount rate assumption would have the following estimated effects on 2025 pension and OPB obligations, which would be reflected in the 2025 MTM (benefit) expense, and 2026 expected pension and OPB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8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25 Basis Point</w:t>
            </w:r>
          </w:p>
        </w:tc>
        <w:tc>
          <w:tcPr>
            <w:tcW w:w="24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pension and OPB obligation and MTM expense (benefit)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pension and OPB (benefit) expense</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Balance Crediting Rate </w:t>
      </w:r>
      <w:r>
        <w:rPr>
          <w:rFonts w:ascii="Times New Roman" w:cs="Times New Roman" w:eastAsia="Times New Roman" w:hAnsi="Times New Roman"/>
          <w:sz w:val="18"/>
          <w:szCs w:val="18"/>
          <w:color w:val="auto"/>
        </w:rPr>
        <w:t>– A portion of the company’s pension obligation and resulting pension expense is based on a cash balance formula,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returns. In general, the cash balance crediting rate tends to move in concert with the discount rate but has an offsetting effect on pension benefit obligations and the related MTM (benefit) expense. The minimum cash balance crediting rate allowed under the plan is 2.25 percent. The cash balance crediting rate assumption has been set to its current level of 4.84 percent as of December 31, 2025, increasing to 5.26 percent by 2031. Holding all other assumptions constant, an increase or decrease of 25 basis points in the December 31, 2025 cash balance crediting rate assumption would have the following estimated effects on the 2025 pension benefit obligation, which would be reflected in the 2025 MTM (benefit) expense, and 2026 expected pension expense: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 Basis Point</w:t>
            </w:r>
          </w:p>
        </w:tc>
        <w:tc>
          <w:tcPr>
            <w:tcW w:w="24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 Basis Point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auto"/>
            </w:tcBorders>
            <w:vMerge w:val="continue"/>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Decrease in Rate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pension obligation and MTM (benefit) expense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pension (benefit) expense</w:t>
            </w:r>
          </w:p>
        </w:tc>
        <w:tc>
          <w:tcPr>
            <w:tcW w:w="2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 </w:t>
      </w:r>
      <w:r>
        <w:rPr>
          <w:rFonts w:ascii="Times New Roman" w:cs="Times New Roman" w:eastAsia="Times New Roman" w:hAnsi="Times New Roman"/>
          <w:sz w:val="18"/>
          <w:szCs w:val="18"/>
          <w:color w:val="auto"/>
        </w:rPr>
        <w:t>The expected long-term rate of return on plan assets (EROA) assumption reflects the average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third-party projection models of expected long-term returns for each of the plans’ strategic asset classes and historical plan asset returns.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6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2025, the Investment Committee of the company’s benefit plans reviewed the plans’ major asset class allocations and approved an update to increase the target fixed-income asset allocation from 45% to 48%. The actual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asset allocation as of December 31, 2025 was approximately 43% fixed-income, 28% public equities, 27% alternatives, and 2% cash. At this time, the Investment Committee is not planning any significant changes to that mix. For further information on plan asset investments, see Note 12 to the consolidated financial statements.</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third-party models, but also changes in the models year-to-year when developing our EROA.</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2025 was approximately 10.6 percent and our 20-year and 30-year rolling average rates of return were approximately 7.5 percent and 8.3 percent, respectively, each determined on an arithmetic basis and net of expenses. Our 2025 return on plan assets, net of expenses, was approximately 11.3 percent.</w:t>
      </w:r>
    </w:p>
    <w:p>
      <w:pPr>
        <w:spacing w:after="0" w:line="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determining 2025 FAS expense, we assumed an expected long-term rate of return on pension plan assets of 7.5 percent and an expected long-term rate of return on OPB plan assets of 7.08 percent. For 2026 FAS expense, we have assumed an expected long-term rate of return of 7.5 percent on pension plan assets and 7.1 percent on OPB plans. Holding all other assumptions constant, an increase or decrease of 25 basis points in our December 31, 2025 EROA assumption would have the following estimated effects on 2026 expected pension and OPB expense (benefit):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25 Basis Point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auto"/>
            </w:tcBorders>
            <w:vMerge w:val="continue"/>
          </w:tcPr>
          <w:p>
            <w:pPr>
              <w:spacing w:after="0"/>
              <w:rPr>
                <w:sz w:val="21"/>
                <w:szCs w:val="21"/>
                <w:color w:val="auto"/>
              </w:rPr>
            </w:pPr>
          </w:p>
        </w:tc>
        <w:tc>
          <w:tcPr>
            <w:tcW w:w="3780" w:type="dxa"/>
            <w:vAlign w:val="bottom"/>
            <w:tcBorders>
              <w:bottom w:val="single" w:sz="8" w:color="auto"/>
            </w:tcBorders>
          </w:tcPr>
          <w:p>
            <w:pPr>
              <w:jc w:val="center"/>
              <w:ind w:left="2590"/>
              <w:spacing w:after="0"/>
              <w:rPr>
                <w:sz w:val="20"/>
                <w:szCs w:val="20"/>
                <w:color w:val="auto"/>
              </w:rPr>
            </w:pPr>
            <w:r>
              <w:rPr>
                <w:rFonts w:ascii="Times New Roman" w:cs="Times New Roman" w:eastAsia="Times New Roman" w:hAnsi="Times New Roman"/>
                <w:sz w:val="18"/>
                <w:szCs w:val="18"/>
                <w:color w:val="auto"/>
                <w:w w:val="99"/>
              </w:rPr>
              <w:t>Decrease</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holding all other assumptions constant, an increase or decrease of 100 basis points in actual versus expected return on plan assets would have the following estimated effects on our 2026 MTM expense (benefit):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 Basis Point</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auto"/>
            </w:tcBorders>
            <w:vMerge w:val="continue"/>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Estimated Fair Market Value of Plan Assets </w:t>
      </w:r>
      <w:r>
        <w:rPr>
          <w:rFonts w:ascii="Times New Roman" w:cs="Times New Roman" w:eastAsia="Times New Roman" w:hAnsi="Times New Roman"/>
          <w:sz w:val="18"/>
          <w:szCs w:val="18"/>
          <w:color w:val="auto"/>
        </w:rPr>
        <w:t>– For certain plan assets where the fair market value is not readily determinable, such as private equity,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and other alternative investments, we develop estimates of fair value using the best information available. Estimated fair values on these plan assets are based on redemption values and net asset values (NAV), as well as valuation methodologies that include third-party appraisals, comparable transactions, discounted cash flow valuation models and public market data.</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Rate </w:t>
      </w:r>
      <w:r>
        <w:rPr>
          <w:rFonts w:ascii="Times New Roman" w:cs="Times New Roman" w:eastAsia="Times New Roman" w:hAnsi="Times New Roman"/>
          <w:sz w:val="18"/>
          <w:szCs w:val="18"/>
          <w:color w:val="auto"/>
        </w:rPr>
        <w:t>– We use mortality assumptions to estimate life expectancies of plan participants. In October 2014, the Society of Actuaries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2021, the RPEC released a new projection scale (MP-2021) that included additional underlying data for 2019, which included an increase in life expectancies relative to the prior year.</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RPEC has not released a projection scale since MP-2021, citing complexities in incorporating the substantial number of “excess deaths” in 2020 and 2021 into their existing model and uncertainties about future expectations primarily related to COVID-19. As such, after considering the information released by the RPEC in October 2021 as well as the company’s recent mortality experience, we adopted the full MP-2021 projection scale while continuing to use the Pri-2012 White Collar table, supplemented with 50% of the Gradual Wear-Off illustration as outlined in the RPEC’s 2022 Mortality Improvement Update paper to reflect the future impacts of COVID-19. We used these mortality assumptions to calculate our pension and OPB obligations recognized at December 31, 2025, and the amounts estimated for our 2026 pension and OPB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our pension and OPB plans, see “Risk Factors” and Notes 1 and 12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accrue a loss and, if so, what amount based on consideration of the facts and circumstances of each matter as then known to us. Determinations regarding whether to accrue a loss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 We are subject to environmental laws and regulations in the jurisdictions in which we do or have done business.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recover a significant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are expensed when the liability is established. As of December 31, 2025, we expect approximately 92 percent of the company’s environmental remediation costs to be recoverable. A 10 percentage point decrease in this assumption would result in approximately a $55 million reduction to operating income. To the extent our judgments on the recoverability of our environmental remediation costs change or the unallowable portion of our environmental remediation costs otherwise increase, there could be a significant impact on our consolidated financial position, annual results of operations and/or cash flows.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 Matters </w:t>
      </w:r>
      <w:r>
        <w:rPr>
          <w:rFonts w:ascii="Times New Roman" w:cs="Times New Roman" w:eastAsia="Times New Roman" w:hAnsi="Times New Roman"/>
          <w:sz w:val="18"/>
          <w:szCs w:val="18"/>
          <w:color w:val="auto"/>
        </w:rPr>
        <w:t>– The evaluation of tax positions taken in a filed tax return, or planned to be taken in a future tax return or claim, requires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We exercise judgment in determining the level of evidence necessary and appropriate to support our assessment using all available information. The technical merits of a given tax position are derived from sources of authority in 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As of December 31, 2025, we have approximately $1.6 billion in unrecognized tax benefits. To the extent we prevail in matters for which reserves have been established or are required to pay amounts in excess of reserves, there could be a significant impact on our consolidated financial position, annual results of operations and/or cash flows.</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information on litigation, commitments and contingencies, see “Risk Factors” and Note 1, Note 6, Note 10 and Note 11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Long-Lived Assets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We allocate the purchase price of acquired businesses to the underlying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their respective fair values, with the excess, as well as any adjustments during the initial measurement period,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5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We record property, plant and equipment (PP&amp;E) for capital assets used in operating our business. The cost of PP&amp;E utilized in support of our government contracts is generally allowable and allocable cost in accordance with applicable FAR and CAS requirements, which limits our risk of impairment on those assets. However, the cost of PP&amp;E utilized in support of our commercial business, including approximately $600 million of PP&amp;E used in our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space business, is not allocable to government contracts and is therefore subject to greater recoverability risk.</w:t>
      </w:r>
    </w:p>
    <w:p>
      <w:pPr>
        <w:spacing w:after="0" w:line="102"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 We test for impairment of goodwill annually as of December 31 at each of our reporting units, which comprise our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or more frequently if events occur or circumstances change such that it is more likely than not an impairment may exist. When testing for goodwill impairment, we may perform both qualitative and quantitative assessments. If we perform a qualitative assessment and conclude that it is more likely than not that the fair value of a reporting unit is less than the carrying value, then a quantitative assessment is performed. When a quantitative assessment is performed, we compare the carrying value of each reporting unit to its respective fair value and recognize an impairment loss to the extent that the fair value is less than the carrying value.</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qualitative assessment evaluates relevant events and circumstances such as macroeconomic conditions, industry considerations, and reporting unit financial performance. If we perform a quantitative assessment, we primarily use the income approach based on the cash flows we expect the reporting units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w:t>
      </w:r>
    </w:p>
    <w:p>
      <w:pPr>
        <w:spacing w:after="0" w:line="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performed qualitative assessments for each of our reporting units as of December 31, 2025 and determined that no adjustments to the carrying value of goodwill were necessary. We performed our most recent quantitative analysis as of December 31, 2024, where we determined the fair value of each of our reporting units substantially exceeded their respective carrying values.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test for impairment of long-lived assets when events or changes in circumstances indicate that the carrying amount of the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material impairment charges recorded in the years ended December 31, 2025, 2024 and 2023.</w:t>
      </w:r>
    </w:p>
    <w:p>
      <w:pPr>
        <w:spacing w:after="0" w:line="45"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Impairment assessment inherently involves management judgments as to assumptions about expected future cash flows and the impact of market conditions on those assumptions. Due to the many variables inherent in developing the estimates used in our impairment analyses, differences in assumptions may have a material effect on the results of those impairment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been and continue to be exposed to market risk with respect to our portfolio of marketable securities with a fair value of $483 million and $347 million at December 31, 2025 and 2024, respectively. These securities are exposed to market volatilities, changes in price and interest 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on variable-rate short-term credit facilities for which there were no borrowings outstanding at December 31, 2025 and 2024. At December 31, 2025 and 2024, we had long-term debt of $15.7 billion and $16.3 billion, respectively, primarily consisting of fixed-rate debt, with a fair value of approximately $15.1 billion and $15.3 billion, respectively.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 Additionally, if we were to refinance our long-term debt, it may be refinanced at higher interest rates.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certain circumstances, we are exposed to foreign currency risk. We enter foreign currency forward contracts to manage a portion of the exchange rate risk related to receipts from customers and payments to suppliers denominated in foreign currencies. We do not hold or issue derivative financial instruments for trading purposes. At December 31, 2025 and 2024, foreign currency forward contracts with a notional amount of $308 million and $399 million, respectively, were outstanding. At December 31, 2025 and 2024, a 10 percent unfavorable foreign exchange rate movement would not have a material impact on our consolidated financial position,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has experienced extraordinary challenges in recent years, including the highest rates of inflation in 40 years. The company, its subcontractors and other suppliers, have experienced, and may in the future experience, pressures from heightened levels of inflation and challenges from the macroeconomic environment. Certain of our fixed-price contracts include economic price adjustment (EPA) clauses to help protect the company against inflationary pressures. However, these EPA clauses may not be able to fully mitigate adverse impacts of rising inflation on the company’s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Northrop Grumman Corporation and subsidiaries (the “Company”) as of December 31, 2025 and 2024, the related consolidated statements of earnings and comprehensive income,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26, 2026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9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and risk committee and that (1) relates to accounts or disclosures that are material to the financial statements and</w:t>
      </w:r>
    </w:p>
    <w:p>
      <w:pPr>
        <w:spacing w:after="0" w:line="1" w:lineRule="exact"/>
        <w:rPr>
          <w:sz w:val="20"/>
          <w:szCs w:val="20"/>
          <w:color w:val="auto"/>
        </w:rPr>
      </w:pPr>
    </w:p>
    <w:p>
      <w:pPr>
        <w:ind w:right="60" w:firstLine="8"/>
        <w:spacing w:after="0" w:line="255"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60" w:lineRule="exact"/>
        <w:rPr>
          <w:sz w:val="20"/>
          <w:szCs w:val="20"/>
          <w:color w:val="auto"/>
        </w:rPr>
      </w:pPr>
    </w:p>
    <w:p>
      <w:pPr>
        <w:ind w:right="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 Estimates of Revenue and Cost at Completion for Select Long-Term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 further described in Note 1 to the financial statements, the Company recognizes revenue as control is transferred to the customer, which for long-term contracts is generally over-time using the cost-to-cost method (cost incurred relative to total cost estimated at completion). Use of the cost-to-cost-method requires the Company to make reasonable estimates regarding the revenue and costs associated with the design, manufacture and delivery of their products or services. The Company estimates profit on these contracts as the difference between total estimated revenue and total estimated costs at completion and recognizes that profit as costs are incurred. If it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that a loss is expected to result on an individual performance obligation, the entire amount of the estimable future loss, including an allocation of G&amp;A costs, is charged against income in the period the loss is identified. We analyzed the Company’s contract portfolio to identify contracts that we believe had elevated financial or performance risk. For those contracts identified, the evaluation of one or more of the assumptions used to recognize revenue required extensive audit effort due to the complexity of the contracts and a high degree of auditor judgment.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revenue and cost estimates for these contracts identified included the following, among others:</w:t>
      </w:r>
    </w:p>
    <w:p>
      <w:pPr>
        <w:spacing w:after="0" w:line="104" w:lineRule="exact"/>
        <w:rPr>
          <w:sz w:val="20"/>
          <w:szCs w:val="20"/>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the significant assumptions and judgments underlying the estimates of revenues and costs to completion associated with these long-term contracts.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risk characteristic identified on an individual contract, we evaluated certain revenue and cost assumptions by:</w:t>
      </w:r>
    </w:p>
    <w:p>
      <w:pPr>
        <w:spacing w:after="0" w:line="90" w:lineRule="exact"/>
        <w:rPr>
          <w:rFonts w:ascii="Times New Roman" w:cs="Times New Roman" w:eastAsia="Times New Roman" w:hAnsi="Times New Roman"/>
          <w:sz w:val="18"/>
          <w:szCs w:val="18"/>
          <w:color w:val="auto"/>
        </w:rPr>
      </w:pPr>
    </w:p>
    <w:p>
      <w:pPr>
        <w:ind w:left="1300" w:right="4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Reading the underlying contract and any amendments or modifications to understand the contractual requirements and performance obligations.</w:t>
      </w:r>
    </w:p>
    <w:p>
      <w:pPr>
        <w:spacing w:after="0" w:line="4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timing of recognition of any incentive fees or award fees based on contract terms and relevant historical trends.</w:t>
      </w:r>
    </w:p>
    <w:p>
      <w:pPr>
        <w:spacing w:after="0" w:line="103" w:lineRule="exact"/>
        <w:rPr>
          <w:rFonts w:ascii="Times New Roman" w:cs="Times New Roman" w:eastAsia="Times New Roman" w:hAnsi="Times New Roman"/>
          <w:sz w:val="18"/>
          <w:szCs w:val="18"/>
          <w:color w:val="auto"/>
        </w:rPr>
      </w:pPr>
    </w:p>
    <w:p>
      <w:pPr>
        <w:ind w:left="130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management’s ability to achieve the estimates of remaining revenue and costs by performing inquiries with the Company’s program and business management regarding their basis of estimates including work plans, engineering specifications, program labor and suppliers, challenges or opportunities related to the program, actual performance to date compared to plan, and any recent correspondence between the Company and the customer on changes, or expected changes, in scope or contractual terms.</w:t>
      </w:r>
    </w:p>
    <w:p>
      <w:pPr>
        <w:spacing w:after="0" w:line="44"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selected changes to the estimates of costs to completion and obtaining supporting documentation on the appropriateness of the timing and amounts of these changes in estimates.</w:t>
      </w:r>
    </w:p>
    <w:p>
      <w:pPr>
        <w:spacing w:after="0" w:line="40" w:lineRule="exact"/>
        <w:rPr>
          <w:rFonts w:ascii="Times New Roman" w:cs="Times New Roman" w:eastAsia="Times New Roman" w:hAnsi="Times New Roman"/>
          <w:sz w:val="18"/>
          <w:szCs w:val="18"/>
          <w:color w:val="auto"/>
        </w:rPr>
      </w:pPr>
    </w:p>
    <w:p>
      <w:pPr>
        <w:ind w:left="1300" w:right="7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and completeness of the information used in developing estimates, as well as the mathematical accuracy of management’s calculation of revenue recognized during the period for the performance obligations.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80"/>
          </w:cols>
          <w:pgMar w:left="320" w:top="11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33,741</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32,726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30,897</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8,213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8,307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41,033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39,290</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27,280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26,188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26,226</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6,361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6,483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4,033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3,992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37,674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36,663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36,753</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4,511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541</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5,068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5,016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9"/>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43"/>
        </w:trPr>
        <w:tc>
          <w:tcPr>
            <w:tcW w:w="7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29.14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28.39</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36"/>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143.5</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147.0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29.08</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28.34</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6"/>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143.8</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147.3</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43"/>
        </w:trPr>
        <w:tc>
          <w:tcPr>
            <w:tcW w:w="7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4,208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4,403</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6,544</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1,309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1,656</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15,287</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$9,648 for 2025 and $8,733 for 2024</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10,972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1,859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17,437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1,051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1,604</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51,377</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r>
        <w:trPr>
          <w:trHeight w:val="243"/>
        </w:trPr>
        <w:tc>
          <w:tcPr>
            <w:tcW w:w="8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3,240</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2,309</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4,086</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4,247</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13,882</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$534 for 2025 and $1,582 for 2024</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15,162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1,110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1,857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2,692</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34,703</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0" w:type="dxa"/>
            <w:vAlign w:val="bottom"/>
          </w:tcPr>
          <w:p>
            <w:pPr>
              <w:spacing w:after="0"/>
              <w:rPr>
                <w:sz w:val="1"/>
                <w:szCs w:val="1"/>
                <w:color w:val="auto"/>
              </w:rPr>
            </w:pPr>
          </w:p>
        </w:tc>
      </w:tr>
      <w:tr>
        <w:trPr>
          <w:trHeight w:val="237"/>
        </w:trPr>
        <w:tc>
          <w:tcPr>
            <w:tcW w:w="8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2025—141,997,194 and 2024</w:t>
            </w:r>
          </w:p>
        </w:tc>
        <w:tc>
          <w:tcPr>
            <w:tcW w:w="240" w:type="dxa"/>
            <w:vAlign w:val="bottom"/>
          </w:tcPr>
          <w:p>
            <w:pPr>
              <w:spacing w:after="0"/>
              <w:rPr>
                <w:sz w:val="15"/>
                <w:szCs w:val="15"/>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—144,952,026</w:t>
            </w: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16,658</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16,674</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51,377</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548</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B-21 loss provisions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(231)</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(346)</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646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(559)</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4,757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(1,450)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 of training services business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333</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minority investments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(1,155)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6"/>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998</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(1,624)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(3,552)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4,353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3,109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4,403</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4,353</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15,297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14,773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(1,610)</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4,182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4,174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16,658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15,297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(152)</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16,674</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15,290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r>
      <w:tr>
        <w:trPr>
          <w:trHeight w:val="237"/>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8.99</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8.05</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Northrop Grumman Corporation is a leading global aerospace and defense technology company. We deliver a broad range of products, services and solutions to U.S. and international customers, and principally to the U.S. Department of War and intelligence community. Our broad portfolio is aligned to support national security priorities and our solutions equip our customers with capabilities they need to connect, protect and advance humanity.</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(the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financial statements are prepared in conformity with U.S. GAAP and in accordance with the rules of the SEC. The financial statements include adjustments of a normal recurring nature considered necessary by management for a fair presentation of the company’s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modified our presentation of the changes in liabilities in the operating cash flow section of the consolidated statement of cash flows by disaggregating Accounts payable and other liabilities into three separate line items: Accounts payable, Advance payments and billings in excess of costs incurred, and Other liabilities. Prior period amounts have been conformed to current period presentation. The modified presentation does not impact previously reported cash provided by operating activities.</w:t>
      </w:r>
    </w:p>
    <w:p>
      <w:pPr>
        <w:spacing w:after="0" w:line="5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Effective January 1, 2025, the company realigned the Strike and Surveillance Aircraft Solutions (SSAS) business unit from Defense Systems to Aeronautics Systems. This realignment is reflected in the financial information contained in this report.</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EAC adjustment.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Net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G&amp;A costs, is charged against income in the period the loss is identified.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of the B-21 program. During the first quarter of 2025, we recognized an additional $477 million loss across the five LRIP options. As of December 31, 2025, the remaining loss accrual on the B-21 program totaled $1.3 billion, which is included in Other current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7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r>
    </w:tbl>
    <w:p>
      <w:pPr>
        <w:spacing w:after="0" w:line="167"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21% federal statutory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years ended December 31, 2025, 2024 and 2023, the company recorded the following significant EAC adjustments: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2025 – The company recorded unfavorable EAC adjustments of $226 million and $122 million on the first and second LRIP lots of the B-21 program at Aeronautics Systems. As previously disclosed, the $122 million adjustment was largely offset by a reduction in our loss contingency accrual on the remaining LRIP lots due to a contract restructure that occurred during the third quarter of 2025. The company also recorded a $76 million favorable EAC adjustment on the engineering and manufacturing development (EMD) phase of the Sentinel program at Defense System and a $68 million favorable EAC adjustment in the restricted advanced microelectronics portfolio at Mission Systems.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 The company recorded a $39 million favorable EAC adjustment on the HALO program at Space Systems.</w:t>
      </w:r>
    </w:p>
    <w:p>
      <w:pPr>
        <w:spacing w:after="0" w:line="10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2023 – The company recorded a $143 million unfavorable EAC adjustment on the first LRIP lot of the B-21 program at Aeronautics Systems and $100 million of unfavorable EAC adjustments on the HALO program at Space Systems.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IDIQ contracts are not included in backlog until the time an option or IDIQ task order is exercised or awarded.</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Company backlog as of December 31, 2025 was $95.7 billion and reflects a $150 million reduction to backlog in connection with the training services divestiture during the second quarter of 2025. Of our December 31, 2025 backlog, we expect to recognize approximately 35 percent as revenue over the next 12 months and 60 percent as revenue over the next 24 months, with the remainder to be recognized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contract assets are as follows:</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6,544</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5,908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(4,070)</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2,458</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Changes in the company’s contract assets and liabilities primarily result from timing differences between revenue recognition and customer billings and/or payments. Net contract assets as of December 31, 2025 increased 34 percent from the prior year, primarily due to increases in unbilled receivables driven by the timing of deliveries and achievement of billing milestones on certain programs at Defense Systems.</w:t>
      </w:r>
    </w:p>
    <w:p>
      <w:pPr>
        <w:spacing w:after="0" w:line="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2025, 2024 and 2023 that was included in the contract liability balance at the beginning of each year was $3.3 billion, $3.6 billion and $3.1 billion,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See Note 15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In accordance with applicable FAR and CAS requirements, most general management and corporate expenses incurred at the segment and corporate locations are considered allowable and allocable costs to our U.S. government contracts.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Company-sponsored research and development activities primarily include efforts related to government programs. Company-sponsored IR&amp;D expenses totaled $1.1 billion, $1.1 billion and $1.2 billion in 2025, 2024 and 2023, respectively, which represented 2.6 percent, 2.7 percent and 3.0 percent of total sales, respectively. Customer-funded research and development activities are charged directly to the related contracts.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also recognized as a component of income tax expense.</w:t>
      </w:r>
    </w:p>
    <w:p>
      <w:pPr>
        <w:spacing w:after="0" w:line="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applicable FAR and CAS requirements, current state and local income and franchise taxes are generally considered allowable and allocable costs to our U.S. government contracts and are, therefore, recorded in operating costs and expenses. The company generally recognizes changes in deferred state taxes and unrecognized state tax benefits in unallocated corporate expense within operating income.</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Uncertain tax positions reflect the company’s expected treatment of tax positions taken in a filed tax return, or planned to be taken in a future tax return or claim.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90" w:lineRule="exact"/>
        <w:rPr>
          <w:sz w:val="20"/>
          <w:szCs w:val="20"/>
          <w:color w:val="auto"/>
        </w:rPr>
      </w:pPr>
    </w:p>
    <w:p>
      <w:pPr>
        <w:ind w:left="740" w:right="46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at fair value using NAV per share as a practical expedient. Marketable securities are recorded at fair value on a recurring basis and are included in Other non-current assets in the consolidated statements of financial position. Changes in unrealized gains and losses on marketable securities are included in Other, net in the consolidated statements of earnings and comprehensive income. Investments in held-to-maturity instruments with original maturities greater than three months are recorded at amortized cost.</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Other, net in the consolidated statements of earnings and comprehensive income, while changes in the fair value of derivative financial instruments that are designated as cash flow hedges are recorded as a component of other comprehensive income until the hedged transaction is recognized in earnings. For derivative financial instruments not designated as hedging instruments, gains or losses resulting from changes in the fair value are reported in Other, net in the consolidated statements of earnings and comprehensive income.</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using internal models based on observable market inputs such as forward rates, interest rates, our own credit risk and our counterparties’ credit risks.</w:t>
      </w:r>
    </w:p>
    <w:p>
      <w:pPr>
        <w:spacing w:after="0" w:line="5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Inventoried Costs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company records inventoried costs at the lower of cost or net realizable value. Inventoried costs are categorized into raw materials, work in process, and finished goods. Raw materials are recognized using the average cost method and are generally included in contract cost when allocated to specific contracts. Work in process primarily consists of a) costs associated with specific anticipated contracts or costs incurred in excess of existing contract requirements, which are probable of recovery, and b) costs associated with unsatisfied performance obligations on contracts accounted for using point in time revenue recognition. Finished goods primarily consists of inventory maintained in support of sustainment contracts.</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Inventoried costs include direct production costs, factory and engineering overhead, production tooling costs, and allowable G&amp;A. G&amp;A included in Inventoried costs, net was $89 million and $100 million as of December 31, 2025 and 2024, respectively. Inventoried costs are classified as current assets and include amounts related to contracts having production cycles longer than one year due to the long-cycle nature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Policies</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maintains whole life and split-dollar life insurance policies primarily on former officers and executives. Whole life insurance policies are recorded at their cash surrender value as determined by the insurance carrier, and split-dollar life insurance policies are recorded at the lesser of their cash surrender value or premiums paid. These policies are utilized as a partial funding source for deferred compensation and other non-qualified employee retirement plans. As of December 31, 2025 and 2024, the carrying values associated with these policies were $447 million and $416 million, respectively, and are recorded in Other non-current assets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Property, plant and equipment (PP&amp;E) are depreciated over the estimated useful lives of individual assets. Machinery and other equipment is primarily depreciated using declining-balance methods. The other asset categories are generally depreciated using the straight-line method. Depreciation expense is generally an allowable and allocable cost in accordance with applicable FAR and CAS requirements and is recorded in the same segment where the related assets are held. However, the additional depreciation expense related to the step-up in fair value of PP&amp;E acquired through business combinations is recorded in unallocated corporate expense within operating income as such depreciation is not allocable to government contracts and not considered part of management’s evaluation of segment operating performance. Substantially all of the company’s long-lived assets are located in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classes of PP&amp;E and their useful lives are as follows:</w:t>
      </w:r>
    </w:p>
    <w:p>
      <w:pPr>
        <w:spacing w:after="0" w:line="13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Times New Roman" w:cs="Times New Roman" w:eastAsia="Times New Roman" w:hAnsi="Times New Roman"/>
                <w:sz w:val="18"/>
                <w:szCs w:val="18"/>
                <w:color w:val="auto"/>
              </w:rPr>
              <w:t>Up to 40</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Up to 30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10,931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3-7</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Times New Roman" w:cs="Times New Roman" w:eastAsia="Times New Roman" w:hAnsi="Times New Roman"/>
                <w:sz w:val="18"/>
                <w:szCs w:val="18"/>
                <w:color w:val="auto"/>
                <w:w w:val="94"/>
              </w:rPr>
              <w:t>Lease Term</w:t>
            </w:r>
            <w:r>
              <w:rPr>
                <w:rFonts w:ascii="Times New Roman" w:cs="Times New Roman" w:eastAsia="Times New Roman" w:hAnsi="Times New Roman"/>
                <w:sz w:val="23"/>
                <w:szCs w:val="23"/>
                <w:color w:val="auto"/>
                <w:w w:val="94"/>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20,620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(9,648)</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10,972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r>
    </w:tbl>
    <w:p>
      <w:pPr>
        <w:spacing w:after="0" w:line="167"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Land is not a depreciable asset.</w:t>
      </w:r>
    </w:p>
    <w:p>
      <w:pPr>
        <w:spacing w:after="0" w:line="65"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Leasehold improvements are depreciated over the shorter of the useful life of the asset or lease term.</w:t>
      </w:r>
    </w:p>
    <w:p>
      <w:pPr>
        <w:spacing w:after="0" w:line="6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lease incentives for landlord funded leasehold improvements of $55 million related to Space Systems real estate leases, which were recorded in PP&amp;E and included in non-cash investing activities.</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Non-cash investing activities also include capital expenditures incurred but not yet paid of $280 million, $242 million and $75 million as of December 31, 2025, 2024 and 2023,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Minority Investment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2023, the company sold its minority investment in an Australian business for AUD $235 million (the equivalent of $157 million upon settlement). The sale resulted in a pre-tax gain of $97 million, which is reflected in Other, net on the consolidated statements of earnings and comprehensive income for the year ended December 31, 2023. Proceeds from the sale are included in investing activities on the consolidated statement of cash flows for the year ended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Goodwill and other purchased intangible asset balances are included in the identifiable assets of their assigned business segment. Goodwill is presented on a separate line in the consolidated statements of financial position; other purchased intangible assets are included in Other non-current assets. The company includes the amortization of other purchased intangible assets in unallocated corporate expense within operating income as such amortization is not allocable to government contracts and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payments and the appropriate lease classification. Many of our leases include renewal options aligned with our contract terms. 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received, if the incentives are determined to be leasehold improvements owned by the company, we generally record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accrue for litigation, commitments and contingencies when management, after considering the facts and circumstances of each matter known to management, has determined it is probable the company will incur a liability and the amount of the loss is reasonably estimable. When only a range of amounts is reasonably estimable and no amount within the range is more likely than another, the low end of the range is accrued. Legal fees are generally expensed as incurred. Due to the inherent uncertainties surrounding gain contingencies, we generally do not recognize potential gains until realized.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3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accrue for environmental liabilities when management, after considering the facts and circumstances of each matter known to management, has determined it is probable the company will incur costs to address environmental impacts and the costs are reasonably estimable. When only a range of amounts is reasonably estimable and no amount within the range is more likely than another, the low end of the range is accrued.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considering the financial viability of other liable parties. For the portion of environmental liabilities the company expects to be recoverable through overhead charges on U.S. government contracts, the company records a deferred asset until amounts are charged to contracts.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and defined contribution retirement plans covering substantially all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 The liabilities, unamortized prior service credits and annual income or expense of the company’s defined benefit pension and OPB plans are determined using methodologies that involve several actuarial assumptions.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U.S. government regulations provide for the costs of pension and OPB plans to be charged to our contracts in accordance with applicable FAR and CAS requirements,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also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each method. CAS retiree benefit plan costs are charged to contracts and are included in segment operating income, and the difference between the service cost component of FAS expense and total CAS expense (the “FAS/CAS operating adjustment”) is recorded in operating income at the consolidated company level. Not all net periodic pension expense is recognized in net earnings in the year incurred because it is allocated as production costs and a portion remains in inventory at the end of any given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Actuarial gains and losses are immediately recognized in net periodic benefit cost for FAS through MTM benefit (expense) upon annual remeasurement in the fourth quarter, or on an interim basis as triggering events warrant remeasurement. In general, prior service credits are recognized as a component of Accumulated other comprehensive loss and amortized into earnings in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company’s stock compensation plans are classified as equity plans. Compensation expense for stock awards is measured at the grant date based on the fair value of the award and is recognized over the vesting period (generally three years), net of estimated forfeitures. The company issues stock awards in the form of restricted performance stock rights and restricted stock rights. The fair value of stock awards and performance stock awards is determined based on the closing market price of the company’s common stock on the grant date. For purposes of measuring compensation expense for performance awards, the number of shares ultimately expected to vest is estimated at each reporting date based on management’s expectations regarding the relevant performance criteria. The fair value of market-based stock awards is determined at the grant date using a Monte Carlo simulation model. For purposes of measuring compensation expense for market-based awards, the expense is generally based on the fair value as of the grant date with no adjustments for the number of shares ultimately expected to vest. At each reporting date, the number of shares used to calculate compensation expense and diluted earnings per share is adjusted to reflect the number ultimately expected to vest.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(131)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On December 14,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reconciliation and provide additional information for reconciling items that meet a quantitative threshold. In addition, ASU 2023-09 requires companies to disclose additional information about income taxes paid. We adopted the standard and applied the disclosure requirements on a prospective basis effective for the year ended December 31, 2025. Adoption of ASU 2023-09 did not have an impact on the company’s consolidated financial position, results of operations or cash flows.</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November 4,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2024-03; however, the standard will not have an impact on the company’s consolidated financial position, results of operations or cash flows.</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2025, the FASB issued ASU No. 2025-06 </w:t>
      </w:r>
      <w:r>
        <w:rPr>
          <w:rFonts w:ascii="Times New Roman" w:cs="Times New Roman" w:eastAsia="Times New Roman" w:hAnsi="Times New Roman"/>
          <w:sz w:val="18"/>
          <w:szCs w:val="18"/>
          <w:i w:val="1"/>
          <w:iCs w:val="1"/>
          <w:color w:val="auto"/>
        </w:rPr>
        <w:t>Targeted Improvements to the Accounting for Internal-Use Software (Subtopic 350-40)</w:t>
      </w:r>
      <w:r>
        <w:rPr>
          <w:rFonts w:ascii="Times New Roman" w:cs="Times New Roman" w:eastAsia="Times New Roman" w:hAnsi="Times New Roman"/>
          <w:sz w:val="18"/>
          <w:szCs w:val="18"/>
          <w:color w:val="auto"/>
        </w:rPr>
        <w:t>. ASU 2025-06 removes references to prescriptive and sequential software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retrospective basis. We are currently evaluating the potential impact of ASU 2025-06 on the company’s consolidated financial position, results of operations and cash flows.</w:t>
      </w:r>
    </w:p>
    <w:p>
      <w:pPr>
        <w:spacing w:after="0" w:line="6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On December 8,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ASU 2025-11 clarifies the applicability of Topic 270 and the form and content of interim financial statements. In addition, ASU 2025-11 requires entities to disclose material events occurring since the last annual reporting period. ASU 2025-11 will be effective for interim periods beginning January 1, 2028, and can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 prospective or retrospective basis. We are evaluating the disclosure impact of ASU 2025-11; however, the standard will not have an impact on the company’s consolidated financial position, results of operations or cash flows.</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December 31, 2025, are not expected to have a material effect on the company’s consolidated financial position, results of operations and/or cash flows.</w:t>
      </w:r>
    </w:p>
    <w:p>
      <w:pPr>
        <w:spacing w:after="0" w:line="104" w:lineRule="exact"/>
        <w:rPr>
          <w:sz w:val="20"/>
          <w:szCs w:val="20"/>
          <w:color w:val="auto"/>
        </w:rPr>
      </w:pPr>
    </w:p>
    <w:p>
      <w:pPr>
        <w:ind w:right="3520"/>
        <w:spacing w:after="0" w:line="310"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1"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6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0.3 million, 0.3 million and 0.5 million shares for the years ended December 31, 2025, 2024 and 2023,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in share repurchases of the company’s common stock (the “2021 Repurchase Program”). Repurchases under the 2021 Repurchase Program commenced in October 2021 and were completed in April 2023.</w:t>
      </w:r>
    </w:p>
    <w:p>
      <w:pPr>
        <w:spacing w:after="0" w:line="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and were completed in February 2024.</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and were completed in September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11, 2024, the company’s board of directors authorized a new share repurchase program of up to an additional $3.0 billion in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of the company’s common stock (the “2024 Repurchase Program”). Repurchases under the 2024 Repurchase Program commenced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2025 upon completion of the 2023 Repurchase Program. As of December 31, 2025, repurchases under the 2024 Repurchase Program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billion; $2.5 billion remained under this share repurchase authorization. By its terms, the 2024 Repurchase Program will expire when we have used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funds for repurchases.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$200 million was settled on May 1, 2024 with a final delivery of 0.4 million shares from Morgan Stanley. The final average purchase price was $455.73 per share.</w:t>
      </w:r>
    </w:p>
    <w:p>
      <w:pPr>
        <w:spacing w:after="0" w:line="6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Pr>
          <w:p>
            <w:pPr>
              <w:spacing w:after="0"/>
              <w:rPr>
                <w:sz w:val="22"/>
                <w:szCs w:val="22"/>
                <w:color w:val="auto"/>
              </w:rPr>
            </w:pPr>
          </w:p>
        </w:tc>
        <w:tc>
          <w:tcPr>
            <w:tcW w:w="1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0" w:type="dxa"/>
            <w:vAlign w:val="bottom"/>
          </w:tcPr>
          <w:p>
            <w:pPr>
              <w:spacing w:after="0"/>
              <w:rPr>
                <w:sz w:val="1"/>
                <w:szCs w:val="1"/>
                <w:color w:val="auto"/>
              </w:rPr>
            </w:pPr>
          </w:p>
        </w:tc>
      </w:tr>
      <w:tr>
        <w:trPr>
          <w:trHeight w:val="167"/>
        </w:trPr>
        <w:tc>
          <w:tcPr>
            <w:tcW w:w="2180" w:type="dxa"/>
            <w:vAlign w:val="bottom"/>
          </w:tcPr>
          <w:p>
            <w:pPr>
              <w:ind w:left="420"/>
              <w:spacing w:after="0" w:line="156" w:lineRule="exact"/>
              <w:rPr>
                <w:sz w:val="20"/>
                <w:szCs w:val="20"/>
                <w:color w:val="auto"/>
              </w:rPr>
            </w:pPr>
            <w:r>
              <w:rPr>
                <w:rFonts w:ascii="Times New Roman" w:cs="Times New Roman" w:eastAsia="Times New Roman" w:hAnsi="Times New Roman"/>
                <w:sz w:val="18"/>
                <w:szCs w:val="18"/>
                <w:color w:val="auto"/>
              </w:rPr>
              <w:t>Repurchase Program</w:t>
            </w:r>
          </w:p>
        </w:tc>
        <w:tc>
          <w:tcPr>
            <w:tcW w:w="400" w:type="dxa"/>
            <w:vAlign w:val="bottom"/>
          </w:tcPr>
          <w:p>
            <w:pPr>
              <w:spacing w:after="0"/>
              <w:rPr>
                <w:sz w:val="14"/>
                <w:szCs w:val="14"/>
                <w:color w:val="auto"/>
              </w:rPr>
            </w:pPr>
          </w:p>
        </w:tc>
        <w:tc>
          <w:tcPr>
            <w:tcW w:w="1300" w:type="dxa"/>
            <w:vAlign w:val="bottom"/>
          </w:tcPr>
          <w:p>
            <w:pPr>
              <w:jc w:val="center"/>
              <w:ind w:right="190"/>
              <w:spacing w:after="0" w:line="156" w:lineRule="exact"/>
              <w:rPr>
                <w:sz w:val="20"/>
                <w:szCs w:val="20"/>
                <w:color w:val="auto"/>
              </w:rPr>
            </w:pPr>
            <w:r>
              <w:rPr>
                <w:rFonts w:ascii="Times New Roman" w:cs="Times New Roman" w:eastAsia="Times New Roman" w:hAnsi="Times New Roman"/>
                <w:sz w:val="18"/>
                <w:szCs w:val="18"/>
                <w:color w:val="auto"/>
              </w:rPr>
              <w:t>Authorized</w:t>
            </w:r>
          </w:p>
        </w:tc>
        <w:tc>
          <w:tcPr>
            <w:tcW w:w="14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Shares Retired</w:t>
            </w:r>
          </w:p>
        </w:tc>
        <w:tc>
          <w:tcPr>
            <w:tcW w:w="260" w:type="dxa"/>
            <w:vAlign w:val="bottom"/>
          </w:tcPr>
          <w:p>
            <w:pPr>
              <w:spacing w:after="0"/>
              <w:rPr>
                <w:sz w:val="14"/>
                <w:szCs w:val="14"/>
                <w:color w:val="auto"/>
              </w:rPr>
            </w:pPr>
          </w:p>
        </w:tc>
        <w:tc>
          <w:tcPr>
            <w:tcW w:w="1280" w:type="dxa"/>
            <w:vAlign w:val="bottom"/>
          </w:tcPr>
          <w:p>
            <w:pPr>
              <w:jc w:val="center"/>
              <w:ind w:right="230"/>
              <w:spacing w:after="0" w:line="156" w:lineRule="exact"/>
              <w:rPr>
                <w:sz w:val="20"/>
                <w:szCs w:val="20"/>
                <w:color w:val="auto"/>
              </w:rPr>
            </w:pPr>
            <w:r>
              <w:rPr>
                <w:rFonts w:ascii="Times New Roman" w:cs="Times New Roman" w:eastAsia="Times New Roman" w:hAnsi="Times New Roman"/>
                <w:sz w:val="18"/>
                <w:szCs w:val="18"/>
                <w:color w:val="auto"/>
                <w:w w:val="97"/>
              </w:rPr>
              <w:t>Price</w:t>
            </w:r>
          </w:p>
        </w:tc>
        <w:tc>
          <w:tcPr>
            <w:tcW w:w="1740" w:type="dxa"/>
            <w:vAlign w:val="bottom"/>
          </w:tcPr>
          <w:p>
            <w:pPr>
              <w:spacing w:after="0"/>
              <w:rPr>
                <w:sz w:val="14"/>
                <w:szCs w:val="14"/>
                <w:color w:val="auto"/>
              </w:rPr>
            </w:pPr>
          </w:p>
        </w:tc>
        <w:tc>
          <w:tcPr>
            <w:tcW w:w="25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line="236"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Date Completed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431.05</w:t>
            </w: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April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January 24, 2022</w:t>
            </w:r>
            <w:r>
              <w:rPr>
                <w:rFonts w:ascii="Times New Roman" w:cs="Times New Roman" w:eastAsia="Times New Roman" w:hAnsi="Times New Roman"/>
                <w:sz w:val="23"/>
                <w:szCs w:val="23"/>
                <w:color w:val="auto"/>
                <w:vertAlign w:val="superscript"/>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455.01</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February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482.41</w:t>
            </w: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September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11, 2024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575.31</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80" w:hanging="172"/>
        <w:spacing w:after="0" w:line="254" w:lineRule="auto"/>
        <w:tabs>
          <w:tab w:leader="none" w:pos="16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with the 2022 Repurchase Program, the board of directors has approved that the purchases and authorizations under our repurchase programs be exclusive of brokerage commissions and other costs of execution, including taxes. Commissions paid are included for the 2021 Repurchase Program.</w:t>
      </w:r>
    </w:p>
    <w:p>
      <w:pPr>
        <w:spacing w:after="0" w:line="60" w:lineRule="exact"/>
        <w:rPr>
          <w:rFonts w:ascii="Times New Roman" w:cs="Times New Roman" w:eastAsia="Times New Roman" w:hAnsi="Times New Roman"/>
          <w:sz w:val="20"/>
          <w:szCs w:val="20"/>
          <w:color w:val="auto"/>
          <w:vertAlign w:val="superscript"/>
        </w:rPr>
      </w:pPr>
    </w:p>
    <w:p>
      <w:pPr>
        <w:ind w:left="180" w:right="20" w:hanging="172"/>
        <w:spacing w:after="0"/>
        <w:tabs>
          <w:tab w:leader="none" w:pos="16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2022 Repurchase Program completed in February 2024; however, it included the $1.0 billion ASR for which the final delivery of shares was outstanding at the end of the first quarter of 2024. On May 1, 2024, the company received a final delivery of 0.4 million shares for that ASR, which are included in the 2022 Repurchase Program authorization.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the company increased the quarterly common stock dividend 12 percent to $2.31 per share from the previous amount of $2.06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company increased the quarterly common stock dividend 10 percent to $2.06 per share from the previous amount of $1.87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 increased the quarterly common stock dividend 8 percent to $1.87 per share from the previous amount of $1.73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represent amounts billed and due from customers. Substantially all accounts receivable at December 31, 2025 are expected to be collected in 2026. The company does not believe it has significant exposure to credit risk as the majority of our accounts receivable are due from the U.S. government either as the ultimate customer or in connection with foreign military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bl>
    <w:p>
      <w:pPr>
        <w:spacing w:after="0" w:line="167"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receivables due from the U.S. government associated with foreign military sales, which are contracted with and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UNBILLED RECEIVABLES, NET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Unbilled receivables, net represent revenue recognized under the cost-to-cost method that exceeds amounts billed to customers. A large majority of the company’s unbilled receivables at December 31, 2025 are expected to be billed and collected in 2026. Progress and performance-based payments are reflected as an offset to the related unbilled receivable balances.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net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23,730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6,056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6,553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6,544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unbilled receivables due from the U.S. government associated with foreign military sales, which are contracted with and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INVENTORIED COSTS, NET</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Inventoried costs, net are principally associated with contracts where the U.S. government is the primary customer, therefore the company does not believe it has significant exposure to recoverability risk related to these amounts. Inventoried costs associated with our commercial businesses, while less significant in total, are subject to a greater level of recoverability risk.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Inventoried costs, net consisted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7"/>
        </w:trPr>
        <w:tc>
          <w:tcPr>
            <w:tcW w:w="8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8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bl>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Inventoried costs, net decreased $146 million, or 10 percent, largely due to the liquidation of costs, which were previously incurred and inventoried for specific anticipated contracts, upon receipt of those contract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The company recognized the income tax effects of the OBBBA in its 2025 financial statements, including an increase of $319 million to taxes receivable and a decrease of $387 million to deferred tax assets as of December 31, 2025. As part of enactment of the OBBBA, the company became subject to the corporate alternative minimum tax (CAMT) and recorded CAMT credit carryforwards of $187 million during 2025. These CAMT credit carryforwards do not expire and may be used to offset future regular U.S. federal income tax liabilities. Given the company’s future taxable income projections, CAMT did not impact the company’s quarterly or annual effective tax rates during 2025.</w:t>
      </w:r>
    </w:p>
    <w:p>
      <w:pPr>
        <w:spacing w:after="0" w:line="7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described in Note 1, effective for the year ended December 31, 2025, we adopted ASU 2023-09 and applied the disclosure requirements on a prospective basis. In accordance with prospective application, we did not recast prior period disclosures.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832</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associated with the company’s foreign operations are not material in the periods presented.</w:t>
      </w:r>
    </w:p>
    <w:p>
      <w:pPr>
        <w:spacing w:after="0" w:line="104"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8"/>
          <w:szCs w:val="18"/>
          <w:color w:val="auto"/>
        </w:rPr>
        <w:t>Income tax expense differs from the amount computed by multiplying earnings before income taxes by the statutory federal income tax rate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 2025</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1,064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Enactment of new tax laws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derived intangible income, net of reserve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net of reserve</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(242)</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interest expense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886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432"/>
        </w:trPr>
        <w:tc>
          <w:tcPr>
            <w:tcW w:w="6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Year ended December 31</w:t>
            </w:r>
          </w:p>
        </w:tc>
        <w:tc>
          <w:tcPr>
            <w:tcW w:w="800" w:type="dxa"/>
            <w:vAlign w:val="bottom"/>
            <w:tcBorders>
              <w:bottom w:val="single" w:sz="8" w:color="auto"/>
            </w:tcBorders>
          </w:tcPr>
          <w:p>
            <w:pPr>
              <w:spacing w:after="0"/>
              <w:rPr>
                <w:sz w:val="24"/>
                <w:szCs w:val="24"/>
                <w:color w:val="auto"/>
              </w:rPr>
            </w:pPr>
          </w:p>
        </w:tc>
      </w:tr>
      <w:tr>
        <w:trPr>
          <w:trHeight w:val="223"/>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19"/>
                <w:szCs w:val="19"/>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4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(361)</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(210)</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40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145</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Pr>
          <w:p>
            <w:pPr>
              <w:spacing w:after="0"/>
              <w:rPr>
                <w:sz w:val="19"/>
                <w:szCs w:val="19"/>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842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290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income tax expense increased $44 million, or 5 percent, due to a higher ETR and higher earnings before income taxes. The 2025 ETR increased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17.5 percent from 16.8 percent in 2024 primarily due to a net reduction in tax reserves in the prior year, lower research credits principally due to enactment of the OBBBA, and additional income tax expense related to nondeductible goodwill in the divested training services business. These increases were partially offset by lower interest expense on unrecognized tax benefits. The MTM benefit in both 2025 and 2024 increased each respective year’s ETR by 0.4 percentage points.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2024 income tax expense increased $552 million, or 190 percent, due to higher earnings before income taxes and a higher ETR. The 2024 ETR increased to 16.8 percent from 12.4 percent in 2023 primarily due to the impact of the prior year B-21 loss provision and the MTM adjustment on our ETR. The 2024 MTM benefit increased the 2024 ETR by 0.4 percentage points, whereas the prior year B-21 loss provision and MTM expense collectively reduced the 2023 ETR by 3.8 percentage points. The 2024 ETR also reflects a net reduction in tax reserves largely due to a federal court decision in 2024, partially offset by higher interest expense on unrecognized tax benefits.</w:t>
      </w:r>
    </w:p>
    <w:p>
      <w:pPr>
        <w:spacing w:after="0" w:line="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interest expense within the company’s federal, foreign and state income tax provisions was $106 million, $164 million and $62 million for the years ended December 31, 2025, 2024, and 2023,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Organization for Economic Co-operation and Development issued Pillar Two model rules for a global minimum tax of 15% effective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Pillar Two had no impact on our 2025 or 2024 ETR, and we do not currently expect Pillar Two to significantly impact our ETR going forward.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Paid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received,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120" w:type="dxa"/>
            <w:vAlign w:val="bottom"/>
          </w:tcPr>
          <w:p>
            <w:pPr>
              <w:spacing w:after="0"/>
              <w:rPr>
                <w:sz w:val="17"/>
                <w:szCs w:val="17"/>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vMerge w:val="continue"/>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3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net of refunds received, were $880 million and $1.2 billion for the years ended December 31, 2024 and 2023, respectively.</w:t>
      </w:r>
    </w:p>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consolidated statements of financial position, were $924 million and $517 million as of December 31, 2025 and 2024,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During the fourth quarter of 2024, the company entered into an agreed Revenue Agent’s Report (“RAR”) for certain matters related to the company’s 2018-2020 federal income tax returns, largely related to our methods of accounting associated with the timing of revenue recognition and related costs under IRC Section 451(b), resulting in a $766 million reduction to our unrecognized tax benefits and an immaterial impact to income tax expense. The matters not addressed by the agreed RAR related to the company’s 2018-2020 federal tax returns are currently under Internal Revenue Service (IRS) examination.</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entered into an agreed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California Franchise Tax Board approved a resolution of the state examination primarily related to California state apportionment in the company’s 2007 to 2016 tax years, resulting in a $95 million reduction to our unrecognized tax benefits and an $11 million reduction to unallocated corporate expense within operating income.</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Tax returns for open tax years related to state and foreign jurisdictions remain subject to examination. As state income taxes are generally considered allowable and allocable costs, any individual or aggregate state examination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impacts are not expected to have a material impact on our financial results. Amounts currently subject to examination related to foreign jurisdictions are not material.</w:t>
      </w:r>
    </w:p>
    <w:p>
      <w:pPr>
        <w:spacing w:after="0" w:line="40"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color w:val="auto"/>
        </w:rPr>
        <w:t>The company’s unrecognized tax benefits, excluding accrued interest and penalties of $514 million, $373 million and $305 million as of December 31, 2025, 2024 and 2023, respectively, are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1,447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133</w:t>
            </w:r>
          </w:p>
        </w:tc>
        <w:tc>
          <w:tcPr>
            <w:tcW w:w="3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Decreases from lapse in statutes of limitations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unrecognized tax benefits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2025 increase in unrecognized tax benefits was primarily related to additional reserves on current year tax positions related to research credits and state apportionment.</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the income tax benefits from these tax positions are ultimately realized, $1.0 billion of federal and foreign tax benefits (and related interest and penalties) would reduce the company’s ETR.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3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3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for accrued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8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301</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6,094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23"/>
        </w:trPr>
        <w:tc>
          <w:tcPr>
            <w:tcW w:w="8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5,512</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accounting differences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9"/>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4,461</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1,051</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December 31, 2025, in addition to the $187 million of CAMT credits noted above, the company has available tax credits and unused net operating losses of $717 million and $584 million, respectively, that may be applied against future taxable income. The majority of tax credits expire between 2026 and 2047, while some may be carried forward indefinitely. Most net operating losses may also be carried forward indefinitely. Due to the uncertainty of the realization of the tax credits and net operating losses, the company has recorded valuation allowances of $358 million and $62 million, respectively, as of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has accumulated undistributed earnings generated by our foreign subsidiaries and most have been taxed in the U.S.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PURCHASED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for the years ended December 31, 2024 and 2025,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80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Aeronautics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Systems</w:t>
            </w: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Defense Systems</w:t>
            </w: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Mission Systems</w:t>
            </w: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Space Systems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3,722</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3,717</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 of training services business</w:t>
            </w:r>
          </w:p>
        </w:tc>
        <w:tc>
          <w:tcPr>
            <w:tcW w:w="8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w:t>
            </w:r>
          </w:p>
        </w:tc>
        <w:tc>
          <w:tcPr>
            <w:tcW w:w="5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3,974</w:t>
            </w: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3,642</w:t>
            </w: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5,881</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consists primarily of adjustments for foreign currency translation.</w:t>
      </w:r>
    </w:p>
    <w:p>
      <w:pPr>
        <w:spacing w:after="0" w:line="6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December 31, 2025 and 2024, accumulated goodwill impairment losses totaled $417 million at Aeronautics Systems, $121 million at Space Systems, and $32 million at Defense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customer-related and other intangible assets are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3,372</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29"/>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expense for 2025, 2024 and 2023, was $45 million, $57 million and $80 million, respectively. As of December 31, 2025, the expected future amortization of purchased intangibles for each of the next five years is as follows: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2026</w:t>
            </w:r>
          </w:p>
        </w:tc>
        <w:tc>
          <w:tcPr>
            <w:tcW w:w="52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2027</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2028</w:t>
            </w:r>
          </w:p>
        </w:tc>
        <w:tc>
          <w:tcPr>
            <w:tcW w:w="5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2029</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2030</w:t>
            </w:r>
          </w:p>
        </w:tc>
        <w:tc>
          <w:tcPr>
            <w:tcW w:w="5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OF FINANCIAL INSTRUMENTS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the company transferred $50 million of securities from Level 3 to Level 1 in connection with the initial public offering (“IPO”) of a company in which we hold an investment. As of December 31, 2025, the company’s investment was valued at $68 million. The company is prohibited from selling this investment until the first quarter of 2026. There were no other transfers of financial instruments into or out of Level 3 of the fair value hierarchy during the years ended December 31, 2025 and 2024.</w:t>
      </w:r>
    </w:p>
    <w:p>
      <w:pPr>
        <w:spacing w:after="0" w:line="4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Unrealized gains and losses from marketable securities, which are reflected in Other, net on the consolidated statement of earnings and comprehensive income, were $45 million for the year ended December 31, 2025. Unrealized gains and losses from marketable securities were not material for the years ended December 31, 2024 and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December 31, 2025 and 2024 was $308 million and $399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notional value designated as a cash flow hedge at December 31, 2025 and 2024 was $167 million and $273 million,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December 31, 2025 and 2024 were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In September 2025, the company amended its commercial paper program to increase its capacity to issue unsecured commercial paper notes from $2.5 billion to $3.0 billion. There were no commercial paper borrowings outstanding at December 31, 2025 and December 31, 2024,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September 2025, the company entered into a new five-year senior unsecured revolving credit facility in an aggregate principal amount of $3.0 billion (the “2025 Credit Agreement”). The 2025 Credit Agreement replaced the company’s prior five-year, $2.5 billion revolving credit facility entered into in August 2022. The revolving credit facility established under the 2025 Credit Agreement is intended to support the company’s commercial paper program and other general corporate purposes. Commercial paper borrowings reduce the amount available for borrowing under the 2025 Credit Agreement. At December 31, 2025, there were no borrowings outstanding under this facility.</w:t>
      </w:r>
    </w:p>
    <w:p>
      <w:pPr>
        <w:spacing w:after="0" w:line="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 At December 31, 2025, the company was in compliance with all covenants under its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May 2025, the company issued $1.0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4.65% senior notes due 2030 (the “2030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5.25% senior notes due 2035 (the “2035 Notes”).</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refer to the 2029 Notes, 2030 Notes, 2034 Notes, 2035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repaid $1.5 billion of 2.93 percent unsecured senior notes upon maturity.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Fixed-rate notes and debentures, maturing in</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7.75% - 7.88%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4.40% - 4.65%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2031</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2034</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2035</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5.05% - 5.15%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2045</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2047</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2054</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15,696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r>
      <w:tr>
        <w:trPr>
          <w:trHeight w:val="230"/>
        </w:trPr>
        <w:tc>
          <w:tcPr>
            <w:tcW w:w="55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3"/>
                <w:szCs w:val="23"/>
                <w:color w:val="auto"/>
                <w:vertAlign w:val="superscript"/>
              </w:rPr>
              <w:t>(1)</w:t>
            </w:r>
          </w:p>
        </w:tc>
        <w:tc>
          <w:tcPr>
            <w:tcW w:w="3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r>
    </w:tbl>
    <w:p>
      <w:pPr>
        <w:spacing w:after="0" w:line="167"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current portion of long-term debt is recorded in Other current liabilities in the consolidated statements of financial position.</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estimated fair value of long-term debt was $15.1 billion and $15.3 billion as of December 31, 2025 and 2024, respectively. We calculated the fair value of long-term debt using Level 2 inputs, based on interest rates available for debt with terms and maturities similar to the company’s existing debt arrangements.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interest payments, net of interest received and capitalized, were $588 million, $475 million and $437 million for the years ended December 31, 2025, 2024 and 2023, respectively. The company capitalized interest expense of $100 million, $113 million and $95 million during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2025,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INVESTIGATIONS, CLAIMS AND LITIGATION</w:t>
      </w:r>
    </w:p>
    <w:p>
      <w:pPr>
        <w:spacing w:after="0" w:line="1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11,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has stayed the filed individual lawsuits, pending its decision on class certification. Although the court has ordered supplemental briefing on pending class certification and expert motions in the putative class action, the parties remain engaged in a mediation.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r>
        <w:rPr>
          <w:rFonts w:ascii="Arial" w:cs="Arial" w:eastAsia="Arial" w:hAnsi="Arial"/>
          <w:sz w:val="18"/>
          <w:szCs w:val="18"/>
          <w:color w:val="auto"/>
        </w:rPr>
        <w: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focused on the interest rate assumptions the company used to determine our U.S. Government Cost Accounting Standards (CAS) pension expense, which we discuss in Note 11 below. The company has responded to requests and expects to continue to engage with the government as these matters progress. We cannot at this point predict the outcome of these matters.</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2025, or its annual results of operations and/or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2025, or its annual results of operations and/or cash flows.</w:t>
      </w:r>
    </w:p>
    <w:p>
      <w:pPr>
        <w:spacing w:after="0" w:line="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 addition, as noted in Note 10 above, the company received from the DOJ a criminal subpoena on December 9, 2022 and a CID on February 2, 2023, both seeking information related to the interest rate assumptions at issue in our discussions with DCMA. The company has responded to requests and expects to continue to engage with the government as these matters progress. We cannot at this point predict the outcome of these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table below summarizes the amount of accrued and deferred costs associated with the company’s environmental remediation liabilities as of December 31, 2025 and 2024:</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89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Deferred costs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bl>
    <w:p>
      <w:pPr>
        <w:spacing w:after="0" w:line="162" w:lineRule="exact"/>
        <w:rPr>
          <w:sz w:val="20"/>
          <w:szCs w:val="20"/>
          <w:color w:val="auto"/>
        </w:rPr>
      </w:pPr>
    </w:p>
    <w:p>
      <w:pPr>
        <w:ind w:left="180" w:right="100" w:hanging="172"/>
        <w:spacing w:after="0" w:line="238" w:lineRule="auto"/>
        <w:tabs>
          <w:tab w:leader="none" w:pos="168"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2025, $204 million is recorded in Other current liabilities and $343 million is recorded in Other non-current liabilities in the consolidated statements of financial position. Estimated remediation costs are not discounted to present value.</w:t>
      </w:r>
    </w:p>
    <w:p>
      <w:pPr>
        <w:spacing w:after="0" w:line="73" w:lineRule="exact"/>
        <w:rPr>
          <w:rFonts w:ascii="Times New Roman" w:cs="Times New Roman" w:eastAsia="Times New Roman" w:hAnsi="Times New Roman"/>
          <w:sz w:val="20"/>
          <w:szCs w:val="20"/>
          <w:color w:val="auto"/>
          <w:vertAlign w:val="superscript"/>
        </w:rPr>
      </w:pPr>
    </w:p>
    <w:p>
      <w:pPr>
        <w:ind w:left="180" w:right="320" w:hanging="172"/>
        <w:spacing w:after="0" w:line="256" w:lineRule="auto"/>
        <w:tabs>
          <w:tab w:leader="none" w:pos="168"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defers the portion of environmental remediation costs we expect to be recoverable through overhead charges on U.S. government contracts. As of December 31, 2025, $189 million is deferred in Prepaid expenses and other current assets and $313 million is deferred in Other non-current assets in the consolidated statements of financial position. These amounts are routinely evaluated for recoverability.</w:t>
      </w:r>
    </w:p>
    <w:p>
      <w:pPr>
        <w:spacing w:after="0" w:line="5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Reasonably possible future costs in excess of accrued costs were $380 million and $377 million as of December 31, 2025 and 2024, respectively. Reasonably possible remediation costs in excess of accrued costs do not take into consideration amounts expected to be recoverable through overhead charges on U.S. government contracts. However, the recoverability of these costs is expected to be similar in proportion to the recoverability of the company’s accrued costs.</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consolidated financial position as of December 31, 2025, or its annual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2025, there were $595 million of stand-by letters of credit and guarantees and $271 million of surety bonds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2025, or its annual results of operations and/or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 Defined Benefit Pension Plans </w:t>
      </w:r>
      <w:r>
        <w:rPr>
          <w:rFonts w:ascii="Times New Roman" w:cs="Times New Roman" w:eastAsia="Times New Roman" w:hAnsi="Times New Roman"/>
          <w:sz w:val="18"/>
          <w:szCs w:val="18"/>
          <w:color w:val="auto"/>
        </w:rPr>
        <w:t>– The company sponsors several defined benefit pension plans in the U.S. Pension benefits for most participants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years of service, age and compensation. It is our policy to fund at least the minimum amount required for qualified plans, using actuarial cost methods and assumptions acceptable under U.S. government regulations, by making payments into benefit trusts separate from the company.</w:t>
      </w:r>
    </w:p>
    <w:p>
      <w:pPr>
        <w:spacing w:after="0" w:line="4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Defined Contribution Plans </w:t>
      </w:r>
      <w:r>
        <w:rPr>
          <w:rFonts w:ascii="Times New Roman" w:cs="Times New Roman" w:eastAsia="Times New Roman" w:hAnsi="Times New Roman"/>
          <w:sz w:val="18"/>
          <w:szCs w:val="18"/>
          <w:color w:val="auto"/>
        </w:rPr>
        <w:t>– The company also sponsors defined contribution plans covering the majority of its employees, including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2025, 2024 and 2023, were $669 million, $657 million and $634 million, respectively.</w:t>
      </w:r>
    </w:p>
    <w:p>
      <w:pPr>
        <w:spacing w:after="0" w:line="6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Non-U.S. Benefit Plans – </w:t>
      </w:r>
      <w:r>
        <w:rPr>
          <w:rFonts w:ascii="Times New Roman" w:cs="Times New Roman" w:eastAsia="Times New Roman" w:hAnsi="Times New Roman"/>
          <w:sz w:val="18"/>
          <w:szCs w:val="18"/>
          <w:color w:val="auto"/>
        </w:rPr>
        <w:t>The company sponsors several benefit plans for non-U.S. employees. These plans are designed to provide benefits appropriate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practice and in accordance with local regulations. Some of these plans are funded using benefit trusts separate from the company.</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Medical and Life Benefits </w:t>
      </w:r>
      <w:r>
        <w:rPr>
          <w:rFonts w:ascii="Times New Roman" w:cs="Times New Roman" w:eastAsia="Times New Roman" w:hAnsi="Times New Roman"/>
          <w:sz w:val="18"/>
          <w:szCs w:val="18"/>
          <w:color w:val="auto"/>
        </w:rPr>
        <w:t>– The company funds a portion of the costs for certain health care and life insurance benefits for a substantial number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coverage purchased directly by the retiree through a private insurance exchange. The company has capped the amount of its contributions for substantially all its remaining postretirement medical and life benefit plans. In addition, after January 1, 2005 (or earlier at some businesses), newly hired employees are not eligible for subsidized postretirement medical and life benefits.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Plan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retirement benefit plans is shown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(benefit)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3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unamortized prior service credit for the years ended December 31, 2023, 2024 and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Medical and Life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Benefits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unamortized prior service credit</w:t>
            </w: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0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Decrease (increase) in unamortized prior service credit – 2023</w:t>
            </w: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prior service credit</w:t>
            </w: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60" w:type="dxa"/>
            <w:vAlign w:val="bottom"/>
          </w:tcPr>
          <w:p>
            <w:pPr>
              <w:spacing w:after="0"/>
              <w:rPr>
                <w:sz w:val="19"/>
                <w:szCs w:val="19"/>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0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(Increase) decrease in unamortized prior service credit – 2024</w:t>
            </w: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0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unamortized prior service credit –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31,131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29,769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28,992</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30,443</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1,612</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29,428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28,992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1,132</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17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increase in the fair value of plan assets for the year ended December 31, 2025 was primarily driven by net returns on pension plan assets of 11.3 percent, partially offset by $2.1 billion of benefit payments. The increase in our projected benefit obligation for the year ended December 31, 2025, was primarily driven by $1.7 billion of interest cost and a 15 basis point decrease in the pension discount rate from year-end 2024, partially offset by $2.1 billion of benefit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169"/>
        </w:trPr>
        <w:tc>
          <w:tcPr>
            <w:tcW w:w="6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 of amounts recognized in the consolidated statements of financial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Non-current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$29.1 billion and $28.7 billion at December 31,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pension plans with accumulated benefit obligations in excess of fair value of plan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bottom w:val="single" w:sz="8" w:color="auto"/>
            </w:tcBorders>
          </w:tcPr>
          <w:p>
            <w:pPr>
              <w:spacing w:after="0"/>
              <w:rPr>
                <w:sz w:val="20"/>
                <w:szCs w:val="20"/>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1,074</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1,061</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30"/>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 weighted-average basis, the following assumptions were used to determine benefit obligations at December 31 of each year and net periodic benefit cost for the following year: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Pension Benefits</w:t>
            </w:r>
          </w:p>
        </w:tc>
        <w:tc>
          <w:tcPr>
            <w:tcW w:w="1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5.58 %</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5.73 %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5.15 %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5.41 %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5.69 %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7.50 %</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7.10 %</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7.08 %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Initial cash balance crediting rate assumed for the next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4.84 %</w:t>
            </w: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vMerge w:val="continue"/>
            <w:shd w:val="clear" w:color="auto" w:fill="CCEEFF"/>
          </w:tcPr>
          <w:p>
            <w:pPr>
              <w:spacing w:after="0"/>
              <w:rPr>
                <w:sz w:val="20"/>
                <w:szCs w:val="20"/>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4.78 %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4.02 %</w:t>
            </w:r>
          </w:p>
        </w:tc>
        <w:tc>
          <w:tcPr>
            <w:tcW w:w="1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5.26 %</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(the ultimate rate)</w:t>
            </w:r>
          </w:p>
        </w:tc>
        <w:tc>
          <w:tcPr>
            <w:tcW w:w="1060" w:type="dxa"/>
            <w:vAlign w:val="bottom"/>
            <w:vMerge w:val="continue"/>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4.02 %</w:t>
            </w: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Year that the cash balance crediting rate reaches the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rate</w:t>
            </w:r>
          </w:p>
        </w:tc>
        <w:tc>
          <w:tcPr>
            <w:tcW w:w="1060" w:type="dxa"/>
            <w:vAlign w:val="bottom"/>
            <w:vMerge w:val="continue"/>
            <w:shd w:val="clear" w:color="auto" w:fill="CCEEFF"/>
          </w:tcPr>
          <w:p>
            <w:pPr>
              <w:spacing w:after="0"/>
              <w:rPr>
                <w:sz w:val="20"/>
                <w:szCs w:val="20"/>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2029</w:t>
            </w:r>
          </w:p>
        </w:tc>
        <w:tc>
          <w:tcPr>
            <w:tcW w:w="1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3.00 %</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6.50 %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5.90 %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w:t>
            </w: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5.00 %</w:t>
            </w: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decline (the ultimate trend rate)</w:t>
            </w:r>
          </w:p>
        </w:tc>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Year that the health care cost trend rate reaches the</w:t>
            </w:r>
          </w:p>
        </w:tc>
        <w:tc>
          <w:tcPr>
            <w:tcW w:w="10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0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Plan assets are invested in various asset classes that are expected to produce a sufficient level of diversification and investment return over the long term. Liability studies are conducted on a regular basis to provide guidance in setting investment goals with an objective to balance risk. Risk targets are established and monitored against acceptable ranges.</w:t>
      </w:r>
    </w:p>
    <w:p>
      <w:pPr>
        <w:spacing w:after="0" w:line="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investment policies and procedures are designed to ensure the plans’ investments comply with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the plans’ assets, the investment policies require that the asset allocation be maintained within the following ranges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color w:val="auto"/>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0% - 12%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public equities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18% - 38%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35% - 55%</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9"/>
              </w:rPr>
              <w:t>8% - 46%</w:t>
            </w:r>
          </w:p>
        </w:tc>
      </w:tr>
    </w:tbl>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table below provides the fair values of the company’s pension and Voluntary Employees’ Beneficiary Association (VEBA) trust plan assets at December 31, 2025 and 2024,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2025 and 2024, there were no investments expected to be sold at a value materially different than NAV.</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4,008</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Government</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3,850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3,985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High-yield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and other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valued using NAV as 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practical expedient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1,659</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Fixed-income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 funds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alternatives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Fair value of plan assets at the end of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3,550</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11,351</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32,413</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plan assets into or out of Level 3 of the fair value hierarchy during the years ended December 31, 2025 and 2024.</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exchange-traded funds with fixed income strategies are valued at the last reported sales or quoted price on the last business day of the reporting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for certain fixed-income securities, which are not exchange-traded, are valued using third-party pricing services.</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Derivatives and other assets include derivative assets with a fair value of $113 million and $107 million, derivative liabilities with a fair value of $103 million and $123 million, and net notional amounts of $12.4 billion and $9.2 billion, as of December 31, 2025 and 2024,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Certain derivative financial instruments within the pension trust are subject to master netting agreements with certain counterparties.</w:t>
      </w:r>
    </w:p>
    <w:p>
      <w:pPr>
        <w:spacing w:after="0" w:line="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Investments in certain equity and fixed-income funds, which include common/collective trust funds, and alternative investments are valued based on the NAV derived by the investment managers, as a practical expedient, and are described further below.</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and International equities: Generally, redemption periods are daily, monthly or quarterly with a notice requirement less than 90 days. As of December 31, 2025 and 2024, there were no unfunded commitments.</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Fixed-income funds: Generally, redemption periods are daily, monthly or quarterly with a notice requirement of two days. As of December 31, 2025 and 2024 there were no unfunded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funds: The term of each fund is typically 10 or more years and the fund’s investors do not have an option to redeem their interest in the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unfunded commitments were $1.2 billion and $1.6 billion, respectively.</w:t>
      </w:r>
    </w:p>
    <w:p>
      <w:pPr>
        <w:spacing w:after="0" w:line="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Real estate funds: Consist primarily of open-end funds that generally allow investors to redeem their interests in the funds. Certain closed-end real estate funds have terms of 10 or more years. As of December 31, 2025 and 2024, unfunded commitments were $124 million and $24 million, respectively.</w:t>
      </w:r>
    </w:p>
    <w:p>
      <w:pPr>
        <w:spacing w:after="0" w:line="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alternatives: Consist of closed-end funds with a 5-10 year life as well as funds that allow redemption requests subject to the liquidity limitations of the underlying investments. As of December 31, 2025 and 2024, unfunded commitments were $3.0 billion and $2.0 billion, respectively.</w:t>
      </w:r>
    </w:p>
    <w:p>
      <w:pPr>
        <w:spacing w:after="0" w:line="2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defined benefit pension trust held $0 and $1 million, respectively, of Northrop Grumman common stock. At December 31, 2025 and 2024, the VEBA trust did not hold any Northrop Grumman common stock.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following table reflects estimated future benefit payments for the next ten years, based upon the same assumptions used to measure the benefit obligation, and includes expected future employee service, as of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Medical and Life</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Plans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through 2035</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10,894</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2026, the company expects to contribute the required minimum funding of approximately $97 million to its pension plans and approximately $34 million to its medical and life benefit plans. During the year ended December 31, 2025, the company made no discretionary pension contributions.</w:t>
      </w:r>
    </w:p>
    <w:p>
      <w:pPr>
        <w:spacing w:after="0" w:line="104" w:lineRule="exact"/>
        <w:rPr>
          <w:sz w:val="20"/>
          <w:szCs w:val="20"/>
          <w:color w:val="auto"/>
        </w:rPr>
      </w:pPr>
    </w:p>
    <w:p>
      <w:pPr>
        <w:ind w:right="3940"/>
        <w:spacing w:after="0" w:line="318" w:lineRule="auto"/>
        <w:rPr>
          <w:sz w:val="20"/>
          <w:szCs w:val="20"/>
          <w:color w:val="auto"/>
        </w:rPr>
      </w:pPr>
      <w:r>
        <w:rPr>
          <w:rFonts w:ascii="Times New Roman" w:cs="Times New Roman" w:eastAsia="Times New Roman" w:hAnsi="Times New Roman"/>
          <w:sz w:val="18"/>
          <w:szCs w:val="18"/>
          <w:b w:val="1"/>
          <w:bCs w:val="1"/>
          <w:color w:val="auto"/>
        </w:rPr>
        <w:t>13. STOCK COMPENSATION PLANS AND OTHER COMPENSATION ARRANGEMENTS Stock Compensation Plans</w:t>
      </w:r>
    </w:p>
    <w:p>
      <w:pPr>
        <w:ind w:right="200"/>
        <w:spacing w:after="0" w:line="260" w:lineRule="auto"/>
        <w:rPr>
          <w:sz w:val="20"/>
          <w:szCs w:val="20"/>
          <w:color w:val="auto"/>
        </w:rPr>
      </w:pPr>
      <w:r>
        <w:rPr>
          <w:rFonts w:ascii="Times New Roman" w:cs="Times New Roman" w:eastAsia="Times New Roman" w:hAnsi="Times New Roman"/>
          <w:sz w:val="18"/>
          <w:szCs w:val="18"/>
          <w:color w:val="auto"/>
        </w:rPr>
        <w:t>At December 31, 2025, the company had stock-based compensation awards outstanding under the following shareholder-approved plans: the 2024 Long-Term Incentive Stock Plan (2024 Plan) and the 2011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Incentive Stock Plan (2011 Plan), both applicable to employees and non-employee directors, and the 1993 Stock Plan for Non-Employee Directors (1993 SPND).</w:t>
      </w:r>
    </w:p>
    <w:p>
      <w:pPr>
        <w:spacing w:after="0" w:line="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 On May 15, 2024, the company’s shareholders approved the company’s new 2024 Plan, which replaced the 2011 Plan. The 2024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5.75 million new shares (less the number of shares subject to any new awards under the 2011 Plan between March 1 and May 15, 2024). Under the terms of the 2024 Plan, in the event outstanding awards under the 2011 Plan expire or terminate without being exercised or paid, as the case may be, such forfeited shares will become available for award under the 2024 Plan and increase the authorization. As of December 31, 2025, 5.5 million shares remain available for issuance under the 2024 Plan.</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2011 Plan provided for and the 2024 Plan provides for the following equity awards: stock options, stock appreciation rights (SARs) and stock awards. Under the 2011 Plan and 2024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certain performance metrics determined by the Board. RSRs generally vest 100% after three years. Each includes dividend equivalents, which are paid concurrently with the RPSR or RSR. The terms of equity awards granted under the 2011 Plan and 2024 Plan provide for accelerated vesting, and in some instances forfeiture, of all or a portion of an award upon termination of employment.</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Non-Employee Director Plans </w:t>
      </w:r>
      <w:r>
        <w:rPr>
          <w:rFonts w:ascii="Times New Roman" w:cs="Times New Roman" w:eastAsia="Times New Roman" w:hAnsi="Times New Roman"/>
          <w:sz w:val="18"/>
          <w:szCs w:val="18"/>
          <w:color w:val="auto"/>
        </w:rPr>
        <w:t>– Awards to non-employee directors are made pursuant to the Northrop Grumman Corporation Equity Grant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(the Director Program). The Director Program was amended and restated effective January 1, 2016 (the Amended Director Program). The Director Program was again amended and restated effective May 15, 2024, consistent with the shareholder-approved 2024 Plan (the Restated Director Program). Under the Restated Director Program, each non-employee director is awarded an annual equity grant in the form of Automatic Stock Units, which vest on the one-year anniversary of the annual shareholder meeting.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Amended Director Program and Restated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2025, 2024 and 2023 was $119 million, $101 million and $87 million, respectively. The related tax benefits for stock-based compensation for the years ended December 31, 2025, 2024 and 2023 were $1 million, $15 million and $9 million, respectively.</w:t>
      </w:r>
    </w:p>
    <w:p>
      <w:pPr>
        <w:spacing w:after="0" w:line="6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2025, there was $100 million of unrecognized compensation expense related to unvested stock awards granted under the company’s stock-based compensation plans. These amounts are expected to be charged to expense over a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Stock award activity for the years ended December 31, 2023, 2024 and 2025, is presented in the table below. Vested awards do not include any adjustments to reflect the final performance measure for issued shares.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380" w:type="dxa"/>
            <w:vAlign w:val="bottom"/>
            <w:vMerge w:val="restart"/>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5"/>
                <w:szCs w:val="15"/>
                <w:color w:val="auto"/>
              </w:rPr>
            </w:pPr>
          </w:p>
        </w:tc>
        <w:tc>
          <w:tcPr>
            <w:tcW w:w="132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338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240" w:type="dxa"/>
            <w:vAlign w:val="bottom"/>
          </w:tcPr>
          <w:p>
            <w:pPr>
              <w:spacing w:after="0"/>
              <w:rPr>
                <w:sz w:val="15"/>
                <w:szCs w:val="15"/>
                <w:color w:val="auto"/>
              </w:rPr>
            </w:pPr>
          </w:p>
        </w:tc>
        <w:tc>
          <w:tcPr>
            <w:tcW w:w="132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3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2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469</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3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stock awards are granted annually during the first quarter.</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grant date fair value of shares issued in settlement of fully vested stock awards was $99 million, $86 million and $99 million during the years ended December 31, 2025, 2024 and 2023,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certain performance metrics over a three-year period. At December 31, 2025, there was $121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363</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38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4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70"/>
        </w:trPr>
        <w:tc>
          <w:tcPr>
            <w:tcW w:w="6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4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37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6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386</w:t>
            </w:r>
          </w:p>
        </w:tc>
        <w:tc>
          <w:tcPr>
            <w:tcW w:w="4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400</w:t>
            </w:r>
          </w:p>
        </w:tc>
        <w:tc>
          <w:tcPr>
            <w:tcW w:w="4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r>
      <w:tr>
        <w:trPr>
          <w:trHeight w:val="270"/>
        </w:trPr>
        <w:tc>
          <w:tcPr>
            <w:tcW w:w="6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 years</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years</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4.3 %</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35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9"/>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r>
    </w:tbl>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we have approximately $1.3 billion in rental commitments for real estate leases that have not yet commenced. These leases are expected to commence in 2026 and 2027 with lease terms of 4 to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We generally organize our segments based on the nature of products and services offered.</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 Chief Executive Officer and President. The CODM is responsible for allocating resources and assessing performance of the consolidated enterprise and operating sectors. The profitability measure the CODM uses to assess segment performance and allocate resources is segment operating income (and related margin rate, calculated as segment operating income divided by sales) by comparing historical, actual, and forecasted amounts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operating costs and expenses, and operating income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9,340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2,687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9"/>
        </w:trPr>
        <w:tc>
          <w:tcPr>
            <w:tcW w:w="7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7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 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5,682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29"/>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1,263</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9"/>
        </w:trPr>
        <w:tc>
          <w:tcPr>
            <w:tcW w:w="7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7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Defense Systems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7,608</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9"/>
        </w:trPr>
        <w:tc>
          <w:tcPr>
            <w:tcW w:w="7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3"/>
        </w:trPr>
        <w:tc>
          <w:tcPr>
            <w:tcW w:w="7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 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1,598</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7,827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1,309</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7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7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Space Systems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profit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23"/>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4,511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541</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5,068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FAR and CAS requirements. The FAS/CAS operating adjustment reflects the difference between CAS pension expense included as cost in segment operating income and the service cost component of FAS expense included in total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PP&amp;E acquired through business combinations, as well as certain compensation and other costs.</w:t>
      </w:r>
    </w:p>
    <w:p>
      <w:pPr>
        <w:spacing w:after="0" w:line="6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$231 million pre-tax gain on the sale of our training services business and $19 million of unallowable state taxes and transaction costs associated with the divestiture were recorded in Unallocated corporate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6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10,469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10,364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9,379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167</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12,396</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11,164</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6,377</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6,056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1,337</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17 %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1,259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210</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8,002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7,399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7,185</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8,827</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2,125</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19 %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120</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1,177</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11,399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10,895</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9,510</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93 %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10,694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10,805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552</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412</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11,731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11,873</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35,183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84 %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35,436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33,882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5,990</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781</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597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503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20"/>
                <w:szCs w:val="20"/>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41,033</w:t>
            </w:r>
          </w:p>
        </w:tc>
        <w:tc>
          <w:tcPr>
            <w:tcW w:w="9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39,290</w:t>
            </w:r>
          </w:p>
        </w:tc>
        <w:tc>
          <w:tcPr>
            <w:tcW w:w="840" w:type="dxa"/>
            <w:vAlign w:val="bottom"/>
            <w:tcBorders>
              <w:bottom w:val="single" w:sz="8" w:color="auto"/>
            </w:tcBorders>
            <w:shd w:val="clear" w:color="auto" w:fill="CCEEFF"/>
          </w:tcPr>
          <w:p>
            <w:pPr>
              <w:spacing w:after="0"/>
              <w:rPr>
                <w:sz w:val="20"/>
                <w:szCs w:val="20"/>
                <w:color w:val="auto"/>
              </w:rPr>
            </w:pPr>
          </w:p>
        </w:tc>
      </w:tr>
    </w:tbl>
    <w:p>
      <w:pPr>
        <w:spacing w:after="0" w:line="162" w:lineRule="exact"/>
        <w:rPr>
          <w:sz w:val="20"/>
          <w:szCs w:val="20"/>
          <w:color w:val="auto"/>
        </w:rPr>
      </w:pPr>
    </w:p>
    <w:p>
      <w:pPr>
        <w:ind w:left="180" w:right="500" w:hanging="172"/>
        <w:spacing w:after="0" w:line="238" w:lineRule="auto"/>
        <w:tabs>
          <w:tab w:leader="none" w:pos="168"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00" w:hanging="172"/>
        <w:spacing w:after="0" w:line="232" w:lineRule="auto"/>
        <w:tabs>
          <w:tab w:leader="none" w:pos="181"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5,843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46 %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167</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12,396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11,164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4,117</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3,675</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47 %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3,353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3,166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210</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8,002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7,399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7,185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5,012</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45 %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6,060</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5,633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1,177</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1,054</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11,399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10,895</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5,972</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7,637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4,293</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412</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11,731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11,873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20,944</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20,964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20,979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21,010</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50 %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20,069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18,311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41,033</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39,290</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10,500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9,414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920</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863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167</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12,396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11,164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6,455</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756</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210</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8,002</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7,399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7,185</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8,947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8,084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550</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460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1,121</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454</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1,177</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1,054</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11,399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10,895</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10,062</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11,107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11,112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39</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506</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412</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483</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11,731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11,873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35,964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36,033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34,385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1,919</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3,286</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2,837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2,455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785</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882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41,033</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39,290</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Sales are attributed to countries based on the ultimate customer’s location. No country other than the United States represents greater than 10% of total company sales.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geographic regions are principally comprised of the Middle East.</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for each of our reportable segments and total intersegment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10,771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41,954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41,033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intersegment sales and operating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14"/>
                <w:szCs w:val="14"/>
                <w:color w:val="auto"/>
              </w:rPr>
            </w:pPr>
          </w:p>
        </w:tc>
        <w:tc>
          <w:tcPr>
            <w:tcW w:w="1220" w:type="dxa"/>
            <w:vAlign w:val="bottom"/>
            <w:gridSpan w:val="2"/>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224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1,054</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483</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2,317</w:t>
            </w: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1,827</w:t>
            </w:r>
          </w:p>
        </w:tc>
        <w:tc>
          <w:tcPr>
            <w:tcW w:w="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for each of our reportable segments and for Corporate: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176</w:t>
            </w:r>
          </w:p>
        </w:tc>
        <w:tc>
          <w:tcPr>
            <w:tcW w:w="3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56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367</w:t>
            </w:r>
          </w:p>
        </w:tc>
        <w:tc>
          <w:tcPr>
            <w:tcW w:w="3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1,775</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1,370</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80" w:hanging="172"/>
        <w:spacing w:after="0" w:line="254" w:lineRule="auto"/>
        <w:tabs>
          <w:tab w:leader="none" w:pos="168"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CODM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ind w:right="37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2025,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changes occurred in our internal control over financial reporting that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2025.</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Deloitte &amp; Touche LLP issued an attestation report dated January 26, 2026, concerning the company’s internal control over financial reporting, which is contained in this Annual Report. The company’s consolidated financial statements as of and for the year ended December 31, 2025,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Kathy J. Warden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T. Greene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Northrop Grumman Corporation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January 26, 2026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9"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color w:val="auto"/>
        </w:rPr>
        <w:t>January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TRADING AGREEMENTS</w:t>
      </w:r>
    </w:p>
    <w:p>
      <w:pPr>
        <w:spacing w:after="0" w:line="94"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7"/>
          <w:szCs w:val="17"/>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December 31, 2025.</w:t>
      </w:r>
    </w:p>
    <w:tbl>
      <w:tblPr>
        <w:tblLayout w:type="fixed"/>
        <w:tblInd w:w="0" w:type="dxa"/>
        <w:tblCellMar>
          <w:top w:w="0" w:type="dxa"/>
          <w:left w:w="0" w:type="dxa"/>
          <w:bottom w:w="0" w:type="dxa"/>
          <w:right w:w="0" w:type="dxa"/>
        </w:tblCellMar>
      </w:tblPr>
      <w:tr>
        <w:trPr>
          <w:trHeight w:val="190"/>
        </w:trPr>
        <w:tc>
          <w:tcPr>
            <w:tcW w:w="24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0" w:type="dxa"/>
            <w:vAlign w:val="bottom"/>
          </w:tcPr>
          <w:p>
            <w:pPr>
              <w:ind w:left="320"/>
              <w:spacing w:after="0" w:line="190" w:lineRule="exact"/>
              <w:rPr>
                <w:sz w:val="20"/>
                <w:szCs w:val="20"/>
                <w:color w:val="auto"/>
              </w:rPr>
            </w:pPr>
            <w:r>
              <w:rPr>
                <w:rFonts w:ascii="Times New Roman" w:cs="Times New Roman" w:eastAsia="Times New Roman" w:hAnsi="Times New Roman"/>
                <w:sz w:val="18"/>
                <w:szCs w:val="18"/>
                <w:b w:val="1"/>
                <w:bCs w:val="1"/>
                <w:color w:val="auto"/>
              </w:rPr>
              <w:t>Aggregate Number of</w:t>
            </w:r>
          </w:p>
        </w:tc>
        <w:tc>
          <w:tcPr>
            <w:tcW w:w="0" w:type="dxa"/>
            <w:vAlign w:val="bottom"/>
          </w:tcPr>
          <w:p>
            <w:pPr>
              <w:spacing w:after="0"/>
              <w:rPr>
                <w:sz w:val="1"/>
                <w:szCs w:val="1"/>
                <w:color w:val="auto"/>
              </w:rPr>
            </w:pPr>
          </w:p>
        </w:tc>
      </w:tr>
      <w:tr>
        <w:trPr>
          <w:trHeight w:val="184"/>
        </w:trPr>
        <w:tc>
          <w:tcPr>
            <w:tcW w:w="240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3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2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Purchased</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40" w:type="dxa"/>
            <w:vAlign w:val="bottom"/>
            <w:tcBorders>
              <w:bottom w:val="single" w:sz="8" w:color="auto"/>
            </w:tcBorders>
            <w:vMerge w:val="continue"/>
          </w:tcPr>
          <w:p>
            <w:pPr>
              <w:spacing w:after="0"/>
              <w:rPr>
                <w:sz w:val="19"/>
                <w:szCs w:val="19"/>
                <w:color w:val="auto"/>
              </w:rPr>
            </w:pPr>
          </w:p>
        </w:tc>
        <w:tc>
          <w:tcPr>
            <w:tcW w:w="366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r>
        <w:trPr>
          <w:trHeight w:val="178"/>
        </w:trPr>
        <w:tc>
          <w:tcPr>
            <w:tcW w:w="2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Roshan S. Roeder</w:t>
            </w:r>
          </w:p>
        </w:tc>
        <w:tc>
          <w:tcPr>
            <w:tcW w:w="154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8"/>
              </w:rPr>
              <w:t>Rule 10b5-1</w:t>
            </w:r>
          </w:p>
        </w:tc>
        <w:tc>
          <w:tcPr>
            <w:tcW w:w="51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8"/>
                <w:szCs w:val="18"/>
                <w:color w:val="auto"/>
              </w:rPr>
              <w:t>October 30, 2025 December 31, 2026 or such earlier date upon the</w:t>
            </w:r>
          </w:p>
        </w:tc>
        <w:tc>
          <w:tcPr>
            <w:tcW w:w="22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Sale of 318 shares</w:t>
            </w:r>
          </w:p>
        </w:tc>
        <w:tc>
          <w:tcPr>
            <w:tcW w:w="0" w:type="dxa"/>
            <w:vAlign w:val="bottom"/>
          </w:tcPr>
          <w:p>
            <w:pPr>
              <w:spacing w:after="0"/>
              <w:rPr>
                <w:sz w:val="1"/>
                <w:szCs w:val="1"/>
                <w:color w:val="auto"/>
              </w:rPr>
            </w:pPr>
          </w:p>
        </w:tc>
      </w:tr>
      <w:tr>
        <w:trPr>
          <w:trHeight w:val="180"/>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540" w:type="dxa"/>
            <w:vAlign w:val="bottom"/>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8"/>
              </w:rPr>
              <w:t>Trading</w:t>
            </w:r>
          </w:p>
        </w:tc>
        <w:tc>
          <w:tcPr>
            <w:tcW w:w="1440" w:type="dxa"/>
            <w:vAlign w:val="bottom"/>
          </w:tcPr>
          <w:p>
            <w:pPr>
              <w:spacing w:after="0"/>
              <w:rPr>
                <w:sz w:val="15"/>
                <w:szCs w:val="15"/>
                <w:color w:val="auto"/>
              </w:rPr>
            </w:pPr>
          </w:p>
        </w:tc>
        <w:tc>
          <w:tcPr>
            <w:tcW w:w="36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tcPr>
          <w:p>
            <w:pPr>
              <w:spacing w:after="0"/>
              <w:rPr>
                <w:sz w:val="6"/>
                <w:szCs w:val="6"/>
                <w:color w:val="auto"/>
              </w:rPr>
            </w:pPr>
          </w:p>
        </w:tc>
        <w:tc>
          <w:tcPr>
            <w:tcW w:w="1540" w:type="dxa"/>
            <w:vAlign w:val="bottom"/>
            <w:vMerge w:val="restart"/>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Arrangement</w:t>
            </w:r>
          </w:p>
        </w:tc>
        <w:tc>
          <w:tcPr>
            <w:tcW w:w="1440" w:type="dxa"/>
            <w:vAlign w:val="bottom"/>
          </w:tcPr>
          <w:p>
            <w:pPr>
              <w:spacing w:after="0"/>
              <w:rPr>
                <w:sz w:val="6"/>
                <w:szCs w:val="6"/>
                <w:color w:val="auto"/>
              </w:rPr>
            </w:pPr>
          </w:p>
        </w:tc>
        <w:tc>
          <w:tcPr>
            <w:tcW w:w="366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2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Sale of shares to be received</w:t>
            </w:r>
          </w:p>
        </w:tc>
        <w:tc>
          <w:tcPr>
            <w:tcW w:w="0" w:type="dxa"/>
            <w:vAlign w:val="bottom"/>
          </w:tcPr>
          <w:p>
            <w:pPr>
              <w:spacing w:after="0"/>
              <w:rPr>
                <w:sz w:val="1"/>
                <w:szCs w:val="1"/>
                <w:color w:val="auto"/>
              </w:rPr>
            </w:pPr>
          </w:p>
        </w:tc>
      </w:tr>
      <w:tr>
        <w:trPr>
          <w:trHeight w:val="99"/>
        </w:trPr>
        <w:tc>
          <w:tcPr>
            <w:tcW w:w="24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Mission Systems)</w:t>
            </w:r>
          </w:p>
        </w:tc>
        <w:tc>
          <w:tcPr>
            <w:tcW w:w="15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specified in the plan.</w:t>
            </w: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22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upon payout of 2023 RSRs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746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ind w:left="9160"/>
        <w:spacing w:after="0"/>
        <w:rPr>
          <w:sz w:val="20"/>
          <w:szCs w:val="20"/>
          <w:color w:val="auto"/>
        </w:rPr>
      </w:pPr>
      <w:r>
        <w:rPr>
          <w:rFonts w:ascii="Times New Roman" w:cs="Times New Roman" w:eastAsia="Times New Roman" w:hAnsi="Times New Roman"/>
          <w:sz w:val="18"/>
          <w:szCs w:val="18"/>
          <w:color w:val="auto"/>
        </w:rPr>
        <w:t>and RPSRs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52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about our Directors will be incorporated herein by reference to the Proxy Statement for the 2026 Annual Meeting of Shareholders, to be filed with the SEC within 120 days after the end of the company’s fiscal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Our executive officers as of January 26, 2026, are listed below, along with their ages on that date, positions and offices held with the company, and principal occupations and employment, focused primarily on the past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c>
          <w:tcPr>
            <w:tcW w:w="0" w:type="dxa"/>
            <w:vAlign w:val="bottom"/>
          </w:tcPr>
          <w:p>
            <w:pPr>
              <w:spacing w:after="0"/>
              <w:rPr>
                <w:sz w:val="1"/>
                <w:szCs w:val="1"/>
                <w:color w:val="auto"/>
              </w:rPr>
            </w:pPr>
          </w:p>
        </w:tc>
      </w:tr>
      <w:tr>
        <w:trPr>
          <w:trHeight w:val="178"/>
        </w:trPr>
        <w:tc>
          <w:tcPr>
            <w:tcW w:w="24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Kathy J. Warden</w:t>
            </w:r>
          </w:p>
        </w:tc>
        <w:tc>
          <w:tcPr>
            <w:tcW w:w="180" w:type="dxa"/>
            <w:vAlign w:val="bottom"/>
          </w:tcPr>
          <w:p>
            <w:pPr>
              <w:spacing w:after="0"/>
              <w:rPr>
                <w:sz w:val="15"/>
                <w:szCs w:val="15"/>
                <w:color w:val="auto"/>
              </w:rPr>
            </w:pPr>
          </w:p>
        </w:tc>
        <w:tc>
          <w:tcPr>
            <w:tcW w:w="5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5"/>
                <w:szCs w:val="15"/>
                <w:color w:val="auto"/>
              </w:rPr>
            </w:pPr>
          </w:p>
        </w:tc>
        <w:tc>
          <w:tcPr>
            <w:tcW w:w="19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Chair, Chief Executive</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5"/>
                <w:szCs w:val="15"/>
                <w:color w:val="auto"/>
              </w:rPr>
            </w:pPr>
          </w:p>
        </w:tc>
        <w:tc>
          <w:tcPr>
            <w:tcW w:w="4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President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John T. Greene</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 Chief Financial Officer, Discover</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Financial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Services (2019-2025)</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Benjamin R. Davies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and General Manager, Strategic Deterrent Systems</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 Defense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Division, Space Systems Sector (2023-2024); Vice President and</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Manager, Networked Information Solutions Division,</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Mission Systems Sector (2021-2023); Vice President and General</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B-2 Program, Aeronautics Systems Sector (2019-2021)</w:t>
            </w: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Robert J. Fleming</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and General Manager, Strategic Space Systems</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 Space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Division, Space Systems Sector (2021-2023); Vice President,</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Development and Strategy, Space Systems Sector</w:t>
            </w:r>
          </w:p>
        </w:tc>
        <w:tc>
          <w:tcPr>
            <w:tcW w:w="0" w:type="dxa"/>
            <w:vAlign w:val="bottom"/>
          </w:tcPr>
          <w:p>
            <w:pPr>
              <w:spacing w:after="0"/>
              <w:rPr>
                <w:sz w:val="1"/>
                <w:szCs w:val="1"/>
                <w:color w:val="auto"/>
              </w:rPr>
            </w:pPr>
          </w:p>
        </w:tc>
      </w:tr>
      <w:tr>
        <w:trPr>
          <w:trHeight w:val="234"/>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Michael A. Hardesty</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(2020-2021)</w:t>
            </w:r>
          </w:p>
        </w:tc>
        <w:tc>
          <w:tcPr>
            <w:tcW w:w="0" w:type="dxa"/>
            <w:vAlign w:val="bottom"/>
          </w:tcPr>
          <w:p>
            <w:pPr>
              <w:spacing w:after="0"/>
              <w:rPr>
                <w:sz w:val="1"/>
                <w:szCs w:val="1"/>
                <w:color w:val="auto"/>
              </w:rPr>
            </w:pPr>
          </w:p>
        </w:tc>
      </w:tr>
      <w:tr>
        <w:trPr>
          <w:trHeight w:val="179"/>
        </w:trPr>
        <w:tc>
          <w:tcPr>
            <w:tcW w:w="26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Controller, and Chief</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Thomas H. Jones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Roshan S. Roeder</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 and President, Defense Systems Sector</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 Mission</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(2022-2024); Vice President and General Manager, Airborne</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Multifunction Sensors, Mission Systems Sector (2020-2022)</w:t>
            </w: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Kathryn G. Simpson</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6"/>
                <w:szCs w:val="16"/>
                <w:color w:val="auto"/>
              </w:rPr>
            </w:pPr>
          </w:p>
        </w:tc>
        <w:tc>
          <w:tcPr>
            <w:tcW w:w="2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6"/>
                <w:szCs w:val="16"/>
                <w:color w:val="auto"/>
              </w:rPr>
            </w:pPr>
          </w:p>
        </w:tc>
        <w:tc>
          <w:tcPr>
            <w:tcW w:w="4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Vice President, Associate General Counsel, Mission Systems</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General Counsel</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Sector (2021-2023); Vice President, Deputy General Counsel</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(2012-2021)</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RISK COMMITTEE</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as to the Audit and Risk Committee and the Audit and Risk Committee Financial Expert will be incorporated herein by reference to the Proxy Statement for the 2026 Annual Meeting of Shareholders.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adopted Standards of Business Conduct for our employees, including the principal executive officer, principal financial officer and principal accounting officer. The Standards of Business Conduct can be found on our website at www.northropgrumman.com under “Who We Are – Investors – Corporate Governance – Overview – Standards of Business Conduct.” A copy of the Standards of Business Conduct is available to any stockholder who requests it by writing to: Northrop Grumman Corporation, c/o Office of the Secretary, 2980 Fairview Park Drive,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website and information contained on it or incorporated in it are not intended to be incorporated in this Annual Report on Form 10-K or other filings with the 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disclosures required by this Item, including with respect to insider trading arrangements and policies, will be incorporated herein by reference to the Proxy Statement for the 2026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Information concerning Executive Compensation required by this Item 11, including information concerning Compensation Committee Interlocks and Insider Participation and the Compensation Committee Report, will be incorporated herein by reference to the Proxy Statement for the 2026 Annual Meeting of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as to Securities Authorized for Issuance Under Equity Compensation Plans and Security Ownership of Certain Beneficial Owners and Management will be incorporated herein by reference to the Proxy Statement for the 2026 Annual Meeting of Shareholders.</w:t>
      </w:r>
    </w:p>
    <w:p>
      <w:pPr>
        <w:spacing w:after="0" w:line="40" w:lineRule="exact"/>
        <w:rPr>
          <w:sz w:val="20"/>
          <w:szCs w:val="20"/>
          <w:color w:val="auto"/>
        </w:rPr>
      </w:pPr>
    </w:p>
    <w:p>
      <w:pPr>
        <w:ind w:right="1700"/>
        <w:spacing w:after="0" w:line="399" w:lineRule="auto"/>
        <w:rPr>
          <w:sz w:val="20"/>
          <w:szCs w:val="20"/>
          <w:color w:val="auto"/>
        </w:rPr>
      </w:pPr>
      <w:r>
        <w:rPr>
          <w:rFonts w:ascii="Times New Roman" w:cs="Times New Roman" w:eastAsia="Times New Roman" w:hAnsi="Times New Roman"/>
          <w:sz w:val="18"/>
          <w:szCs w:val="18"/>
          <w:color w:val="auto"/>
        </w:rPr>
        <w:t xml:space="preserve">For a description of securities authorized under our equity compensation plans, see Note 13 to the consolidated financial statements. </w:t>
      </w:r>
      <w:r>
        <w:rPr>
          <w:rFonts w:ascii="Times New Roman" w:cs="Times New Roman" w:eastAsia="Times New Roman" w:hAnsi="Times New Roman"/>
          <w:sz w:val="18"/>
          <w:szCs w:val="18"/>
          <w:b w:val="1"/>
          <w:bCs w:val="1"/>
          <w:color w:val="auto"/>
        </w:rPr>
        <w:t>Item 13. Certain Relationships and Related Transactions, and Director Independence</w:t>
      </w: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as to Certain Relationships and Related Transactions and Director Independence will be incorporated herein by reference to the Proxy Statement for the 2026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as to Principal Accountant Fees and Services will be incorporated herein by reference to the Proxy Statement for the 2026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72" w:lineRule="exact"/>
        <w:rPr>
          <w:sz w:val="20"/>
          <w:szCs w:val="20"/>
          <w:color w:val="auto"/>
        </w:rPr>
      </w:pPr>
    </w:p>
    <w:p>
      <w:pPr>
        <w:ind w:left="740" w:right="4700" w:hanging="489"/>
        <w:spacing w:after="0" w:line="360" w:lineRule="auto"/>
        <w:tabs>
          <w:tab w:leader="none" w:pos="5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Report of Independent Registered Public Accounting Firm (PCAOB ID No. 34) Financial Statements</w:t>
      </w: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Earnings and Comprehensive Income</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Financial Position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2" w:lineRule="exact"/>
        <w:rPr>
          <w:sz w:val="20"/>
          <w:szCs w:val="20"/>
          <w:color w:val="auto"/>
        </w:rPr>
      </w:pPr>
    </w:p>
    <w:p>
      <w:pPr>
        <w:ind w:left="760" w:hanging="185"/>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3"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0"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Agreement and Plan of Merger dated as of September 17, 2017, among Northrop Grumman Corporation, Neptune Merger, Inc.</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and Orbital ATK, Inc. (incorporated by reference to Exhibit 2.1 to Form 8-K filed September 18, 2017)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Transaction Agreement dated as of April 28, 2014, among Alliant Techsystems Inc., Vista Spinco Inc., Vista Merger Sub Inc. and</w:t>
              </w:r>
            </w:hyperlink>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Orbital Sciences Corporation (incorporated by reference to Exhibit 2.1 to Alliant Techsystems Inc. (now known as Northrop</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Grumman Innovation Systems, Inc.) Form 8-K filed May 2, 2014)</w:t>
              </w:r>
            </w:hyperlink>
          </w:p>
        </w:tc>
        <w:tc>
          <w:tcPr>
            <w:tcW w:w="4200" w:type="dxa"/>
            <w:vAlign w:val="bottom"/>
            <w:tcBorders>
              <w:top w:val="single" w:sz="8" w:color="0000FF"/>
            </w:tcBorders>
            <w:gridSpan w:val="11"/>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Restated Certificate of Incorporation of Northrop Grumman Corporation, dated May 15, 2024 (incorporated by reference to</w:t>
              </w:r>
            </w:hyperlink>
          </w:p>
        </w:tc>
      </w:tr>
      <w:tr>
        <w:trPr>
          <w:trHeight w:val="156"/>
        </w:trPr>
        <w:tc>
          <w:tcPr>
            <w:tcW w:w="106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3.1 to Form 8-K filed May 16,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Bylaws of Northrop Grumman Corporation dated May 17, 2023 (incorporated by reference to Exhibit 3.2</w:t>
              </w:r>
            </w:hyperlink>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to Form 8-K filed May 19, 2023)</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Indenture dated as of October 15, 1994, between Northrop Grumman Corporation (now Northrop Grumman Systems Corporation)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and The Chase Manhattan Bank (National Association), Trustee (incorporated by reference to Exhibit 4.1 to Form 8-K filed</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13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October 25, 1994)</w:t>
              </w:r>
            </w:hyperlink>
          </w:p>
        </w:tc>
        <w:tc>
          <w:tcPr>
            <w:tcW w:w="76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First Supplemental Indenture dated as of March 30, 2011 by and among Northrop Grumman Systems Corporation, The Bank of</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known as Northrop Grumman Corporation), and Titan Holdings II, L.P., to Indenture dated as of October 15, 1994, between</w:t>
              </w:r>
            </w:hyperlink>
          </w:p>
        </w:tc>
        <w:tc>
          <w:tcPr>
            <w:tcW w:w="12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7"/>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Northrop Grumman Corporation (now Northrop Grumman Systems Corporation) and The Chase Manhattan Bank, N.A., Trustee</w:t>
              </w:r>
            </w:hyperlink>
          </w:p>
        </w:tc>
      </w:tr>
      <w:tr>
        <w:trPr>
          <w:trHeight w:val="155"/>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(incorporated by reference to Exhibit 4.1 to Form 10-Q for the quarter ended March 31, 2011, filed April 27, 2011)</w:t>
              </w:r>
            </w:hyperlink>
          </w:p>
        </w:tc>
        <w:tc>
          <w:tcPr>
            <w:tcW w:w="1000" w:type="dxa"/>
            <w:vAlign w:val="bottom"/>
            <w:tcBorders>
              <w:top w:val="single" w:sz="8" w:color="0000FF"/>
            </w:tcBorders>
            <w:gridSpan w:val="13"/>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Supplemental Indenture dated as of March 30, 2011 by and among Northrop Grumman Systems Corporation, The Bank of</w:t>
              </w:r>
            </w:hyperlink>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420" w:type="dxa"/>
            <w:vAlign w:val="bottom"/>
            <w:gridSpan w:val="25"/>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Northrop Grumman Corporation (formerly known as New P, Inc.), to Indenture dated as of October 15, 1994, between Northrop</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Grumman Corporation (now Northrop Grumman Systems Corporation) and The Chase Manhattan Bank, N.A., Trustee</w:t>
              </w:r>
            </w:hyperlink>
          </w:p>
        </w:tc>
        <w:tc>
          <w:tcPr>
            <w:tcW w:w="240" w:type="dxa"/>
            <w:vAlign w:val="bottom"/>
            <w:gridSpan w:val="7"/>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(incorporated by reference to Exhibit 4.2 to Form 10-Q for the quarter ended March 31, 2011, filed April 27, 2011)</w:t>
              </w:r>
            </w:hyperlink>
          </w:p>
        </w:tc>
        <w:tc>
          <w:tcPr>
            <w:tcW w:w="300" w:type="dxa"/>
            <w:vAlign w:val="bottom"/>
            <w:tcBorders>
              <w:top w:val="single" w:sz="8" w:color="0000FF"/>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540" w:type="dxa"/>
            <w:vAlign w:val="bottom"/>
            <w:gridSpan w:val="14"/>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Grumman Systems Corporation’s) 7.875% Debentures due 2026 (incorporated by reference to Exhibit 4.3 to Form S-4</w:t>
              </w:r>
            </w:hyperlink>
          </w:p>
        </w:tc>
        <w:tc>
          <w:tcPr>
            <w:tcW w:w="60" w:type="dxa"/>
            <w:vAlign w:val="bottom"/>
            <w:gridSpan w:val="2"/>
          </w:tcPr>
          <w:p>
            <w:pPr>
              <w:spacing w:after="0"/>
              <w:rPr>
                <w:sz w:val="13"/>
                <w:szCs w:val="13"/>
                <w:color w:val="auto"/>
              </w:rPr>
            </w:pPr>
          </w:p>
        </w:tc>
        <w:tc>
          <w:tcPr>
            <w:tcW w:w="540" w:type="dxa"/>
            <w:vAlign w:val="bottom"/>
            <w:gridSpan w:val="14"/>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Registration Statement No. 333-02653 filed April 19, 1996)</w:t>
              </w:r>
            </w:hyperlink>
          </w:p>
        </w:tc>
        <w:tc>
          <w:tcPr>
            <w:tcW w:w="4220" w:type="dxa"/>
            <w:vAlign w:val="bottom"/>
            <w:tcBorders>
              <w:top w:val="single" w:sz="8" w:color="0000FF"/>
            </w:tcBorders>
            <w:gridSpan w:val="5"/>
          </w:tcPr>
          <w:p>
            <w:pPr>
              <w:spacing w:after="0"/>
              <w:rPr>
                <w:sz w:val="14"/>
                <w:szCs w:val="14"/>
                <w:color w:val="auto"/>
              </w:rPr>
            </w:pPr>
          </w:p>
        </w:tc>
        <w:tc>
          <w:tcPr>
            <w:tcW w:w="380" w:type="dxa"/>
            <w:vAlign w:val="bottom"/>
            <w:gridSpan w:val="4"/>
          </w:tcPr>
          <w:p>
            <w:pPr>
              <w:spacing w:after="0"/>
              <w:rPr>
                <w:sz w:val="14"/>
                <w:szCs w:val="14"/>
                <w:color w:val="auto"/>
              </w:rPr>
            </w:pPr>
          </w:p>
        </w:tc>
        <w:tc>
          <w:tcPr>
            <w:tcW w:w="540" w:type="dxa"/>
            <w:vAlign w:val="bottom"/>
            <w:gridSpan w:val="14"/>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46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Northrop Grumman Corporation’s (now Northrop Grumman Systems Corporation’s) 7.875% Debentures due 2026</w:t>
              </w:r>
            </w:hyperlink>
          </w:p>
        </w:tc>
      </w:tr>
      <w:tr>
        <w:trPr>
          <w:trHeight w:val="155"/>
        </w:trPr>
        <w:tc>
          <w:tcPr>
            <w:tcW w:w="10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(incorporated by reference to Exhibit 4.6 to Form S-4 Registration Statement No. 333-02653 filed April 19, 1996)</w:t>
              </w:r>
            </w:hyperlink>
          </w:p>
        </w:tc>
        <w:tc>
          <w:tcPr>
            <w:tcW w:w="700" w:type="dxa"/>
            <w:vAlign w:val="bottom"/>
            <w:tcBorders>
              <w:top w:val="single" w:sz="8" w:color="0000FF"/>
            </w:tcBorders>
            <w:gridSpan w:val="6"/>
          </w:tcPr>
          <w:p>
            <w:pPr>
              <w:spacing w:after="0"/>
              <w:rPr>
                <w:sz w:val="13"/>
                <w:szCs w:val="13"/>
                <w:color w:val="auto"/>
              </w:rPr>
            </w:pPr>
          </w:p>
        </w:tc>
        <w:tc>
          <w:tcPr>
            <w:tcW w:w="540" w:type="dxa"/>
            <w:vAlign w:val="bottom"/>
            <w:gridSpan w:val="14"/>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Officers’ Certificate establishing the terms of Northrop Grumman Corporation’s (now Northrop Grumman Systems</w:t>
              </w:r>
            </w:hyperlink>
          </w:p>
        </w:tc>
      </w:tr>
      <w:tr>
        <w:trPr>
          <w:trHeight w:val="156"/>
        </w:trPr>
        <w:tc>
          <w:tcPr>
            <w:tcW w:w="1060" w:type="dxa"/>
            <w:vAlign w:val="bottom"/>
          </w:tcPr>
          <w:p>
            <w:pPr>
              <w:spacing w:after="0"/>
              <w:rPr>
                <w:sz w:val="13"/>
                <w:szCs w:val="13"/>
                <w:color w:val="auto"/>
              </w:rPr>
            </w:pPr>
          </w:p>
        </w:tc>
        <w:tc>
          <w:tcPr>
            <w:tcW w:w="8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Corporation’s) 7.75% Debentures due 2031 (incorporated by reference to Exhibit 10.9 to Form 8-K filed April 17, 2001)</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Senior Indenture dated as of December 15, 1991, between Litton Industries, Inc. (predecessor-in-interest to Northrop Grumman</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Systems Corporation) and The Bank of New York, as trustee, under which its 7.75% and 6.98% debentures due 2026 and 2036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were issued, and specimens of such debentures (incorporated by reference to Exhibit 4.1 to the Form 10-Q of Litton Industries,</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4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Inc. for the quarter ended April 30, 1996, filed June 11, 1996)</w:t>
              </w:r>
            </w:hyperlink>
          </w:p>
        </w:tc>
        <w:tc>
          <w:tcPr>
            <w:tcW w:w="4700" w:type="dxa"/>
            <w:vAlign w:val="bottom"/>
            <w:gridSpan w:val="9"/>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8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Supplemental Indenture with respect to Senior Indenture dated December 15, 1991, dated as of April 3, 2001, among Litton</w:t>
              </w:r>
            </w:hyperlink>
          </w:p>
        </w:tc>
        <w:tc>
          <w:tcPr>
            <w:tcW w:w="540" w:type="dxa"/>
            <w:vAlign w:val="bottom"/>
            <w:gridSpan w:val="16"/>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r>
      <w:tr>
        <w:trPr>
          <w:trHeight w:val="20"/>
        </w:trPr>
        <w:tc>
          <w:tcPr>
            <w:tcW w:w="106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the quarter ended March 31, 2001, filed May 10, 2001)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Supplemental Indenture with respect to Senior Indenture dated December 15, 1991, dated as of December 20, 2002, among Litton</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Grumman Systems Corporation and The Bank of New York, as trustee (incorporated by reference to Exhibit 4(t) to Form 10-K for</w:t>
              </w:r>
            </w:hyperlink>
          </w:p>
        </w:tc>
      </w:tr>
      <w:tr>
        <w:trPr>
          <w:trHeight w:val="155"/>
        </w:trPr>
        <w:tc>
          <w:tcPr>
            <w:tcW w:w="106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the year ended December 31, 2002, filed March 24, 2003)</w:t>
              </w:r>
            </w:hyperlink>
          </w:p>
        </w:tc>
        <w:tc>
          <w:tcPr>
            <w:tcW w:w="52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9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Third Supplemental Indenture dated as of March 30, 2011 by and among Northrop Grumman Systems Corporation (successor-in-</w:t>
              </w:r>
            </w:hyperlink>
          </w:p>
        </w:tc>
        <w:tc>
          <w:tcPr>
            <w:tcW w:w="120" w:type="dxa"/>
            <w:vAlign w:val="bottom"/>
            <w:gridSpan w:val="6"/>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 II,</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 (formerly known as Northrop Grumman Corporation), and Titan Holdings II, L.P., to Senior Indenture dated December 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1991, between Litton Industries, Inc. and The Bank of New York, as trustee (incorporated by reference to Exhibit 4.5 to Form 10-</w:t>
              </w:r>
            </w:hyperlink>
          </w:p>
        </w:tc>
      </w:tr>
      <w:tr>
        <w:trPr>
          <w:trHeight w:val="156"/>
        </w:trPr>
        <w:tc>
          <w:tcPr>
            <w:tcW w:w="10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Q for the quarter ended March 31, 2011, filed April 27, 2011)</w:t>
              </w:r>
            </w:hyperlink>
          </w:p>
        </w:tc>
        <w:tc>
          <w:tcPr>
            <w:tcW w:w="490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Fourth Supplemental Indenture dated as of March 30, 2011 by and among Northrop Grumman Systems Corporation (successor-in-</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w:t>
              </w:r>
            </w:hyperlink>
          </w:p>
        </w:tc>
        <w:tc>
          <w:tcPr>
            <w:tcW w:w="2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Holdings II, L.P., and Northrop Grumman Corporation (formerly known as New P, Inc.), to Senior Indenture dated December 15,</w:t>
              </w:r>
            </w:hyperlink>
          </w:p>
        </w:tc>
      </w:tr>
      <w:tr>
        <w:trPr>
          <w:trHeight w:val="20"/>
        </w:trPr>
        <w:tc>
          <w:tcPr>
            <w:tcW w:w="1060" w:type="dxa"/>
            <w:vAlign w:val="bottom"/>
          </w:tcPr>
          <w:p>
            <w:pPr>
              <w:spacing w:after="0" w:line="20" w:lineRule="exact"/>
              <w:rPr>
                <w:sz w:val="1"/>
                <w:szCs w:val="1"/>
                <w:color w:val="auto"/>
              </w:rPr>
            </w:pPr>
          </w:p>
        </w:tc>
        <w:tc>
          <w:tcPr>
            <w:tcW w:w="5180" w:type="dxa"/>
            <w:vAlign w:val="bottom"/>
            <w:gridSpan w:val="5"/>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1991, between Litton Industries, Inc. and The Bank of New York, as trustee (incorporated by reference to Exhibit 4.6 to Form 10-</w:t>
              </w:r>
            </w:hyperlink>
          </w:p>
        </w:tc>
      </w:tr>
      <w:tr>
        <w:trPr>
          <w:trHeight w:val="169"/>
        </w:trPr>
        <w:tc>
          <w:tcPr>
            <w:tcW w:w="10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Q for the quarter ended March 31, 2011, filed April 27, 2011)</w:t>
              </w:r>
            </w:hyperlink>
          </w:p>
        </w:tc>
        <w:tc>
          <w:tcPr>
            <w:tcW w:w="4900" w:type="dxa"/>
            <w:vAlign w:val="bottom"/>
            <w:tcBorders>
              <w:top w:val="single" w:sz="8" w:color="0000FF"/>
            </w:tcBorders>
            <w:gridSpan w:val="16"/>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Indenture between TRW Inc. (predecessor-in-interest to Northrop Grumman Systems Corporation) and Mellon Bank, N.A., as</w:t>
            </w:r>
          </w:p>
        </w:tc>
      </w:tr>
      <w:tr>
        <w:trPr>
          <w:trHeight w:val="184"/>
        </w:trPr>
        <w:tc>
          <w:tcPr>
            <w:tcW w:w="1060" w:type="dxa"/>
            <w:vAlign w:val="bottom"/>
          </w:tcPr>
          <w:p>
            <w:pPr>
              <w:spacing w:after="0"/>
              <w:rPr>
                <w:sz w:val="16"/>
                <w:szCs w:val="16"/>
                <w:color w:val="auto"/>
              </w:rPr>
            </w:pPr>
          </w:p>
        </w:tc>
        <w:tc>
          <w:tcPr>
            <w:tcW w:w="94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w w:val="99"/>
              </w:rPr>
              <w:t>trustee, dated as of May 1, 1986 (incorporated by reference to Exhibit 2 to the Form 8-A Registration Statement of TRW Inc. dated</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July 3, 1986)</w:t>
            </w: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First Supplemental Indenture between TRW Inc. (predecessor-in-interest to Northrop Grumman Systems Corporation) and Mellon</w:t>
            </w:r>
          </w:p>
        </w:tc>
      </w:tr>
      <w:tr>
        <w:trPr>
          <w:trHeight w:val="175"/>
        </w:trPr>
        <w:tc>
          <w:tcPr>
            <w:tcW w:w="1060" w:type="dxa"/>
            <w:vAlign w:val="bottom"/>
          </w:tcPr>
          <w:p>
            <w:pPr>
              <w:spacing w:after="0"/>
              <w:rPr>
                <w:sz w:val="15"/>
                <w:szCs w:val="15"/>
                <w:color w:val="auto"/>
              </w:rPr>
            </w:pPr>
          </w:p>
        </w:tc>
        <w:tc>
          <w:tcPr>
            <w:tcW w:w="94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Bank, N.A., as trustee, dated as of August 24, 1989 (incorporated by reference to Exhibit 4(b) to Form S-3 Registration Statement</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No. 33-30350 of TRW Inc.)</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Fifth Supplemental Indenture between TRW Inc. (predecessor-in-interest to Northrop Grumman Systems Corporation) and The</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Chase Manhattan Bank, as successor trustee, dated as of June 2, 1999 (incorporated by reference to Exhibit 4(f) to Form S-4</w:t>
              </w:r>
            </w:hyperlink>
          </w:p>
        </w:tc>
        <w:tc>
          <w:tcPr>
            <w:tcW w:w="280" w:type="dxa"/>
            <w:vAlign w:val="bottom"/>
            <w:gridSpan w:val="10"/>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Registration Statement No. 333-83227 of TRW Inc. filed July 20, 1999)</w:t>
              </w:r>
            </w:hyperlink>
          </w:p>
        </w:tc>
        <w:tc>
          <w:tcPr>
            <w:tcW w:w="500" w:type="dxa"/>
            <w:vAlign w:val="bottom"/>
            <w:gridSpan w:val="1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5"/>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7"/>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Ninth Supplemental Indenture dated as of December 31, 2009 among Northrop Grumman Space &amp; Mission Systems Corp.</w:t>
              </w:r>
            </w:hyperlink>
          </w:p>
        </w:tc>
      </w:tr>
      <w:tr>
        <w:trPr>
          <w:trHeight w:val="156"/>
        </w:trPr>
        <w:tc>
          <w:tcPr>
            <w:tcW w:w="10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(predecessor–in-interest to Northrop Grumman Systems Corporation); The Bank of New York Mellon, as successor trustee;</w:t>
              </w:r>
            </w:hyperlink>
          </w:p>
        </w:tc>
        <w:tc>
          <w:tcPr>
            <w:tcW w:w="40" w:type="dxa"/>
            <w:vAlign w:val="bottom"/>
            <w:tcBorders>
              <w:bottom w:val="single" w:sz="8" w:color="0000FF"/>
            </w:tcBorders>
          </w:tcPr>
          <w:p>
            <w:pPr>
              <w:spacing w:after="0"/>
              <w:rPr>
                <w:sz w:val="13"/>
                <w:szCs w:val="13"/>
                <w:color w:val="auto"/>
              </w:rPr>
            </w:pPr>
          </w:p>
        </w:tc>
        <w:tc>
          <w:tcPr>
            <w:tcW w:w="560" w:type="dxa"/>
            <w:vAlign w:val="bottom"/>
            <w:gridSpan w:val="17"/>
          </w:tcPr>
          <w:p>
            <w:pPr>
              <w:spacing w:after="0"/>
              <w:rPr>
                <w:sz w:val="13"/>
                <w:szCs w:val="13"/>
                <w:color w:val="auto"/>
              </w:rPr>
            </w:pPr>
          </w:p>
        </w:tc>
      </w:tr>
    </w:tbl>
    <w:p>
      <w:pPr>
        <w:ind w:left="1780" w:right="20"/>
        <w:spacing w:after="0" w:line="22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Northrop Grumman Corporation; and Northrop Grumman Systems Corporation (incorporated by reference to Exhibit 4(p) to Form</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10-K for the year ended December 31, 2009, filed February 9, 2010)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Tenth Supplemental Indenture dated as of March 30, 2011, by and among Northrop Grumman Systems Corporation (successor-in-</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interest to Northrop Grumman Space &amp; Mission Systems Corp. and TRW, Inc.), The Bank of New York Mellon, as successor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trustee to JPMorgan Chase Bank and to Mellon Bank, N.A., Titan II Inc. (formerly known as Northrop Grumman Corporation),</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200" w:type="dxa"/>
            <w:vAlign w:val="bottom"/>
            <w:gridSpan w:val="2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and Titan Holdings II, L.P., to Indenture between TRW Inc. and Mellon Bank, N.A., as trustee, dated as of May 1, 1986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by reference to Exhibit 4.7 to Form 10-Q for the quarter ended March 31, 2011, filed April 27, 2011)</w:t>
              </w:r>
            </w:hyperlink>
          </w:p>
        </w:tc>
        <w:tc>
          <w:tcPr>
            <w:tcW w:w="3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Eleventh Supplemental Indenture dated as of March 30, 2011, by and among Northrop Grumman Systems Corporation (successor-</w:t>
              </w:r>
            </w:hyperlink>
          </w:p>
        </w:tc>
      </w:tr>
      <w:tr>
        <w:trPr>
          <w:trHeight w:val="155"/>
        </w:trPr>
        <w:tc>
          <w:tcPr>
            <w:tcW w:w="1060" w:type="dxa"/>
            <w:vAlign w:val="bottom"/>
          </w:tcPr>
          <w:p>
            <w:pPr>
              <w:spacing w:after="0"/>
              <w:rPr>
                <w:sz w:val="13"/>
                <w:szCs w:val="13"/>
                <w:color w:val="auto"/>
              </w:rPr>
            </w:pPr>
          </w:p>
        </w:tc>
        <w:tc>
          <w:tcPr>
            <w:tcW w:w="94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in-interest to Northrop Grumman Space &amp; Mission Systems Corp. and TRW Inc.), The Bank of New York Mellon, as successor</w:t>
              </w:r>
            </w:hyperlink>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2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trustee to JPMorgan Chase Bank and to Mellon Bank, N.A., Titan Holdings II, L.P., and Northrop Grumman Corporation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7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(formerly known as New P, Inc.) to Indenture between TRW Inc. and Mellon Bank, N.A., as trustee, dated as of May 1,</w:t>
              </w:r>
            </w:hyperlink>
          </w:p>
        </w:tc>
        <w:tc>
          <w:tcPr>
            <w:tcW w:w="340" w:type="dxa"/>
            <w:vAlign w:val="bottom"/>
            <w:gridSpan w:val="8"/>
          </w:tcPr>
          <w:p>
            <w:pPr>
              <w:jc w:val="right"/>
              <w:ind w:right="60"/>
              <w:spacing w:after="0" w:line="169" w:lineRule="exact"/>
              <w:rPr>
                <w:rFonts w:ascii="Times New Roman" w:cs="Times New Roman" w:eastAsia="Times New Roman" w:hAnsi="Times New Roman"/>
                <w:sz w:val="18"/>
                <w:szCs w:val="18"/>
                <w:color w:val="0000FF"/>
                <w:w w:val="72"/>
              </w:rPr>
            </w:pPr>
            <w:hyperlink r:id="rId127">
              <w:r>
                <w:rPr>
                  <w:rFonts w:ascii="Times New Roman" w:cs="Times New Roman" w:eastAsia="Times New Roman" w:hAnsi="Times New Roman"/>
                  <w:sz w:val="18"/>
                  <w:szCs w:val="18"/>
                  <w:color w:val="0000FF"/>
                  <w:w w:val="72"/>
                </w:rPr>
                <w:t>1986</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(incorporated by reference to Exhibit 4.8 to Form 10-Q for the quarter ended March 31, 2011, filed April 27, 2011)</w:t>
              </w:r>
            </w:hyperlink>
          </w:p>
        </w:tc>
        <w:tc>
          <w:tcPr>
            <w:tcW w:w="72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Twelfth Supplemental Indenture, dated as of August 25, 2021, to the Indenture dated as of May 1, 1986, by and among Northrop</w:t>
              </w:r>
            </w:hyperlink>
          </w:p>
        </w:tc>
      </w:tr>
      <w:tr>
        <w:trPr>
          <w:trHeight w:val="20"/>
        </w:trPr>
        <w:tc>
          <w:tcPr>
            <w:tcW w:w="10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80" w:type="dxa"/>
            <w:vAlign w:val="bottom"/>
            <w:gridSpan w:val="35"/>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Grumman Systems Corporation, Northrop Grumman Corporation and The Bank of New York Mellon, as trustee (incorporated by</w:t>
              </w:r>
            </w:hyperlink>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reference to Exhibit 4.1 to Form 8-K filed August 27, 2021)</w:t>
              </w:r>
            </w:hyperlink>
          </w:p>
        </w:tc>
        <w:tc>
          <w:tcPr>
            <w:tcW w:w="50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Thirteenth Supplemental Indenture, dated as of August 25, 2021, to the Indenture dated as of May 1, 1986, by and among</w:t>
              </w:r>
            </w:hyperlink>
          </w:p>
        </w:tc>
      </w:tr>
      <w:tr>
        <w:trPr>
          <w:trHeight w:val="183"/>
        </w:trPr>
        <w:tc>
          <w:tcPr>
            <w:tcW w:w="106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Northrop Grumman Systems Corporation, Northrop Grumman Corporation and The Bank of New York Mellon, as trustee</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5560" w:type="dxa"/>
            <w:vAlign w:val="bottom"/>
            <w:tcBorders>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(incorporated by reference to Exhibit 4.2 to Form 8-K filed August 27, 2021)</w:t>
              </w:r>
            </w:hyperlink>
          </w:p>
        </w:tc>
        <w:tc>
          <w:tcPr>
            <w:tcW w:w="32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r>
      <w:tr>
        <w:trPr>
          <w:trHeight w:val="156"/>
        </w:trPr>
        <w:tc>
          <w:tcPr>
            <w:tcW w:w="106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Exhibit 4.1 to Form 8-K filed November 21, 2001)</w:t>
              </w:r>
            </w:hyperlink>
          </w:p>
        </w:tc>
        <w:tc>
          <w:tcPr>
            <w:tcW w:w="304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First Supplemental Indenture dated as of July 30, 2009, between Northrop Grumman Corporation and The Bank of New York</w:t>
              </w:r>
            </w:hyperlink>
          </w:p>
        </w:tc>
        <w:tc>
          <w:tcPr>
            <w:tcW w:w="420" w:type="dxa"/>
            <w:vAlign w:val="bottom"/>
            <w:gridSpan w:val="16"/>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80" w:type="dxa"/>
            <w:vAlign w:val="bottom"/>
            <w:gridSpan w:val="35"/>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Mellon, as successor trustee, to Indenture dated as of November 21, 2001 (incorporated by reference to Exhibit 4(a) to Form 8-K</w:t>
              </w:r>
            </w:hyperlink>
          </w:p>
        </w:tc>
      </w:tr>
      <w:tr>
        <w:trPr>
          <w:trHeight w:val="156"/>
        </w:trPr>
        <w:tc>
          <w:tcPr>
            <w:tcW w:w="106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filed July 30, 2009)</w:t>
              </w:r>
            </w:hyperlink>
          </w:p>
        </w:tc>
        <w:tc>
          <w:tcPr>
            <w:tcW w:w="78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92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Second Supplemental Indenture dated as of November 8, 2010, between Northrop Grumman Corporation and The Bank of New</w:t>
              </w:r>
            </w:hyperlink>
          </w:p>
        </w:tc>
        <w:tc>
          <w:tcPr>
            <w:tcW w:w="220" w:type="dxa"/>
            <w:vAlign w:val="bottom"/>
            <w:gridSpan w:val="11"/>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9480" w:type="dxa"/>
            <w:vAlign w:val="bottom"/>
            <w:gridSpan w:val="3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York Mellon, as successor trustee, to Indenture dated as of November 21, 2001 (incorporated by reference to Exhibit 4(a) to Form</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8-K filed November 8, 2010)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Northrop Grumman Corporation’s 5.050% Senior Note due 2040 (incorporated by reference to Exhibit C to Exhibit 4(a)</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to Form 8-K filed November 8, 2010)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Third Supplemental Indenture dated as of March 30, 2011, by and among Titan II, Inc. (formerly known as Northrop Grumman</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Corporation), The Bank of New York Mellon, as successor trustee to JPMorgan Chase Bank, and Titan Holdings II, L.P., to</w:t>
              </w:r>
            </w:hyperlink>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c>
          <w:tcPr>
            <w:tcW w:w="2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by reference to Exhibit 4.9 to Form 10-Q for the quarter ended March 31, 2011, filed April 27, 2011)</w:t>
              </w:r>
            </w:hyperlink>
          </w:p>
        </w:tc>
        <w:tc>
          <w:tcPr>
            <w:tcW w:w="520" w:type="dxa"/>
            <w:vAlign w:val="bottom"/>
            <w:tcBorders>
              <w:top w:val="single" w:sz="8" w:color="0000FF"/>
            </w:tcBorders>
            <w:gridSpan w:val="4"/>
          </w:tcPr>
          <w:p>
            <w:pPr>
              <w:spacing w:after="0"/>
              <w:rPr>
                <w:sz w:val="13"/>
                <w:szCs w:val="13"/>
                <w:color w:val="auto"/>
              </w:rPr>
            </w:pPr>
          </w:p>
        </w:tc>
        <w:tc>
          <w:tcPr>
            <w:tcW w:w="3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Fourth Supplemental Indenture dated as of March 30, 2011, by and among Titan Holdings II, L.P., The Bank of New York Mellon,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 successor trustee to JPMorgan Chase Bank, and Northrop Grumman Corporation (formerly known as New P, Inc.), to Indenture</w:t>
              </w:r>
            </w:hyperlink>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dated as of November 21, 2001 between Northrop Grumman Corporation and JPMorgan Chase Bank, as trustee (incorporated by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to Exhibit 4.10 to Form 10-Q for the quarter ended March 31, 2011, filed April 27, 2011)</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9480" w:type="dxa"/>
            <w:vAlign w:val="bottom"/>
            <w:gridSpan w:val="3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Fifth Supplemental Indenture, dated as of May 31, 2013,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w:t>
              </w:r>
            </w:hyperlink>
          </w:p>
        </w:tc>
        <w:tc>
          <w:tcPr>
            <w:tcW w:w="60" w:type="dxa"/>
            <w:vAlign w:val="bottom"/>
            <w:gridSpan w:val="3"/>
          </w:tcPr>
          <w:p>
            <w:pPr>
              <w:spacing w:after="0"/>
              <w:rPr>
                <w:sz w:val="13"/>
                <w:szCs w:val="13"/>
                <w:color w:val="auto"/>
              </w:rPr>
            </w:pPr>
          </w:p>
        </w:tc>
        <w:tc>
          <w:tcPr>
            <w:tcW w:w="260" w:type="dxa"/>
            <w:vAlign w:val="bottom"/>
            <w:gridSpan w:val="12"/>
          </w:tcPr>
          <w:p>
            <w:pPr>
              <w:ind w:left="40"/>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w:t>
              </w:r>
            </w:hyperlink>
          </w:p>
        </w:tc>
      </w:tr>
      <w:tr>
        <w:trPr>
          <w:trHeight w:val="156"/>
        </w:trPr>
        <w:tc>
          <w:tcPr>
            <w:tcW w:w="106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4(a) to Form 8-K filed May 31, 2013)</w:t>
              </w:r>
            </w:hyperlink>
          </w:p>
        </w:tc>
        <w:tc>
          <w:tcPr>
            <w:tcW w:w="612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w:t>
            </w:r>
          </w:p>
        </w:tc>
        <w:tc>
          <w:tcPr>
            <w:tcW w:w="92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4.750% Senior Note due 2043 (incorporated by reference to Exhibit C to Exhibit 4(a) to Form 8-K filed May 31, 2013)</w:t>
              </w:r>
            </w:hyperlink>
          </w:p>
        </w:tc>
        <w:tc>
          <w:tcPr>
            <w:tcW w:w="220" w:type="dxa"/>
            <w:vAlign w:val="bottom"/>
            <w:gridSpan w:val="11"/>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w:t>
            </w:r>
          </w:p>
        </w:tc>
        <w:tc>
          <w:tcPr>
            <w:tcW w:w="9440" w:type="dxa"/>
            <w:vAlign w:val="bottom"/>
            <w:gridSpan w:val="2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Sixth Supplemental Indenture, dated as of February 6, 2015,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 to</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Exhibit 4.1 to Form 8-K filed February 6, 2015)</w:t>
              </w:r>
            </w:hyperlink>
          </w:p>
        </w:tc>
        <w:tc>
          <w:tcPr>
            <w:tcW w:w="594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w:t>
            </w:r>
          </w:p>
        </w:tc>
        <w:tc>
          <w:tcPr>
            <w:tcW w:w="9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3.850% Senior Note due 2045 (incorporated by reference to Exhibit A to Exhibit 4.1 to Form 8-K filed February 6, 2015)</w:t>
              </w:r>
            </w:hyperlink>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Seventh Supplemental Indenture, dated as of December 1, 2016,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9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4.1 to Form 8-K filed December 1, 2016)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4(ee)</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3.200% Senior Note due 2027 (incorporated by reference to Exhibit A to Exhibit 4.1 to Form 8-K filed December 1,</w:t>
              </w:r>
            </w:hyperlink>
          </w:p>
        </w:tc>
      </w:tr>
      <w:tr>
        <w:trPr>
          <w:trHeight w:val="155"/>
        </w:trPr>
        <w:tc>
          <w:tcPr>
            <w:tcW w:w="106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2016)</w:t>
              </w:r>
            </w:hyperlink>
          </w:p>
        </w:tc>
        <w:tc>
          <w:tcPr>
            <w:tcW w:w="8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4(ff)</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Eighth Supplemental Indenture, dated as of October 13, 2017, between Northrop Grumman Corporation and The Bank of New</w:t>
              </w:r>
            </w:hyperlink>
          </w:p>
        </w:tc>
      </w:tr>
      <w:tr>
        <w:trPr>
          <w:trHeight w:val="155"/>
        </w:trPr>
        <w:tc>
          <w:tcPr>
            <w:tcW w:w="1060" w:type="dxa"/>
            <w:vAlign w:val="bottom"/>
          </w:tcPr>
          <w:p>
            <w:pPr>
              <w:spacing w:after="0"/>
              <w:rPr>
                <w:sz w:val="13"/>
                <w:szCs w:val="13"/>
                <w:color w:val="auto"/>
              </w:rPr>
            </w:pPr>
          </w:p>
        </w:tc>
        <w:tc>
          <w:tcPr>
            <w:tcW w:w="91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reference to Exhibit 4.1 to Form 8-K filed October 13, 2017)</w:t>
              </w:r>
            </w:hyperlink>
          </w:p>
        </w:tc>
        <w:tc>
          <w:tcPr>
            <w:tcW w:w="446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4(gg)</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Ninth Supplemental Indenture, dated as of March 23, 2020, between Northrop Grumman Corporation and The Bank of New York</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Mellon, as successor to JPMorgan Chase, Trustee, to Indenture dated as of November 21, 2001 (incorporated by reference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8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Exhibit 4.1 to Form 8-K filed March 24,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4(hh)</w:t>
            </w:r>
          </w:p>
        </w:tc>
        <w:tc>
          <w:tcPr>
            <w:tcW w:w="9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3.250% Senior Note due 2028 (incorporated by reference to Exhibit D to Exhibit 4.1 to Form 8-K filed October 13, 2017)</w:t>
              </w:r>
            </w:hyperlink>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4(ii)</w:t>
            </w:r>
          </w:p>
        </w:tc>
        <w:tc>
          <w:tcPr>
            <w:tcW w:w="93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4.030% Senior Note due 2047 (incorporated by reference to Exhibit E to Exhibit 4.1 to Form 8-K filed October 13, 2017)</w:t>
              </w:r>
            </w:hyperlink>
          </w:p>
        </w:tc>
        <w:tc>
          <w:tcPr>
            <w:tcW w:w="60" w:type="dxa"/>
            <w:vAlign w:val="bottom"/>
            <w:gridSpan w:val="3"/>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4(jj)</w:t>
            </w:r>
          </w:p>
        </w:tc>
        <w:tc>
          <w:tcPr>
            <w:tcW w:w="83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4.400% Senior Note due 2030 (incorporated by reference to Exhibit 4.1 to Form 8-K filed March 24, 2020)</w:t>
              </w:r>
            </w:hyperlink>
          </w:p>
        </w:tc>
        <w:tc>
          <w:tcPr>
            <w:tcW w:w="1080" w:type="dxa"/>
            <w:vAlign w:val="bottom"/>
            <w:gridSpan w:val="14"/>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4(kk)</w:t>
            </w:r>
          </w:p>
        </w:tc>
        <w:tc>
          <w:tcPr>
            <w:tcW w:w="83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5.150% Senior Note due 2040 (incorporated by reference to Exhibit 4.1 to Form 8-K filed March 24, 2020)</w:t>
              </w:r>
            </w:hyperlink>
          </w:p>
        </w:tc>
        <w:tc>
          <w:tcPr>
            <w:tcW w:w="1080" w:type="dxa"/>
            <w:vAlign w:val="bottom"/>
            <w:gridSpan w:val="14"/>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4(ll)</w:t>
            </w:r>
          </w:p>
        </w:tc>
        <w:tc>
          <w:tcPr>
            <w:tcW w:w="83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5.250% Senior Note due 2050 (incorporated by reference to Exhibit 4.1 to Form 8-K filed March 24, 2020)</w:t>
              </w:r>
            </w:hyperlink>
          </w:p>
        </w:tc>
        <w:tc>
          <w:tcPr>
            <w:tcW w:w="1080" w:type="dxa"/>
            <w:vAlign w:val="bottom"/>
            <w:gridSpan w:val="14"/>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4(mm)</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Tenth Supplemental Indenture, dated as of September 2, 2021, between Northrop Grumman Corporation and The Bank of New</w:t>
              </w:r>
            </w:hyperlink>
          </w:p>
        </w:tc>
      </w:tr>
      <w:tr>
        <w:trPr>
          <w:trHeight w:val="183"/>
        </w:trPr>
        <w:tc>
          <w:tcPr>
            <w:tcW w:w="1060" w:type="dxa"/>
            <w:vAlign w:val="bottom"/>
          </w:tcPr>
          <w:p>
            <w:pPr>
              <w:spacing w:after="0"/>
              <w:rPr>
                <w:sz w:val="15"/>
                <w:szCs w:val="15"/>
                <w:color w:val="auto"/>
              </w:rPr>
            </w:pPr>
          </w:p>
        </w:tc>
        <w:tc>
          <w:tcPr>
            <w:tcW w:w="916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80" w:type="dxa"/>
            <w:vAlign w:val="bottom"/>
            <w:gridSpan w:val="6"/>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reference to Exhibit 4.1 to Form 8-K filed September 3, 2021)</w:t>
              </w:r>
            </w:hyperlink>
          </w:p>
        </w:tc>
        <w:tc>
          <w:tcPr>
            <w:tcW w:w="4420" w:type="dxa"/>
            <w:vAlign w:val="bottom"/>
            <w:tcBorders>
              <w:top w:val="single" w:sz="8" w:color="0000FF"/>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4(nn)</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7.875% Senior Note due 2026 (incorporated by reference to Exhibit A in Exhibit 4.1 to Form 8-K filed September 3,</w:t>
              </w:r>
            </w:hyperlink>
          </w:p>
        </w:tc>
      </w:tr>
      <w:tr>
        <w:trPr>
          <w:trHeight w:val="183"/>
        </w:trPr>
        <w:tc>
          <w:tcPr>
            <w:tcW w:w="10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8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4(oo)</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2026 (incorporated by reference to Exhibit B in Exhibit 4.1 to Form 8-K filed September 3,</w:t>
              </w:r>
            </w:hyperlink>
          </w:p>
        </w:tc>
      </w:tr>
      <w:tr>
        <w:trPr>
          <w:trHeight w:val="169"/>
        </w:trPr>
        <w:tc>
          <w:tcPr>
            <w:tcW w:w="10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4(pp)</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6.650% Senior Note due 2028 (incorporated by reference to Exhibit C in Exhibit 4.1 to Form 8-K filed September 3,</w:t>
              </w:r>
            </w:hyperlink>
          </w:p>
        </w:tc>
      </w:tr>
      <w:tr>
        <w:trPr>
          <w:trHeight w:val="183"/>
        </w:trPr>
        <w:tc>
          <w:tcPr>
            <w:tcW w:w="10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8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4(qq)</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2029 (incorporated by reference to Exhibit D in Exhibit 4.1 to Form 8-K filed September 3,</w:t>
              </w:r>
            </w:hyperlink>
          </w:p>
        </w:tc>
      </w:tr>
      <w:tr>
        <w:trPr>
          <w:trHeight w:val="183"/>
        </w:trPr>
        <w:tc>
          <w:tcPr>
            <w:tcW w:w="10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8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4(rr)</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2031 (incorporated by reference to Exhibit E in Exhibit 4.1 to Form 8-K filed September 3,</w:t>
              </w:r>
            </w:hyperlink>
          </w:p>
        </w:tc>
      </w:tr>
      <w:tr>
        <w:trPr>
          <w:trHeight w:val="169"/>
        </w:trPr>
        <w:tc>
          <w:tcPr>
            <w:tcW w:w="10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4(ss)</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6.980% Senior Note due 2036 (incorporated by reference to Exhibit F in Exhibit 4.1 to Form 8-K filed September 3,</w:t>
              </w:r>
            </w:hyperlink>
          </w:p>
        </w:tc>
      </w:tr>
      <w:tr>
        <w:trPr>
          <w:trHeight w:val="182"/>
        </w:trPr>
        <w:tc>
          <w:tcPr>
            <w:tcW w:w="1060" w:type="dxa"/>
            <w:vAlign w:val="bottom"/>
          </w:tcPr>
          <w:p>
            <w:pPr>
              <w:spacing w:after="0"/>
              <w:rPr>
                <w:sz w:val="15"/>
                <w:szCs w:val="15"/>
                <w:color w:val="auto"/>
              </w:rPr>
            </w:pPr>
          </w:p>
        </w:tc>
        <w:tc>
          <w:tcPr>
            <w:tcW w:w="4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2021)</w:t>
              </w:r>
            </w:hyperlink>
          </w:p>
        </w:tc>
        <w:tc>
          <w:tcPr>
            <w:tcW w:w="86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8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4(tt)</w:t>
            </w:r>
          </w:p>
        </w:tc>
        <w:tc>
          <w:tcPr>
            <w:tcW w:w="9440" w:type="dxa"/>
            <w:vAlign w:val="bottom"/>
            <w:gridSpan w:val="2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Description of Securities (incorporated by reference to Exhibit 4(ll) to Form 10-K for the year ended December 31, 2019, filed</w:t>
              </w:r>
            </w:hyperlink>
          </w:p>
        </w:tc>
      </w:tr>
      <w:tr>
        <w:trPr>
          <w:trHeight w:val="169"/>
        </w:trPr>
        <w:tc>
          <w:tcPr>
            <w:tcW w:w="106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January 30, 2020)</w:t>
              </w:r>
            </w:hyperlink>
          </w:p>
        </w:tc>
        <w:tc>
          <w:tcPr>
            <w:tcW w:w="2060" w:type="dxa"/>
            <w:vAlign w:val="bottom"/>
            <w:tcBorders>
              <w:top w:val="single" w:sz="8" w:color="0000FF"/>
            </w:tcBorders>
          </w:tcPr>
          <w:p>
            <w:pPr>
              <w:spacing w:after="0"/>
              <w:rPr>
                <w:sz w:val="14"/>
                <w:szCs w:val="14"/>
                <w:color w:val="auto"/>
              </w:rPr>
            </w:pPr>
          </w:p>
        </w:tc>
        <w:tc>
          <w:tcPr>
            <w:tcW w:w="5760" w:type="dxa"/>
            <w:vAlign w:val="bottom"/>
            <w:tcBorders>
              <w:top w:val="single" w:sz="8" w:color="0000FF"/>
            </w:tcBorders>
            <w:gridSpan w:val="10"/>
          </w:tcPr>
          <w:p>
            <w:pPr>
              <w:spacing w:after="0"/>
              <w:rPr>
                <w:sz w:val="14"/>
                <w:szCs w:val="14"/>
                <w:color w:val="auto"/>
              </w:rPr>
            </w:pPr>
          </w:p>
        </w:tc>
        <w:tc>
          <w:tcPr>
            <w:tcW w:w="320" w:type="dxa"/>
            <w:vAlign w:val="bottom"/>
            <w:gridSpan w:val="8"/>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4(uu)</w:t>
            </w:r>
          </w:p>
        </w:tc>
        <w:tc>
          <w:tcPr>
            <w:tcW w:w="9400" w:type="dxa"/>
            <w:vAlign w:val="bottom"/>
            <w:gridSpan w:val="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Eleventh Supplemental Indenture, dated as of February 8, 2023, between Northrop Grumman Corporation and The Bank of New</w:t>
              </w:r>
            </w:hyperlink>
          </w:p>
        </w:tc>
      </w:tr>
      <w:tr>
        <w:trPr>
          <w:trHeight w:val="155"/>
        </w:trPr>
        <w:tc>
          <w:tcPr>
            <w:tcW w:w="1060" w:type="dxa"/>
            <w:vAlign w:val="bottom"/>
          </w:tcPr>
          <w:p>
            <w:pPr>
              <w:spacing w:after="0"/>
              <w:rPr>
                <w:sz w:val="13"/>
                <w:szCs w:val="13"/>
                <w:color w:val="auto"/>
              </w:rPr>
            </w:pPr>
          </w:p>
        </w:tc>
        <w:tc>
          <w:tcPr>
            <w:tcW w:w="92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1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reference to Exhibit 4.1 to Form 8-K filed February 8, 2023)</w:t>
              </w:r>
            </w:hyperlink>
          </w:p>
        </w:tc>
        <w:tc>
          <w:tcPr>
            <w:tcW w:w="45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4(vv)</w:t>
            </w:r>
          </w:p>
        </w:tc>
        <w:tc>
          <w:tcPr>
            <w:tcW w:w="12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4.700%</w:t>
              </w:r>
            </w:hyperlink>
          </w:p>
        </w:tc>
        <w:tc>
          <w:tcPr>
            <w:tcW w:w="1620" w:type="dxa"/>
            <w:vAlign w:val="bottom"/>
            <w:tcBorders>
              <w:bottom w:val="single" w:sz="8" w:color="0000FF"/>
            </w:tcBorders>
          </w:tcPr>
          <w:p>
            <w:pPr>
              <w:ind w:left="4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Senior Note due 2033</w:t>
              </w:r>
            </w:hyperlink>
          </w:p>
        </w:tc>
        <w:tc>
          <w:tcPr>
            <w:tcW w:w="658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(incorporated by reference to Exhibit A included in Exhibit 4.1 to Form 8-K filed February</w:t>
              </w:r>
            </w:hyperlink>
          </w:p>
        </w:tc>
      </w:tr>
      <w:tr>
        <w:trPr>
          <w:trHeight w:val="183"/>
        </w:trPr>
        <w:tc>
          <w:tcPr>
            <w:tcW w:w="1060" w:type="dxa"/>
            <w:vAlign w:val="bottom"/>
          </w:tcPr>
          <w:p>
            <w:pPr>
              <w:spacing w:after="0"/>
              <w:rPr>
                <w:sz w:val="15"/>
                <w:szCs w:val="15"/>
                <w:color w:val="auto"/>
              </w:rPr>
            </w:pPr>
          </w:p>
        </w:tc>
        <w:tc>
          <w:tcPr>
            <w:tcW w:w="60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8, 2023)</w:t>
              </w:r>
            </w:hyperlink>
          </w:p>
        </w:tc>
        <w:tc>
          <w:tcPr>
            <w:tcW w:w="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w:t>
            </w:r>
          </w:p>
        </w:tc>
        <w:tc>
          <w:tcPr>
            <w:tcW w:w="12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4.950%</w:t>
              </w:r>
            </w:hyperlink>
          </w:p>
        </w:tc>
        <w:tc>
          <w:tcPr>
            <w:tcW w:w="1620" w:type="dxa"/>
            <w:vAlign w:val="bottom"/>
            <w:tcBorders>
              <w:bottom w:val="single" w:sz="8" w:color="0000FF"/>
            </w:tcBorders>
          </w:tcPr>
          <w:p>
            <w:pPr>
              <w:ind w:left="4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Senior Note due 2053</w:t>
              </w:r>
            </w:hyperlink>
          </w:p>
        </w:tc>
        <w:tc>
          <w:tcPr>
            <w:tcW w:w="658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(incorporated by reference to Exhibit B included in Exhibit 4.1 to Form 8-K filed February</w:t>
              </w:r>
            </w:hyperlink>
          </w:p>
        </w:tc>
      </w:tr>
      <w:tr>
        <w:trPr>
          <w:trHeight w:val="183"/>
        </w:trPr>
        <w:tc>
          <w:tcPr>
            <w:tcW w:w="1060" w:type="dxa"/>
            <w:vAlign w:val="bottom"/>
          </w:tcPr>
          <w:p>
            <w:pPr>
              <w:spacing w:after="0"/>
              <w:rPr>
                <w:sz w:val="15"/>
                <w:szCs w:val="15"/>
                <w:color w:val="auto"/>
              </w:rPr>
            </w:pPr>
          </w:p>
        </w:tc>
        <w:tc>
          <w:tcPr>
            <w:tcW w:w="60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8, 2023)</w:t>
              </w:r>
            </w:hyperlink>
          </w:p>
        </w:tc>
        <w:tc>
          <w:tcPr>
            <w:tcW w:w="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4(xx)</w:t>
            </w:r>
          </w:p>
        </w:tc>
        <w:tc>
          <w:tcPr>
            <w:tcW w:w="9400" w:type="dxa"/>
            <w:vAlign w:val="bottom"/>
            <w:gridSpan w:val="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Twelfth Supplemental Indenture, dated as of January 31, 2024, between Northrop Grumman Corporation and The Bank of New</w:t>
              </w:r>
            </w:hyperlink>
          </w:p>
        </w:tc>
      </w:tr>
      <w:tr>
        <w:trPr>
          <w:trHeight w:val="183"/>
        </w:trPr>
        <w:tc>
          <w:tcPr>
            <w:tcW w:w="10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York Mellon, as successor to JPMorgan Chase Bank, Trustee, to Indenture dated as of November 21, 2001 (incorporated by</w:t>
              </w:r>
            </w:hyperlink>
          </w:p>
        </w:tc>
        <w:tc>
          <w:tcPr>
            <w:tcW w:w="280" w:type="dxa"/>
            <w:vAlign w:val="bottom"/>
            <w:tcBorders>
              <w:top w:val="single" w:sz="8" w:color="0000FF"/>
            </w:tcBorders>
          </w:tcPr>
          <w:p>
            <w:pPr>
              <w:spacing w:after="0"/>
              <w:rPr>
                <w:sz w:val="15"/>
                <w:szCs w:val="15"/>
                <w:color w:val="auto"/>
              </w:rPr>
            </w:pPr>
          </w:p>
        </w:tc>
        <w:tc>
          <w:tcPr>
            <w:tcW w:w="200" w:type="dxa"/>
            <w:vAlign w:val="bottom"/>
            <w:gridSpan w:val="2"/>
          </w:tcPr>
          <w:p>
            <w:pPr>
              <w:spacing w:after="0"/>
              <w:rPr>
                <w:sz w:val="15"/>
                <w:szCs w:val="15"/>
                <w:color w:val="auto"/>
              </w:rPr>
            </w:pPr>
          </w:p>
        </w:tc>
      </w:tr>
    </w:tbl>
    <w:p>
      <w:pPr>
        <w:ind w:left="178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reference to Exhibit 4.1 to Form 8-K filed January 31, 2024)</w:t>
        </w:r>
      </w:hyperlink>
    </w:p>
    <w:p>
      <w:pPr>
        <w:spacing w:after="0" w:line="15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4(yy)</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4.600% Senior Note due 2029 (incorporated by reference to Exhibit A included in Exhibit 4.1 to Form 8-K filed January</w:t>
              </w:r>
            </w:hyperlink>
          </w:p>
        </w:tc>
      </w:tr>
      <w:tr>
        <w:trPr>
          <w:trHeight w:val="183"/>
        </w:trPr>
        <w:tc>
          <w:tcPr>
            <w:tcW w:w="1060" w:type="dxa"/>
            <w:vAlign w:val="bottom"/>
          </w:tcPr>
          <w:p>
            <w:pPr>
              <w:spacing w:after="0"/>
              <w:rPr>
                <w:sz w:val="15"/>
                <w:szCs w:val="15"/>
                <w:color w:val="auto"/>
              </w:rPr>
            </w:pPr>
          </w:p>
        </w:tc>
        <w:tc>
          <w:tcPr>
            <w:tcW w:w="7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31, 2024)</w:t>
              </w:r>
            </w:hyperlink>
          </w:p>
        </w:tc>
        <w:tc>
          <w:tcPr>
            <w:tcW w:w="72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4(zz)</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4.900% Senior Note due 2034 (incorporated by reference to Exhibit B included in Exhibit 4.1 to Form 8-K filed January</w:t>
              </w:r>
            </w:hyperlink>
          </w:p>
        </w:tc>
      </w:tr>
      <w:tr>
        <w:trPr>
          <w:trHeight w:val="183"/>
        </w:trPr>
        <w:tc>
          <w:tcPr>
            <w:tcW w:w="1060" w:type="dxa"/>
            <w:vAlign w:val="bottom"/>
          </w:tcPr>
          <w:p>
            <w:pPr>
              <w:spacing w:after="0"/>
              <w:rPr>
                <w:sz w:val="15"/>
                <w:szCs w:val="15"/>
                <w:color w:val="auto"/>
              </w:rPr>
            </w:pPr>
          </w:p>
        </w:tc>
        <w:tc>
          <w:tcPr>
            <w:tcW w:w="7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31, 2024)</w:t>
              </w:r>
            </w:hyperlink>
          </w:p>
        </w:tc>
        <w:tc>
          <w:tcPr>
            <w:tcW w:w="72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4(aaa)</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5.200% Senior Note due 2054 (incorporated by reference to Exhibit C included in Exhibit 4.1 to Form 8-K filed January</w:t>
              </w:r>
            </w:hyperlink>
          </w:p>
        </w:tc>
      </w:tr>
      <w:tr>
        <w:trPr>
          <w:trHeight w:val="183"/>
        </w:trPr>
        <w:tc>
          <w:tcPr>
            <w:tcW w:w="1060" w:type="dxa"/>
            <w:vAlign w:val="bottom"/>
          </w:tcPr>
          <w:p>
            <w:pPr>
              <w:spacing w:after="0"/>
              <w:rPr>
                <w:sz w:val="15"/>
                <w:szCs w:val="15"/>
                <w:color w:val="auto"/>
              </w:rPr>
            </w:pPr>
          </w:p>
        </w:tc>
        <w:tc>
          <w:tcPr>
            <w:tcW w:w="7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31, 2024)</w:t>
              </w:r>
            </w:hyperlink>
          </w:p>
        </w:tc>
        <w:tc>
          <w:tcPr>
            <w:tcW w:w="72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4(bbb)</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Thirteenth Supplemental Indenture, dated as of May 29, 2025,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4.1 to Form 8-K filed May 29, 2025)</w:t>
              </w:r>
            </w:hyperlink>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4(ccc)</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4.650% Senior Note due 2030 (incorporated by reference to Exhibit A included in Exhibit 4.2 to Form 8-K filed May 29,</w:t>
              </w:r>
            </w:hyperlink>
          </w:p>
        </w:tc>
      </w:tr>
      <w:tr>
        <w:trPr>
          <w:trHeight w:val="156"/>
        </w:trPr>
        <w:tc>
          <w:tcPr>
            <w:tcW w:w="10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46">
              <w:r>
                <w:rPr>
                  <w:rFonts w:ascii="Times New Roman" w:cs="Times New Roman" w:eastAsia="Times New Roman" w:hAnsi="Times New Roman"/>
                  <w:sz w:val="18"/>
                  <w:szCs w:val="18"/>
                  <w:color w:val="0000FF"/>
                  <w:w w:val="95"/>
                </w:rPr>
                <w:t>2025)</w:t>
              </w:r>
            </w:hyperlink>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4(ddd)</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5.250% Senior Note due 2035 (incorporated by reference to Exhibit B included in Exhibit 4.3 to Form 8-K filed May 29,</w:t>
              </w:r>
            </w:hyperlink>
          </w:p>
        </w:tc>
      </w:tr>
      <w:tr>
        <w:trPr>
          <w:trHeight w:val="155"/>
        </w:trPr>
        <w:tc>
          <w:tcPr>
            <w:tcW w:w="106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2025)</w:t>
              </w:r>
            </w:hyperlink>
          </w:p>
        </w:tc>
        <w:tc>
          <w:tcPr>
            <w:tcW w:w="2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Credit Agreement, dated as of September 2, 2025, among Northrop Grumman Corporation, as Borrower; the lenders party thereto</w:t>
              </w:r>
            </w:hyperlink>
          </w:p>
        </w:tc>
      </w:tr>
      <w:tr>
        <w:trPr>
          <w:trHeight w:val="155"/>
        </w:trPr>
        <w:tc>
          <w:tcPr>
            <w:tcW w:w="106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and JPMorgan Chase Bank, N.A., as Administrative Agent (incorporated by reference to Exhibit 10.1 to Form 8-K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September 2, 2025)</w:t>
              </w:r>
            </w:hyperlink>
          </w:p>
        </w:tc>
        <w:tc>
          <w:tcPr>
            <w:tcW w:w="7220" w:type="dxa"/>
            <w:vAlign w:val="bottom"/>
            <w:tcBorders>
              <w:top w:val="single" w:sz="8" w:color="0000FF"/>
            </w:tcBorders>
            <w:gridSpan w:val="6"/>
          </w:tcPr>
          <w:p>
            <w:pPr>
              <w:spacing w:after="0"/>
              <w:rPr>
                <w:sz w:val="13"/>
                <w:szCs w:val="13"/>
                <w:color w:val="auto"/>
              </w:rPr>
            </w:pPr>
          </w:p>
        </w:tc>
        <w:tc>
          <w:tcPr>
            <w:tcW w:w="4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Guarantee dated as of April 3, 2001, by Northrop Grumman Corporation of the indenture indebtedness issued by Litton</w:t>
              </w:r>
            </w:hyperlink>
          </w:p>
        </w:tc>
      </w:tr>
      <w:tr>
        <w:trPr>
          <w:trHeight w:val="169"/>
        </w:trPr>
        <w:tc>
          <w:tcPr>
            <w:tcW w:w="106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Industries, Inc. (predecessor-in-interest to Northrop Grumman Systems Corporation) (incorporated by reference to Exhibit 10.10</w:t>
              </w:r>
            </w:hyperlink>
          </w:p>
        </w:tc>
        <w:tc>
          <w:tcPr>
            <w:tcW w:w="20" w:type="dxa"/>
            <w:vAlign w:val="bottom"/>
            <w:tcBorders>
              <w:bottom w:val="single" w:sz="8" w:color="0000FF"/>
            </w:tcBorders>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244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to Form 8-K filed April 17, 2001)</w:t>
              </w:r>
            </w:hyperlink>
          </w:p>
        </w:tc>
        <w:tc>
          <w:tcPr>
            <w:tcW w:w="6820" w:type="dxa"/>
            <w:vAlign w:val="bottom"/>
            <w:gridSpan w:val="1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Guarantee dated as of April 3, 2001, by Northrop Grumman Corporation of Northrop Grumman Systems Corporation</w:t>
              </w:r>
            </w:hyperlink>
          </w:p>
        </w:tc>
      </w:tr>
      <w:tr>
        <w:trPr>
          <w:trHeight w:val="155"/>
        </w:trPr>
        <w:tc>
          <w:tcPr>
            <w:tcW w:w="106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indenture indebtedness (incorporated by reference to Exhibit 10.11 to Form 8-K and filed April 17, 2001)</w:t>
              </w:r>
            </w:hyperlink>
          </w:p>
        </w:tc>
        <w:tc>
          <w:tcPr>
            <w:tcW w:w="15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Guarantee dated as of March 27, 2003, by Northrop Grumman Corporation, as Guarantor, in favor of JP Morgan Chase</w:t>
              </w:r>
            </w:hyperlink>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Bank, as trustee, of certain debt securities issued by the former Northrop Grumman Space &amp; Mission Systems Corp. (predecessor</w:t>
              </w:r>
            </w:hyperlink>
          </w:p>
        </w:tc>
        <w:tc>
          <w:tcPr>
            <w:tcW w:w="200" w:type="dxa"/>
            <w:vAlign w:val="bottom"/>
            <w:gridSpan w:val="9"/>
          </w:tcPr>
          <w:p>
            <w:pPr>
              <w:jc w:val="right"/>
              <w:ind w:right="40"/>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w:t>
              </w:r>
            </w:hyperlink>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in-interest to Northrop Grumman Systems Corporation) (incorporated by reference to Exhibit 4.2 to Form 10-Q for the quarter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1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ended March 31, 2003, filed May 14, 2003)</w:t>
              </w:r>
            </w:hyperlink>
          </w:p>
        </w:tc>
        <w:tc>
          <w:tcPr>
            <w:tcW w:w="26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260" w:type="dxa"/>
            <w:vAlign w:val="bottom"/>
          </w:tcPr>
          <w:p>
            <w:pPr>
              <w:spacing w:after="0"/>
              <w:rPr>
                <w:sz w:val="24"/>
                <w:szCs w:val="24"/>
                <w:color w:val="auto"/>
              </w:rPr>
            </w:pPr>
          </w:p>
        </w:tc>
        <w:tc>
          <w:tcPr>
            <w:tcW w:w="8740" w:type="dxa"/>
            <w:vAlign w:val="bottom"/>
            <w:gridSpan w:val="22"/>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First Amendment to Guarantee, dated as of August 25, 2021, to the Guarantee dated as of March 27, 2003, by and among</w:t>
              </w:r>
            </w:hyperlink>
          </w:p>
        </w:tc>
      </w:tr>
      <w:tr>
        <w:trPr>
          <w:trHeight w:val="169"/>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Northrop Grumman Systems Corporation, Northrop Grumman Corporation and The Bank of New York Mellon, as trustee</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720" w:type="dxa"/>
            <w:vAlign w:val="bottom"/>
            <w:gridSpan w:val="21"/>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 to Form 8-K filed August 27, 2021)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61" w:lineRule="exact"/>
        <w:rPr>
          <w:sz w:val="20"/>
          <w:szCs w:val="20"/>
          <w:color w:val="auto"/>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+10(e)</w:t>
      </w:r>
      <w:r>
        <w:rPr>
          <w:sz w:val="20"/>
          <w:szCs w:val="20"/>
          <w:color w:val="auto"/>
        </w:rPr>
        <w:tab/>
      </w:r>
      <w:hyperlink r:id="rId153">
        <w:r>
          <w:rPr>
            <w:rFonts w:ascii="Times New Roman" w:cs="Times New Roman" w:eastAsia="Times New Roman" w:hAnsi="Times New Roman"/>
            <w:sz w:val="17"/>
            <w:szCs w:val="17"/>
            <w:u w:val="single" w:color="auto"/>
            <w:color w:val="0000FF"/>
          </w:rPr>
          <w:t>Northrop Grumman Corporation 1993 Stock Plan for Non-Employee Directors (as Amended and Restated January 1, 2010)</w:t>
        </w:r>
      </w:hyperlink>
    </w:p>
    <w:p>
      <w:pPr>
        <w:ind w:left="178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(incorporated by reference to Exhibit 10.1 to Form 10-Q for the quarter ended June 30, 2009, filed July 23, 2009)</w:t>
        </w:r>
      </w:hyperlink>
    </w:p>
    <w:p>
      <w:pPr>
        <w:spacing w:after="0" w:line="138" w:lineRule="exact"/>
        <w:rPr>
          <w:sz w:val="20"/>
          <w:szCs w:val="20"/>
          <w:color w:val="auto"/>
        </w:rPr>
      </w:pPr>
    </w:p>
    <w:p>
      <w:pPr>
        <w:ind w:left="1780" w:right="14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+10(f)</w:t>
      </w:r>
      <w:r>
        <w:rPr>
          <w:sz w:val="20"/>
          <w:szCs w:val="20"/>
          <w:color w:val="auto"/>
        </w:rPr>
        <w:tab/>
      </w:r>
      <w:hyperlink r:id="rId154">
        <w:r>
          <w:rPr>
            <w:rFonts w:ascii="Times New Roman" w:cs="Times New Roman" w:eastAsia="Times New Roman" w:hAnsi="Times New Roman"/>
            <w:sz w:val="18"/>
            <w:szCs w:val="18"/>
            <w:u w:val="single" w:color="auto"/>
            <w:color w:val="0000FF"/>
          </w:rPr>
          <w:t>Amended and Restated 2011 Long-Term Incentive Stock Plan (as amended and restated effective as of May 20, 2015)</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by reference to Appendix B to the Company’s Proxy Statement on Schedule 14A for the 2015 Annual Meeting of</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Shareholders filed April 6, 2015)</w:t>
        </w:r>
      </w:hyperlink>
    </w:p>
    <w:p>
      <w:pPr>
        <w:spacing w:after="0" w:line="117" w:lineRule="exact"/>
        <w:rPr>
          <w:rFonts w:ascii="Times New Roman" w:cs="Times New Roman" w:eastAsia="Times New Roman" w:hAnsi="Times New Roman"/>
          <w:sz w:val="18"/>
          <w:szCs w:val="18"/>
          <w:u w:val="single" w:color="auto"/>
          <w:color w:val="0000FF"/>
        </w:rPr>
      </w:pPr>
    </w:p>
    <w:p>
      <w:pPr>
        <w:ind w:left="2420" w:hanging="639"/>
        <w:spacing w:after="0" w:line="231" w:lineRule="auto"/>
        <w:tabs>
          <w:tab w:leader="none" w:pos="2420" w:val="left"/>
        </w:tabs>
        <w:numPr>
          <w:ilvl w:val="0"/>
          <w:numId w:val="37"/>
        </w:numPr>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2011</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Long-Term Incentive Stock Plan, Amended and Restated Effective as of January 1, 2016 (incorporated by reference to</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Exhibit 10.1 to Form 10-Q for the quarter ended September 30, 2015, filed October 28, 2015)</w:t>
        </w:r>
      </w:hyperlink>
    </w:p>
    <w:p>
      <w:pPr>
        <w:spacing w:after="0" w:line="360" w:lineRule="exact"/>
        <w:rPr>
          <w:rFonts w:ascii="Times New Roman" w:cs="Times New Roman" w:eastAsia="Times New Roman" w:hAnsi="Times New Roman"/>
          <w:sz w:val="18"/>
          <w:szCs w:val="18"/>
          <w:u w:val="single" w:color="auto"/>
          <w:color w:val="0000FF"/>
        </w:rPr>
      </w:pPr>
    </w:p>
    <w:p>
      <w:pPr>
        <w:ind w:left="2420" w:right="100" w:hanging="639"/>
        <w:spacing w:after="0" w:line="237" w:lineRule="auto"/>
        <w:tabs>
          <w:tab w:leader="none" w:pos="2420" w:val="left"/>
        </w:tabs>
        <w:numPr>
          <w:ilvl w:val="0"/>
          <w:numId w:val="37"/>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2022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reference to Exhibit 10.2 to Form 10-Q for the quarter ended March 31, 2022, filed April 28, 2022)</w:t>
        </w:r>
      </w:hyperlink>
    </w:p>
    <w:p>
      <w:pPr>
        <w:spacing w:after="0" w:line="131" w:lineRule="exact"/>
        <w:rPr>
          <w:rFonts w:ascii="Times New Roman" w:cs="Times New Roman" w:eastAsia="Times New Roman" w:hAnsi="Times New Roman"/>
          <w:sz w:val="18"/>
          <w:szCs w:val="18"/>
          <w:u w:val="single" w:color="auto"/>
          <w:color w:val="0000FF"/>
        </w:rPr>
      </w:pPr>
    </w:p>
    <w:p>
      <w:pPr>
        <w:ind w:left="2420" w:right="160" w:hanging="639"/>
        <w:spacing w:after="0" w:line="263" w:lineRule="auto"/>
        <w:tabs>
          <w:tab w:leader="none" w:pos="2420" w:val="left"/>
        </w:tabs>
        <w:numPr>
          <w:ilvl w:val="0"/>
          <w:numId w:val="37"/>
        </w:numPr>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2022 Restricted Performance Stock Rights Grant Agreement Granted Under the 2011 Long-Term Incentive Stock Plan</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(incorporated by reference to Exhibit 10.3 to Form 10-Q for the quarter ended March 31, 2022, filed April 28, 2022)</w:t>
        </w:r>
      </w:hyperlink>
    </w:p>
    <w:p>
      <w:pPr>
        <w:spacing w:after="0" w:line="98" w:lineRule="exact"/>
        <w:rPr>
          <w:rFonts w:ascii="Times New Roman" w:cs="Times New Roman" w:eastAsia="Times New Roman" w:hAnsi="Times New Roman"/>
          <w:sz w:val="17"/>
          <w:szCs w:val="17"/>
          <w:u w:val="single" w:color="auto"/>
          <w:color w:val="0000FF"/>
        </w:rPr>
      </w:pPr>
    </w:p>
    <w:p>
      <w:pPr>
        <w:ind w:left="2420" w:right="100" w:hanging="639"/>
        <w:spacing w:after="0" w:line="250" w:lineRule="auto"/>
        <w:tabs>
          <w:tab w:leader="none" w:pos="2420" w:val="left"/>
        </w:tabs>
        <w:numPr>
          <w:ilvl w:val="0"/>
          <w:numId w:val="37"/>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2023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by reference to Exhibit 10.1 to Form 10-Q for the quarter ended March 31, 2023, filed April 26, 2023)</w:t>
        </w:r>
      </w:hyperlink>
    </w:p>
    <w:p>
      <w:pPr>
        <w:spacing w:after="0" w:line="108" w:lineRule="exact"/>
        <w:rPr>
          <w:rFonts w:ascii="Times New Roman" w:cs="Times New Roman" w:eastAsia="Times New Roman" w:hAnsi="Times New Roman"/>
          <w:sz w:val="18"/>
          <w:szCs w:val="18"/>
          <w:u w:val="single" w:color="auto"/>
          <w:color w:val="0000FF"/>
        </w:rPr>
      </w:pPr>
    </w:p>
    <w:p>
      <w:pPr>
        <w:ind w:left="2420" w:right="160" w:hanging="639"/>
        <w:spacing w:after="0" w:line="263" w:lineRule="auto"/>
        <w:tabs>
          <w:tab w:leader="none" w:pos="2420" w:val="left"/>
        </w:tabs>
        <w:numPr>
          <w:ilvl w:val="0"/>
          <w:numId w:val="37"/>
        </w:numPr>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2023 Restricted Performance Stock Rights Grant Agreement Granted Under the 2011 Long-Term Incentive Stock Plan</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(incorporated by reference to Exhibit 10.2 to Form 10-Q for the quarter ended March 31, 2023, filed April 26, 2023)</w:t>
        </w:r>
      </w:hyperlink>
    </w:p>
    <w:p>
      <w:pPr>
        <w:spacing w:after="0" w:line="111" w:lineRule="exact"/>
        <w:rPr>
          <w:rFonts w:ascii="Times New Roman" w:cs="Times New Roman" w:eastAsia="Times New Roman" w:hAnsi="Times New Roman"/>
          <w:sz w:val="17"/>
          <w:szCs w:val="17"/>
          <w:u w:val="single" w:color="auto"/>
          <w:color w:val="0000FF"/>
        </w:rPr>
      </w:pPr>
    </w:p>
    <w:p>
      <w:pPr>
        <w:ind w:left="2420" w:right="40" w:hanging="639"/>
        <w:spacing w:after="0" w:line="226" w:lineRule="auto"/>
        <w:tabs>
          <w:tab w:leader="none" w:pos="2420" w:val="left"/>
        </w:tabs>
        <w:numPr>
          <w:ilvl w:val="0"/>
          <w:numId w:val="37"/>
        </w:numPr>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Special 2023 Restricted Stock Rights Grant Agreement Granted to Roshan Roeder Under the 2011 Long-Term Incentive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Stock Plan (incorporated by reference to Exhibit 10(f)(viii) to Form 10-K for the year ended December 31, 2023, filed</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January 25, 2024)</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00" w:hanging="639"/>
        <w:spacing w:after="0" w:line="250" w:lineRule="auto"/>
        <w:tabs>
          <w:tab w:leader="none" w:pos="2420" w:val="left"/>
        </w:tabs>
        <w:numPr>
          <w:ilvl w:val="0"/>
          <w:numId w:val="37"/>
        </w:numPr>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2024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by reference to Exhibit 10.1 to Form 10-Q for the quarter ended March 31, 2024, filed April 25, 2024)</w:t>
        </w:r>
      </w:hyperlink>
    </w:p>
    <w:p>
      <w:pPr>
        <w:spacing w:after="0" w:line="108" w:lineRule="exact"/>
        <w:rPr>
          <w:rFonts w:ascii="Times New Roman" w:cs="Times New Roman" w:eastAsia="Times New Roman" w:hAnsi="Times New Roman"/>
          <w:sz w:val="18"/>
          <w:szCs w:val="18"/>
          <w:u w:val="single" w:color="auto"/>
          <w:color w:val="0000FF"/>
        </w:rPr>
      </w:pPr>
    </w:p>
    <w:p>
      <w:pPr>
        <w:ind w:left="2420" w:right="160" w:hanging="639"/>
        <w:spacing w:after="0" w:line="263" w:lineRule="auto"/>
        <w:tabs>
          <w:tab w:leader="none" w:pos="2420" w:val="left"/>
        </w:tabs>
        <w:numPr>
          <w:ilvl w:val="0"/>
          <w:numId w:val="37"/>
        </w:numPr>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2024 Restricted Performance Stock Rights Grant Agreement Granted Under the 2011 Long-Term Incentive Stock Plan</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(incorporated by reference to Exhibit 10.2 to Form 10-Q for the quarter ended March 31, 2024, filed April 25, 2024)</w:t>
        </w:r>
      </w:hyperlink>
    </w:p>
    <w:p>
      <w:pPr>
        <w:spacing w:after="0" w:line="112" w:lineRule="exact"/>
        <w:rPr>
          <w:rFonts w:ascii="Times New Roman" w:cs="Times New Roman" w:eastAsia="Times New Roman" w:hAnsi="Times New Roman"/>
          <w:sz w:val="17"/>
          <w:szCs w:val="17"/>
          <w:color w:val="auto"/>
        </w:rPr>
      </w:pPr>
    </w:p>
    <w:p>
      <w:pPr>
        <w:ind w:left="1780" w:right="6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+10(g)</w:t>
      </w:r>
      <w:r>
        <w:rPr>
          <w:sz w:val="20"/>
          <w:szCs w:val="20"/>
          <w:color w:val="auto"/>
        </w:rPr>
        <w:tab/>
      </w:r>
      <w:hyperlink r:id="rId162">
        <w:r>
          <w:rPr>
            <w:rFonts w:ascii="Times New Roman" w:cs="Times New Roman" w:eastAsia="Times New Roman" w:hAnsi="Times New Roman"/>
            <w:sz w:val="18"/>
            <w:szCs w:val="18"/>
            <w:u w:val="single" w:color="auto"/>
            <w:color w:val="0000FF"/>
          </w:rPr>
          <w:t>Northrop Grumman 2011 Long-Term Incentive Stock Plan (as Amended Through December 4, 2014) (incorporated by reference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to Exhibit 10(h) to Form 10-K for the year ended December 31, 2014, filed February 2, 2015)</w:t>
        </w:r>
      </w:hyperlink>
    </w:p>
    <w:p>
      <w:pPr>
        <w:spacing w:after="0" w:line="212" w:lineRule="exact"/>
        <w:rPr>
          <w:sz w:val="20"/>
          <w:szCs w:val="20"/>
          <w:color w:val="auto"/>
        </w:rPr>
      </w:pPr>
    </w:p>
    <w:p>
      <w:pPr>
        <w:ind w:left="2420" w:hanging="639"/>
        <w:spacing w:after="0" w:line="183" w:lineRule="auto"/>
        <w:tabs>
          <w:tab w:leader="none" w:pos="2420" w:val="left"/>
        </w:tabs>
        <w:numPr>
          <w:ilvl w:val="0"/>
          <w:numId w:val="38"/>
        </w:numPr>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Summary of Non-Employee Director Award Terms Under the 2011 Long-Term Incentive Stock Plan effective December</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21, 2011 (incorporated by reference to Exhibit 10(j)(ii) to Form 10-K for the year ended December 31, 2011, filed</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February 8, 2012)</w:t>
        </w:r>
      </w:hyperlink>
    </w:p>
    <w:p>
      <w:pPr>
        <w:spacing w:after="0" w:line="119" w:lineRule="exact"/>
        <w:rPr>
          <w:rFonts w:ascii="Times New Roman" w:cs="Times New Roman" w:eastAsia="Times New Roman" w:hAnsi="Times New Roman"/>
          <w:sz w:val="17"/>
          <w:szCs w:val="17"/>
          <w:u w:val="single" w:color="auto"/>
          <w:color w:val="0000FF"/>
        </w:rPr>
      </w:pPr>
    </w:p>
    <w:p>
      <w:pPr>
        <w:jc w:val="both"/>
        <w:ind w:left="2420" w:hanging="639"/>
        <w:spacing w:after="0" w:line="231" w:lineRule="auto"/>
        <w:tabs>
          <w:tab w:leader="none" w:pos="2420" w:val="left"/>
        </w:tabs>
        <w:numPr>
          <w:ilvl w:val="0"/>
          <w:numId w:val="38"/>
        </w:numPr>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2011</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Long-Term Incentive Stock Plan, Amended and Restated Effective January 1, 2015 (incorporated by reference to Exhibit</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10(h)(ii) to Form 10-K for the year ended December 31, 2014, filed February 2, 2015)</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3"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p>
      <w:pPr>
        <w:ind w:left="1780" w:right="16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+10(h)</w:t>
      </w:r>
      <w:r>
        <w:rPr>
          <w:sz w:val="20"/>
          <w:szCs w:val="20"/>
          <w:color w:val="auto"/>
        </w:rPr>
        <w:tab/>
      </w:r>
      <w:hyperlink r:id="rId166">
        <w:r>
          <w:rPr>
            <w:rFonts w:ascii="Times New Roman" w:cs="Times New Roman" w:eastAsia="Times New Roman" w:hAnsi="Times New Roman"/>
            <w:sz w:val="18"/>
            <w:szCs w:val="18"/>
            <w:u w:val="single" w:color="auto"/>
            <w:color w:val="0000FF"/>
          </w:rPr>
          <w:t>Northrop Grumman 2024 Long-Term Incentive Stock Plan (incorporated by reference to Exhibit 10.1 to Form 8-K filed May 16,</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2024)</w:t>
        </w:r>
      </w:hyperlink>
    </w:p>
    <w:p>
      <w:pPr>
        <w:spacing w:after="0" w:line="131" w:lineRule="exact"/>
        <w:rPr>
          <w:sz w:val="20"/>
          <w:szCs w:val="20"/>
          <w:color w:val="auto"/>
        </w:rPr>
      </w:pPr>
    </w:p>
    <w:p>
      <w:pPr>
        <w:ind w:left="2420" w:right="100" w:hanging="639"/>
        <w:spacing w:after="0" w:line="226" w:lineRule="auto"/>
        <w:tabs>
          <w:tab w:leader="none" w:pos="2420" w:val="left"/>
        </w:tabs>
        <w:numPr>
          <w:ilvl w:val="0"/>
          <w:numId w:val="39"/>
        </w:numPr>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2024</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Long-Term Incentive Stock Plan, Amended and Restated effective May 15, 2024 (incorporated by reference to Exhibit</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10.2 to Form 10-Q for the quarter ended June 30, 2024, filed July 25, 2024)</w:t>
        </w:r>
      </w:hyperlink>
    </w:p>
    <w:p>
      <w:pPr>
        <w:spacing w:after="0" w:line="9" w:lineRule="exact"/>
        <w:rPr>
          <w:rFonts w:ascii="Times New Roman" w:cs="Times New Roman" w:eastAsia="Times New Roman" w:hAnsi="Times New Roman"/>
          <w:sz w:val="18"/>
          <w:szCs w:val="18"/>
          <w:u w:val="single" w:color="auto"/>
          <w:color w:val="0000FF"/>
        </w:rPr>
      </w:pPr>
    </w:p>
    <w:p>
      <w:pPr>
        <w:ind w:left="2420" w:right="200" w:hanging="639"/>
        <w:spacing w:after="0" w:line="237" w:lineRule="auto"/>
        <w:tabs>
          <w:tab w:leader="none" w:pos="2420" w:val="left"/>
        </w:tabs>
        <w:numPr>
          <w:ilvl w:val="0"/>
          <w:numId w:val="39"/>
        </w:numPr>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2025 Restricted Stock Rights Grant Agreement Granted Under the 2024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by reference to Exhibit 10.1 to Form 10-Q for the quarter ended March 31, 2025, filed April 22, 2025)</w:t>
        </w:r>
      </w:hyperlink>
    </w:p>
    <w:p>
      <w:pPr>
        <w:spacing w:after="0" w:line="117" w:lineRule="exact"/>
        <w:rPr>
          <w:rFonts w:ascii="Times New Roman" w:cs="Times New Roman" w:eastAsia="Times New Roman" w:hAnsi="Times New Roman"/>
          <w:sz w:val="18"/>
          <w:szCs w:val="18"/>
          <w:u w:val="single" w:color="auto"/>
          <w:color w:val="0000FF"/>
        </w:rPr>
      </w:pPr>
    </w:p>
    <w:p>
      <w:pPr>
        <w:ind w:left="2420" w:right="260" w:hanging="639"/>
        <w:spacing w:after="0" w:line="279" w:lineRule="auto"/>
        <w:tabs>
          <w:tab w:leader="none" w:pos="2420" w:val="left"/>
        </w:tabs>
        <w:numPr>
          <w:ilvl w:val="0"/>
          <w:numId w:val="39"/>
        </w:numPr>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2025 Restricted Performance Stock Rights Grant Agreement Granted Under the 2024 Long-Term Incentive Stock Plan</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(incorporated by reference to Exhibit 10.2 to Form 10-Q for the quarter ended March 31, 2025, filed April 22, 2025)</w:t>
        </w:r>
      </w:hyperlink>
    </w:p>
    <w:p>
      <w:pPr>
        <w:spacing w:after="0" w:line="86" w:lineRule="exact"/>
        <w:rPr>
          <w:rFonts w:ascii="Times New Roman" w:cs="Times New Roman" w:eastAsia="Times New Roman" w:hAnsi="Times New Roman"/>
          <w:sz w:val="17"/>
          <w:szCs w:val="17"/>
          <w:color w:val="auto"/>
        </w:rPr>
      </w:pPr>
    </w:p>
    <w:p>
      <w:pPr>
        <w:ind w:left="1780" w:right="22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+10(i)</w:t>
      </w:r>
      <w:r>
        <w:rPr>
          <w:sz w:val="20"/>
          <w:szCs w:val="20"/>
          <w:color w:val="auto"/>
        </w:rPr>
        <w:tab/>
      </w:r>
      <w:hyperlink r:id="rId170">
        <w:r>
          <w:rPr>
            <w:rFonts w:ascii="Times New Roman" w:cs="Times New Roman" w:eastAsia="Times New Roman" w:hAnsi="Times New Roman"/>
            <w:sz w:val="18"/>
            <w:szCs w:val="18"/>
            <w:u w:val="single" w:color="auto"/>
            <w:color w:val="0000FF"/>
          </w:rPr>
          <w:t>Northrop Grumman Supplemental Plan 2 (Amended and Restated Effective as of January 1, 2014) (incorporated by reference to</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Exhibit 10(l) to Form 10-K for the year ended December 31, 2013, Filed February 3, 2014)</w:t>
        </w:r>
      </w:hyperlink>
    </w:p>
    <w:p>
      <w:pPr>
        <w:spacing w:after="0" w:line="131" w:lineRule="exact"/>
        <w:rPr>
          <w:sz w:val="20"/>
          <w:szCs w:val="20"/>
          <w:color w:val="auto"/>
        </w:rPr>
      </w:pPr>
    </w:p>
    <w:p>
      <w:pPr>
        <w:ind w:left="2420" w:right="60" w:hanging="639"/>
        <w:spacing w:after="0" w:line="226" w:lineRule="auto"/>
        <w:tabs>
          <w:tab w:leader="none" w:pos="2420" w:val="left"/>
        </w:tabs>
        <w:numPr>
          <w:ilvl w:val="0"/>
          <w:numId w:val="40"/>
        </w:numPr>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Appendix B to the Northrop Grumman Supplemental Plan 2: ERISA Supplemental Program 2 (Amended and Restated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Effective as of January 1, 2014) (incorporated by reference to Exhibit 10(l)(i) to Form 10-K for the year ended December</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31, 2013, filed February 3, 2014)</w:t>
        </w:r>
      </w:hyperlink>
    </w:p>
    <w:p>
      <w:pPr>
        <w:spacing w:after="0" w:line="117" w:lineRule="exact"/>
        <w:rPr>
          <w:rFonts w:ascii="Times New Roman" w:cs="Times New Roman" w:eastAsia="Times New Roman" w:hAnsi="Times New Roman"/>
          <w:sz w:val="18"/>
          <w:szCs w:val="18"/>
          <w:u w:val="single" w:color="auto"/>
          <w:color w:val="0000FF"/>
        </w:rPr>
      </w:pPr>
    </w:p>
    <w:p>
      <w:pPr>
        <w:ind w:left="2420" w:right="40" w:hanging="639"/>
        <w:spacing w:after="0" w:line="231" w:lineRule="auto"/>
        <w:tabs>
          <w:tab w:leader="none" w:pos="2420" w:val="left"/>
        </w:tabs>
        <w:numPr>
          <w:ilvl w:val="0"/>
          <w:numId w:val="40"/>
        </w:numPr>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Appendix I to the Northrop Grumman Supplemental Plan 2: Officers Supplemental Executive Retirement Program II</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(Amended and Restated January 1, 2014) (incorporated by reference to Exhibit 10(k)(iv) to Form 10-K for the year ended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December 31, 2015, filed February 1, 2016)</w:t>
        </w:r>
      </w:hyperlink>
    </w:p>
    <w:p>
      <w:pPr>
        <w:spacing w:after="0" w:line="117" w:lineRule="exact"/>
        <w:rPr>
          <w:rFonts w:ascii="Times New Roman" w:cs="Times New Roman" w:eastAsia="Times New Roman" w:hAnsi="Times New Roman"/>
          <w:sz w:val="18"/>
          <w:szCs w:val="18"/>
          <w:u w:val="single" w:color="auto"/>
          <w:color w:val="0000FF"/>
        </w:rPr>
      </w:pPr>
    </w:p>
    <w:p>
      <w:pPr>
        <w:ind w:left="2420" w:right="200" w:hanging="639"/>
        <w:spacing w:after="0" w:line="231" w:lineRule="auto"/>
        <w:tabs>
          <w:tab w:leader="none" w:pos="2420" w:val="left"/>
        </w:tabs>
        <w:numPr>
          <w:ilvl w:val="0"/>
          <w:numId w:val="40"/>
        </w:numPr>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First Amendment to the Northrop Grumman Supplemental Plan 2, dated December 20, 2017 (Effective as of December</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31, 2017) (incorporated by reference to Exhibit 10(j)(v) to Form 10-K for the year ended December 31, 2017, filed</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January 29, 2018)</w:t>
        </w:r>
      </w:hyperlink>
    </w:p>
    <w:p>
      <w:pPr>
        <w:spacing w:after="0" w:line="212" w:lineRule="exact"/>
        <w:rPr>
          <w:rFonts w:ascii="Times New Roman" w:cs="Times New Roman" w:eastAsia="Times New Roman" w:hAnsi="Times New Roman"/>
          <w:sz w:val="18"/>
          <w:szCs w:val="18"/>
          <w:u w:val="single" w:color="auto"/>
          <w:color w:val="0000FF"/>
        </w:rPr>
      </w:pPr>
    </w:p>
    <w:p>
      <w:pPr>
        <w:ind w:left="1780" w:right="10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+10(j)</w:t>
      </w:r>
      <w:r>
        <w:rPr>
          <w:sz w:val="20"/>
          <w:szCs w:val="20"/>
          <w:color w:val="auto"/>
        </w:rPr>
        <w:tab/>
      </w:r>
      <w:hyperlink r:id="rId174">
        <w:r>
          <w:rPr>
            <w:rFonts w:ascii="Times New Roman" w:cs="Times New Roman" w:eastAsia="Times New Roman" w:hAnsi="Times New Roman"/>
            <w:sz w:val="18"/>
            <w:szCs w:val="18"/>
            <w:u w:val="single" w:color="auto"/>
            <w:color w:val="0000FF"/>
          </w:rPr>
          <w:t>Severance Plan for Elected and Appointed Officers of Northrop Grumman Corporation (Amended and Restated Effective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February 18, 2025) (incorporated by reference to Exhibit 10.3 to Form 10-Q for the quarter ended March 31, 2025, filed April 22,</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2025)</w:t>
        </w:r>
      </w:hyperlink>
    </w:p>
    <w:p>
      <w:pPr>
        <w:spacing w:after="0" w:line="117" w:lineRule="exact"/>
        <w:rPr>
          <w:rFonts w:ascii="Times New Roman" w:cs="Times New Roman" w:eastAsia="Times New Roman" w:hAnsi="Times New Roman"/>
          <w:sz w:val="18"/>
          <w:szCs w:val="18"/>
          <w:u w:val="single" w:color="auto"/>
          <w:color w:val="0000FF"/>
        </w:rPr>
      </w:pPr>
    </w:p>
    <w:p>
      <w:pPr>
        <w:ind w:left="1780" w:hanging="1066"/>
        <w:spacing w:after="0" w:line="250"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+10(k)</w:t>
      </w:r>
      <w:r>
        <w:rPr>
          <w:sz w:val="20"/>
          <w:szCs w:val="20"/>
          <w:color w:val="auto"/>
        </w:rPr>
        <w:tab/>
      </w:r>
      <w:hyperlink r:id="rId175">
        <w:r>
          <w:rPr>
            <w:rFonts w:ascii="Times New Roman" w:cs="Times New Roman" w:eastAsia="Times New Roman" w:hAnsi="Times New Roman"/>
            <w:sz w:val="18"/>
            <w:szCs w:val="18"/>
            <w:u w:val="single" w:color="auto"/>
            <w:color w:val="0000FF"/>
          </w:rPr>
          <w:t>Non-Employee Director Compensation Term Sheet, effective May 15, 2024 (incorporated by reference to Exhibit 10.3 to Form 10-</w:t>
        </w:r>
      </w:hyperlink>
      <w:hyperlink r:id="rId175">
        <w:r>
          <w:rPr>
            <w:rFonts w:ascii="Times New Roman" w:cs="Times New Roman" w:eastAsia="Times New Roman" w:hAnsi="Times New Roman"/>
            <w:sz w:val="18"/>
            <w:szCs w:val="18"/>
            <w:u w:val="single" w:color="auto"/>
            <w:color w:val="0000FF"/>
          </w:rPr>
          <w:t>Q for the quarter ended June 30, 2025, filed July 25, 2024)</w:t>
        </w:r>
      </w:hyperlink>
    </w:p>
    <w:p>
      <w:pPr>
        <w:spacing w:after="0" w:line="109" w:lineRule="exact"/>
        <w:rPr>
          <w:sz w:val="20"/>
          <w:szCs w:val="20"/>
          <w:color w:val="auto"/>
        </w:rPr>
      </w:pPr>
    </w:p>
    <w:p>
      <w:pPr>
        <w:ind w:left="178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+10(l)</w:t>
      </w:r>
      <w:r>
        <w:rPr>
          <w:sz w:val="20"/>
          <w:szCs w:val="20"/>
          <w:color w:val="auto"/>
        </w:rPr>
        <w:tab/>
      </w:r>
      <w:hyperlink r:id="rId176">
        <w:r>
          <w:rPr>
            <w:rFonts w:ascii="Times New Roman" w:cs="Times New Roman" w:eastAsia="Times New Roman" w:hAnsi="Times New Roman"/>
            <w:sz w:val="18"/>
            <w:szCs w:val="18"/>
            <w:u w:val="single" w:color="auto"/>
            <w:color w:val="0000FF"/>
          </w:rPr>
          <w:t>Non-Employee Director Compensation Term Sheet, effective May 21, 2025 (incorporated by reference to Exhibit 10.1 to Form 10-</w:t>
        </w:r>
      </w:hyperlink>
      <w:hyperlink r:id="rId176">
        <w:r>
          <w:rPr>
            <w:rFonts w:ascii="Times New Roman" w:cs="Times New Roman" w:eastAsia="Times New Roman" w:hAnsi="Times New Roman"/>
            <w:sz w:val="18"/>
            <w:szCs w:val="18"/>
            <w:u w:val="single" w:color="auto"/>
            <w:color w:val="0000FF"/>
          </w:rPr>
          <w:t>Q for the quarter ended June 30, 2025, filed July 22, 2025)</w:t>
        </w:r>
      </w:hyperlink>
    </w:p>
    <w:p>
      <w:pPr>
        <w:spacing w:after="0" w:line="131" w:lineRule="exact"/>
        <w:rPr>
          <w:sz w:val="20"/>
          <w:szCs w:val="20"/>
          <w:color w:val="auto"/>
        </w:rPr>
      </w:pPr>
    </w:p>
    <w:p>
      <w:pPr>
        <w:ind w:left="1780" w:right="960" w:hanging="1066"/>
        <w:spacing w:after="0" w:line="263" w:lineRule="auto"/>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+10(m)</w:t>
      </w:r>
      <w:r>
        <w:rPr>
          <w:sz w:val="20"/>
          <w:szCs w:val="20"/>
          <w:color w:val="auto"/>
        </w:rPr>
        <w:tab/>
      </w:r>
      <w:hyperlink r:id="rId177">
        <w:r>
          <w:rPr>
            <w:rFonts w:ascii="Times New Roman" w:cs="Times New Roman" w:eastAsia="Times New Roman" w:hAnsi="Times New Roman"/>
            <w:sz w:val="17"/>
            <w:szCs w:val="17"/>
            <w:u w:val="single" w:color="auto"/>
            <w:color w:val="0000FF"/>
          </w:rPr>
          <w:t>Form of Indemnification Agreement between Northrop Grumman Corporation and its directors and executive officers</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(incorporated by reference to Exhibit 10.3 to Form 10-Q for the quarter ended March 31, 2012, filed April 25, 2012)</w:t>
        </w:r>
      </w:hyperlink>
    </w:p>
    <w:p>
      <w:pPr>
        <w:spacing w:after="0" w:line="98" w:lineRule="exact"/>
        <w:rPr>
          <w:sz w:val="20"/>
          <w:szCs w:val="20"/>
          <w:color w:val="auto"/>
        </w:rPr>
      </w:pPr>
    </w:p>
    <w:p>
      <w:pPr>
        <w:ind w:left="1780" w:right="180" w:hanging="1019"/>
        <w:spacing w:after="0" w:line="250"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+10(n)</w:t>
      </w:r>
      <w:r>
        <w:rPr>
          <w:sz w:val="20"/>
          <w:szCs w:val="20"/>
          <w:color w:val="auto"/>
        </w:rPr>
        <w:tab/>
      </w:r>
      <w:hyperlink r:id="rId178">
        <w:r>
          <w:rPr>
            <w:rFonts w:ascii="Times New Roman" w:cs="Times New Roman" w:eastAsia="Times New Roman" w:hAnsi="Times New Roman"/>
            <w:sz w:val="18"/>
            <w:szCs w:val="18"/>
            <w:u w:val="single" w:color="auto"/>
            <w:color w:val="0000FF"/>
          </w:rPr>
          <w:t>Northrop Grumman 2006 Annual Incentive Plan and Incentive Compensation Plan, as amended and restated effective January 1,</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2024 (incorporated by reference to Exhibit 10.3 to Form 10-Q for the quarter ended March 31, 2024, filed April 25, 2024)</w:t>
        </w:r>
      </w:hyperlink>
    </w:p>
    <w:p>
      <w:pPr>
        <w:spacing w:after="0" w:line="109" w:lineRule="exact"/>
        <w:rPr>
          <w:sz w:val="20"/>
          <w:szCs w:val="20"/>
          <w:color w:val="auto"/>
        </w:rPr>
      </w:pPr>
    </w:p>
    <w:p>
      <w:pPr>
        <w:ind w:left="1780" w:right="480" w:hanging="1066"/>
        <w:spacing w:after="0" w:line="26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+10(o)</w:t>
      </w:r>
      <w:r>
        <w:rPr>
          <w:sz w:val="20"/>
          <w:szCs w:val="20"/>
          <w:color w:val="auto"/>
        </w:rPr>
        <w:tab/>
      </w:r>
      <w:hyperlink r:id="rId179">
        <w:r>
          <w:rPr>
            <w:rFonts w:ascii="Times New Roman" w:cs="Times New Roman" w:eastAsia="Times New Roman" w:hAnsi="Times New Roman"/>
            <w:sz w:val="18"/>
            <w:szCs w:val="18"/>
            <w:u w:val="single" w:color="auto"/>
            <w:color w:val="0000FF"/>
          </w:rPr>
          <w:t>Northrop Grumman Savings Excess Plan (Amended and Restated Effective as of July 1, 2023) (incorporated by reference to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Exhibit 10.2 to Form 10-Q for the quarter ended June 30, 2023, filed July 26, 2023)</w:t>
        </w:r>
      </w:hyperlink>
    </w:p>
    <w:p>
      <w:pPr>
        <w:spacing w:after="0" w:line="124" w:lineRule="exact"/>
        <w:rPr>
          <w:sz w:val="20"/>
          <w:szCs w:val="20"/>
          <w:color w:val="auto"/>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+10(p)</w:t>
      </w:r>
      <w:r>
        <w:rPr>
          <w:sz w:val="20"/>
          <w:szCs w:val="20"/>
          <w:color w:val="auto"/>
        </w:rPr>
        <w:tab/>
      </w:r>
      <w:hyperlink r:id="rId180">
        <w:r>
          <w:rPr>
            <w:rFonts w:ascii="Times New Roman" w:cs="Times New Roman" w:eastAsia="Times New Roman" w:hAnsi="Times New Roman"/>
            <w:sz w:val="17"/>
            <w:szCs w:val="17"/>
            <w:u w:val="single" w:color="auto"/>
            <w:color w:val="0000FF"/>
          </w:rPr>
          <w:t>Northrop Grumman Officers Retirement Account Contribution Plan (Amended and Restated Effective as of January 1, 2019)</w:t>
        </w:r>
      </w:hyperlink>
    </w:p>
    <w:p>
      <w:pPr>
        <w:ind w:left="1780"/>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(incorporated by reference to Exhibit 10(v) to Form 10-K for the year ended December 31, 2018, filed January 31, 2019)</w:t>
        </w:r>
      </w:hyperlink>
    </w:p>
    <w:p>
      <w:pPr>
        <w:spacing w:after="0" w:line="124" w:lineRule="exact"/>
        <w:rPr>
          <w:sz w:val="20"/>
          <w:szCs w:val="20"/>
          <w:color w:val="auto"/>
        </w:rPr>
      </w:pPr>
    </w:p>
    <w:p>
      <w:pPr>
        <w:ind w:left="1780" w:right="140" w:hanging="1066"/>
        <w:spacing w:after="0" w:line="250"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+10(q)</w:t>
      </w:r>
      <w:r>
        <w:rPr>
          <w:sz w:val="20"/>
          <w:szCs w:val="20"/>
          <w:color w:val="auto"/>
        </w:rPr>
        <w:tab/>
      </w:r>
      <w:hyperlink r:id="rId181">
        <w:r>
          <w:rPr>
            <w:rFonts w:ascii="Times New Roman" w:cs="Times New Roman" w:eastAsia="Times New Roman" w:hAnsi="Times New Roman"/>
            <w:sz w:val="18"/>
            <w:szCs w:val="18"/>
            <w:u w:val="single" w:color="auto"/>
            <w:color w:val="0000FF"/>
          </w:rPr>
          <w:t>Executive Basic Life Insurance and Accidental Death and Dismemberment Insurance Policy dated January 1, 2019 (incorporated</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by reference to Exhibit 10.4 to Form 10-Q for the quarter ended March 31, 2019, filed April 24, 2019)</w:t>
        </w:r>
      </w:hyperlink>
    </w:p>
    <w:p>
      <w:pPr>
        <w:spacing w:after="0" w:line="109" w:lineRule="exact"/>
        <w:rPr>
          <w:sz w:val="20"/>
          <w:szCs w:val="20"/>
          <w:color w:val="auto"/>
        </w:rPr>
      </w:pPr>
    </w:p>
    <w:p>
      <w:pPr>
        <w:ind w:left="1780" w:right="12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+10(r)</w:t>
      </w:r>
      <w:r>
        <w:rPr>
          <w:sz w:val="20"/>
          <w:szCs w:val="20"/>
          <w:color w:val="auto"/>
        </w:rPr>
        <w:tab/>
      </w:r>
      <w:hyperlink r:id="rId182">
        <w:r>
          <w:rPr>
            <w:rFonts w:ascii="Times New Roman" w:cs="Times New Roman" w:eastAsia="Times New Roman" w:hAnsi="Times New Roman"/>
            <w:sz w:val="18"/>
            <w:szCs w:val="18"/>
            <w:u w:val="single" w:color="auto"/>
            <w:color w:val="0000FF"/>
          </w:rPr>
          <w:t>Executive Long-Term Disability Insurance Policy dated January 1, 2019 (incorporated by reference to Exhibit 10.5 to Form 10-Q</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for the quarter ended March 31, 2019, filed April 24,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+10(s)</w:t>
      </w:r>
      <w:r>
        <w:rPr>
          <w:sz w:val="20"/>
          <w:szCs w:val="20"/>
          <w:color w:val="auto"/>
        </w:rPr>
        <w:tab/>
      </w:r>
      <w:hyperlink r:id="rId184">
        <w:r>
          <w:rPr>
            <w:rFonts w:ascii="Times New Roman" w:cs="Times New Roman" w:eastAsia="Times New Roman" w:hAnsi="Times New Roman"/>
            <w:sz w:val="17"/>
            <w:szCs w:val="17"/>
            <w:u w:val="single" w:color="auto"/>
            <w:color w:val="0000FF"/>
          </w:rPr>
          <w:t>Executive Supplemental Individual Disability Insurance Plan dated June 10, 2022</w:t>
        </w:r>
      </w:hyperlink>
    </w:p>
    <w:p>
      <w:pPr>
        <w:spacing w:after="0" w:line="144" w:lineRule="exact"/>
        <w:rPr>
          <w:sz w:val="20"/>
          <w:szCs w:val="20"/>
          <w:color w:val="auto"/>
        </w:rPr>
      </w:pPr>
    </w:p>
    <w:p>
      <w:pPr>
        <w:ind w:left="1780" w:right="240" w:hanging="1066"/>
        <w:spacing w:after="0" w:line="26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+10(t)</w:t>
      </w:r>
      <w:r>
        <w:rPr>
          <w:sz w:val="20"/>
          <w:szCs w:val="20"/>
          <w:color w:val="auto"/>
        </w:rPr>
        <w:tab/>
      </w:r>
      <w:hyperlink r:id="rId185">
        <w:r>
          <w:rPr>
            <w:rFonts w:ascii="Times New Roman" w:cs="Times New Roman" w:eastAsia="Times New Roman" w:hAnsi="Times New Roman"/>
            <w:sz w:val="18"/>
            <w:szCs w:val="18"/>
            <w:u w:val="single" w:color="auto"/>
            <w:color w:val="0000FF"/>
          </w:rPr>
          <w:t>Group Personal Excess Liability Policy effective as of January 1, 2025 (incorporated by reference to Exhibit 10.4 to Form 10-Q</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for the quarter ended March 31, 2025, filed April 22, 2025)</w:t>
        </w:r>
      </w:hyperlink>
    </w:p>
    <w:p>
      <w:pPr>
        <w:spacing w:after="0" w:line="108" w:lineRule="exact"/>
        <w:rPr>
          <w:sz w:val="20"/>
          <w:szCs w:val="20"/>
          <w:color w:val="auto"/>
        </w:rPr>
      </w:pPr>
    </w:p>
    <w:p>
      <w:pPr>
        <w:ind w:left="1780" w:right="20" w:hanging="1066"/>
        <w:spacing w:after="0" w:line="250" w:lineRule="auto"/>
        <w:tabs>
          <w:tab w:leader="none" w:pos="1760" w:val="left"/>
        </w:tabs>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*+10(u)</w:t>
      </w:r>
      <w:r>
        <w:rPr>
          <w:sz w:val="20"/>
          <w:szCs w:val="20"/>
          <w:color w:val="auto"/>
        </w:rPr>
        <w:tab/>
      </w:r>
      <w:r>
        <w:rPr>
          <w:rFonts w:ascii="Times New Roman" w:cs="Times New Roman" w:eastAsia="Times New Roman" w:hAnsi="Times New Roman"/>
          <w:sz w:val="18"/>
          <w:szCs w:val="18"/>
          <w:u w:val="single" w:color="auto"/>
          <w:color w:val="0000FF"/>
        </w:rPr>
        <w:t>Letter dated November 3, 2025 from Northrop Grumman Corporation to John Greene regarding compensation effective January 7, 2026</w:t>
      </w:r>
    </w:p>
    <w:p>
      <w:pPr>
        <w:spacing w:after="0" w:line="109" w:lineRule="exact"/>
        <w:rPr>
          <w:sz w:val="20"/>
          <w:szCs w:val="20"/>
          <w:color w:val="auto"/>
        </w:rPr>
      </w:pPr>
    </w:p>
    <w:p>
      <w:pPr>
        <w:ind w:left="1780" w:hanging="1066"/>
        <w:spacing w:after="0" w:line="237" w:lineRule="auto"/>
        <w:tabs>
          <w:tab w:leader="none" w:pos="1780" w:val="left"/>
        </w:tabs>
        <w:numPr>
          <w:ilvl w:val="0"/>
          <w:numId w:val="41"/>
        </w:numPr>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Insider Trading Policy and Procedure regarding Securities Trading for Designated Persons (incorporated by reference to Exhibit 19</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to Form 10-K for the year ended December 31, 2024, filed January 30, 2025)</w:t>
        </w:r>
      </w:hyperlink>
    </w:p>
    <w:p>
      <w:pPr>
        <w:spacing w:after="0" w:line="118" w:lineRule="exact"/>
        <w:rPr>
          <w:rFonts w:ascii="Times New Roman" w:cs="Times New Roman" w:eastAsia="Times New Roman" w:hAnsi="Times New Roman"/>
          <w:sz w:val="18"/>
          <w:szCs w:val="18"/>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0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302 of the Sarbanes-Oxley Act of 2002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John T. Greene pursuant to Section 302 of the Sarbanes-Oxley Act of 2002</w:t>
            </w:r>
          </w:p>
        </w:tc>
        <w:tc>
          <w:tcPr>
            <w:tcW w:w="2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906 of the Sarbanes-Oxley Act of 2002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John T. Greene pursuant to Section 906 of the Sarbanes-Oxley Act of 2002</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w:t>
            </w:r>
          </w:p>
        </w:tc>
        <w:tc>
          <w:tcPr>
            <w:tcW w:w="600" w:type="dxa"/>
            <w:vAlign w:val="bottom"/>
            <w:shd w:val="clear" w:color="auto" w:fill="0000FF"/>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vMerge w:val="continue"/>
          </w:tcPr>
          <w:p>
            <w:pPr>
              <w:spacing w:after="0"/>
              <w:rPr>
                <w:sz w:val="24"/>
                <w:szCs w:val="24"/>
                <w:color w:val="auto"/>
              </w:rPr>
            </w:pPr>
          </w:p>
        </w:tc>
        <w:tc>
          <w:tcPr>
            <w:tcW w:w="9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Northrop Grumman Policy Regarding the Recoupment of Certain Incentive Compensation Payments (updated effective December</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9, 2025)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Northrop Grumman Corporation Annual Report on Form 10-K for the fiscal year ended December 31, 2025, formatted as inline</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940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XBRL (Extensible Business Reporting Language); (i) the Cover Page, (ii) Cybersecurity (iii) the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940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Earnings and Comprehensive Income, (iii) Consolidated Statements of Financial Position, (iv) Consolidated Statements of Cash</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9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w w:val="99"/>
              </w:rPr>
              <w:t>Flows, (v) Consolidated Statements of Changes in Shareholders’ Equity (vi) Notes to Consolidated Financial Statements, and (vii)</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940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Certain Trading Agreements.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3"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44"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144"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86" w:lineRule="exact"/>
        <w:rPr>
          <w:rFonts w:ascii="Times New Roman" w:cs="Times New Roman" w:eastAsia="Times New Roman" w:hAnsi="Times New Roman"/>
          <w:sz w:val="18"/>
          <w:szCs w:val="18"/>
          <w:color w:val="auto"/>
        </w:rPr>
      </w:pPr>
    </w:p>
    <w:p>
      <w:pPr>
        <w:ind w:right="8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26th day of January 2026.</w:t>
      </w:r>
    </w:p>
    <w:p>
      <w:pPr>
        <w:spacing w:after="0" w:line="3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19685</wp:posOffset>
            </wp:positionV>
            <wp:extent cx="31718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7"/>
          <w:szCs w:val="17"/>
          <w:color w:val="auto"/>
        </w:rPr>
        <w:t>Corporate Vice President, Controller and Chief Accounting Officer</w:t>
      </w:r>
    </w:p>
    <w:p>
      <w:pPr>
        <w:spacing w:after="0" w:line="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behalf of the registrant this the 26th day of January 2026, by the following persons and in the capacities indicated.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920" w:type="dxa"/>
            <w:vAlign w:val="bottom"/>
          </w:tcPr>
          <w:p>
            <w:pPr>
              <w:spacing w:after="0"/>
              <w:rPr>
                <w:sz w:val="13"/>
                <w:szCs w:val="13"/>
                <w:color w:val="auto"/>
              </w:rPr>
            </w:pPr>
          </w:p>
        </w:tc>
        <w:tc>
          <w:tcPr>
            <w:tcW w:w="628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J. Warden*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 Chief Executive Officer and President (Principal Executive Officer), and</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 (Principal Financial Officer)</w:t>
            </w:r>
          </w:p>
        </w:tc>
      </w:tr>
      <w:tr>
        <w:trPr>
          <w:trHeight w:val="279"/>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Hardesty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Controller and Chief Accounting Officer (Principal</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Abney*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Marianne C. Brown*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 M. Fudge*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Madeleine A. Kleiner*</w:t>
            </w: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Arvind Krishna*</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Kimberly A. Ross*</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Roughead*</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S. Turley*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A. Welsh III*</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 A. Winston*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8"/>
        </w:trPr>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rPr>
              <w:t>Jennifer C. McGarey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60"/>
          </w:cols>
          <w:pgMar w:left="320" w:top="114" w:right="419" w:bottom="1440" w:gutter="0" w:footer="0" w:header="0"/>
        </w:sectPr>
      </w:pPr>
    </w:p>
    <w:bookmarkStart w:id="103" w:name="page104"/>
    <w:bookmarkEnd w:id="103"/>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494949"/>
        </w:rPr>
        <w:t>Exhibit 10(u)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17780</wp:posOffset>
            </wp:positionV>
            <wp:extent cx="2091690" cy="7118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9">
                      <a:extLst>
                        <a:ext uri="{28A0092B-C50C-407E-A947-70E740481C1C}"/>
                      </a:extLst>
                    </a:blip>
                    <a:srcRect/>
                    <a:stretch>
                      <a:fillRect/>
                    </a:stretch>
                  </pic:blipFill>
                  <pic:spPr bwMode="auto">
                    <a:xfrm>
                      <a:off x="0" y="0"/>
                      <a:ext cx="209169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11/03/2025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John Greene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Dear John,</w:t>
      </w:r>
    </w:p>
    <w:p>
      <w:pPr>
        <w:spacing w:after="0" w:line="316" w:lineRule="exact"/>
        <w:rPr>
          <w:sz w:val="20"/>
          <w:szCs w:val="20"/>
          <w:color w:val="auto"/>
        </w:rPr>
      </w:pPr>
    </w:p>
    <w:p>
      <w:pPr>
        <w:ind w:left="20" w:right="220" w:hanging="8"/>
        <w:spacing w:after="0" w:line="306" w:lineRule="auto"/>
        <w:rPr>
          <w:sz w:val="20"/>
          <w:szCs w:val="20"/>
          <w:color w:val="auto"/>
        </w:rPr>
      </w:pPr>
      <w:r>
        <w:rPr>
          <w:rFonts w:ascii="Arial" w:cs="Arial" w:eastAsia="Arial" w:hAnsi="Arial"/>
          <w:sz w:val="16"/>
          <w:szCs w:val="16"/>
          <w:color w:val="auto"/>
        </w:rPr>
        <w:t>Congratulations! We are delighted to extend you an offer for the position of Corporate Vice President, Chief Financial Officer, located in Falls Church, Virginia reporting to Kathy Warden. Your tentative start date is January 7, 2026, and is contingent upon the successful completion of all pre-employment requirements and applicable terms and conditions. You will be notified when all contingencies have been cleared, and your start date has been confirmed. This is a Regular, Full-time position.</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00269A"/>
        </w:rPr>
        <w:t>JOIN US ON A MISSION WITH A MEANING</w:t>
      </w:r>
    </w:p>
    <w:p>
      <w:pPr>
        <w:spacing w:after="0" w:line="41" w:lineRule="exact"/>
        <w:rPr>
          <w:sz w:val="20"/>
          <w:szCs w:val="20"/>
          <w:color w:val="auto"/>
        </w:rPr>
      </w:pPr>
    </w:p>
    <w:p>
      <w:pPr>
        <w:ind w:left="20" w:right="140" w:hanging="8"/>
        <w:spacing w:after="0" w:line="308" w:lineRule="auto"/>
        <w:rPr>
          <w:sz w:val="20"/>
          <w:szCs w:val="20"/>
          <w:color w:val="auto"/>
        </w:rPr>
      </w:pPr>
      <w:r>
        <w:rPr>
          <w:rFonts w:ascii="Arial" w:cs="Arial" w:eastAsia="Arial" w:hAnsi="Arial"/>
          <w:sz w:val="16"/>
          <w:szCs w:val="16"/>
          <w:color w:val="494949"/>
        </w:rPr>
        <w:t>At Northrop Grumman, we are pioneering thinkers, solving challenging problems. Our work makes a difference to our customers and to countless communities around the world. A career with Northrop Grumman will open doors to expand your expertise, feed your curiosity and fuel your passions – this is a place where you will be supported to be yourself and be your best.</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00269A"/>
        </w:rPr>
        <w:t>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494949"/>
        </w:rPr>
        <w:t xml:space="preserve">Base Salary: </w:t>
      </w:r>
      <w:r>
        <w:rPr>
          <w:rFonts w:ascii="Arial" w:cs="Arial" w:eastAsia="Arial" w:hAnsi="Arial"/>
          <w:sz w:val="16"/>
          <w:szCs w:val="16"/>
          <w:color w:val="494949"/>
        </w:rPr>
        <w:t>Your annual rate will be $955,000.00, paid on a bi-weekly basis.</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00269A"/>
        </w:rPr>
        <w:t>BENEFITS</w:t>
      </w:r>
    </w:p>
    <w:p>
      <w:pPr>
        <w:spacing w:after="0" w:line="40" w:lineRule="exact"/>
        <w:rPr>
          <w:sz w:val="20"/>
          <w:szCs w:val="20"/>
          <w:color w:val="auto"/>
        </w:rPr>
      </w:pPr>
    </w:p>
    <w:p>
      <w:pPr>
        <w:ind w:left="20" w:right="80" w:hanging="8"/>
        <w:spacing w:after="0" w:line="308" w:lineRule="auto"/>
        <w:rPr>
          <w:sz w:val="20"/>
          <w:szCs w:val="20"/>
          <w:color w:val="auto"/>
        </w:rPr>
      </w:pPr>
      <w:r>
        <w:rPr>
          <w:rFonts w:ascii="Arial" w:cs="Arial" w:eastAsia="Arial" w:hAnsi="Arial"/>
          <w:sz w:val="16"/>
          <w:szCs w:val="16"/>
          <w:b w:val="1"/>
          <w:bCs w:val="1"/>
          <w:color w:val="494949"/>
        </w:rPr>
        <w:t xml:space="preserve">Benefits: </w:t>
      </w:r>
      <w:r>
        <w:rPr>
          <w:rFonts w:ascii="Arial" w:cs="Arial" w:eastAsia="Arial" w:hAnsi="Arial"/>
          <w:sz w:val="16"/>
          <w:szCs w:val="16"/>
          <w:color w:val="494949"/>
        </w:rPr>
        <w:t>We offer a comprehensive Total Rewards package to help our employees thrive, both at work and in life. As an employee, you can take</w:t>
      </w:r>
      <w:r>
        <w:rPr>
          <w:rFonts w:ascii="Arial" w:cs="Arial" w:eastAsia="Arial" w:hAnsi="Arial"/>
          <w:sz w:val="16"/>
          <w:szCs w:val="16"/>
          <w:b w:val="1"/>
          <w:bCs w:val="1"/>
          <w:color w:val="494949"/>
        </w:rPr>
        <w:t xml:space="preserve"> </w:t>
      </w:r>
      <w:r>
        <w:rPr>
          <w:rFonts w:ascii="Arial" w:cs="Arial" w:eastAsia="Arial" w:hAnsi="Arial"/>
          <w:sz w:val="16"/>
          <w:szCs w:val="16"/>
          <w:color w:val="494949"/>
        </w:rPr>
        <w:t xml:space="preserve">advantage of numerous benefits, resources and programs, including health, retirement savings, career development, work/life flexibility and total well-being. Visit the </w:t>
      </w:r>
      <w:r>
        <w:rPr>
          <w:rFonts w:ascii="Arial" w:cs="Arial" w:eastAsia="Arial" w:hAnsi="Arial"/>
          <w:sz w:val="16"/>
          <w:szCs w:val="16"/>
          <w:u w:val="single" w:color="auto"/>
          <w:color w:val="0000EE"/>
        </w:rPr>
        <w:t>Total Rewards Gateway</w:t>
      </w:r>
      <w:r>
        <w:rPr>
          <w:rFonts w:ascii="Arial" w:cs="Arial" w:eastAsia="Arial" w:hAnsi="Arial"/>
          <w:sz w:val="16"/>
          <w:szCs w:val="16"/>
          <w:color w:val="494949"/>
        </w:rPr>
        <w:t xml:space="preserve"> to learn more.</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00269A"/>
        </w:rPr>
        <w:t>NEXT STEPS</w:t>
      </w:r>
    </w:p>
    <w:p>
      <w:pPr>
        <w:spacing w:after="0" w:line="4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To accept, please electronically sign and return the offer letter no later than November 5, 2026.</w:t>
      </w:r>
    </w:p>
    <w:p>
      <w:pPr>
        <w:spacing w:after="0" w:line="43" w:lineRule="exact"/>
        <w:rPr>
          <w:rFonts w:ascii="Arial" w:cs="Arial" w:eastAsia="Arial" w:hAnsi="Arial"/>
          <w:sz w:val="16"/>
          <w:szCs w:val="16"/>
          <w:color w:val="494949"/>
        </w:rPr>
      </w:pPr>
    </w:p>
    <w:p>
      <w:pPr>
        <w:ind w:left="340" w:hanging="332"/>
        <w:spacing w:after="0"/>
        <w:tabs>
          <w:tab w:leader="none" w:pos="340"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Upon acceptance, you’ll receive communications from an onboarding partner who will walk you through pre-employment activities.</w:t>
      </w:r>
    </w:p>
    <w:p>
      <w:pPr>
        <w:spacing w:after="0" w:line="59" w:lineRule="exact"/>
        <w:rPr>
          <w:rFonts w:ascii="Arial" w:cs="Arial" w:eastAsia="Arial" w:hAnsi="Arial"/>
          <w:sz w:val="16"/>
          <w:szCs w:val="16"/>
          <w:color w:val="494949"/>
        </w:rPr>
      </w:pPr>
    </w:p>
    <w:p>
      <w:pPr>
        <w:ind w:left="340" w:hanging="332"/>
        <w:spacing w:after="0"/>
        <w:tabs>
          <w:tab w:leader="none" w:pos="340" w:val="left"/>
        </w:tabs>
        <w:numPr>
          <w:ilvl w:val="0"/>
          <w:numId w:val="45"/>
        </w:numPr>
        <w:rPr>
          <w:rFonts w:ascii="Arial" w:cs="Arial" w:eastAsia="Arial" w:hAnsi="Arial"/>
          <w:sz w:val="16"/>
          <w:szCs w:val="16"/>
          <w:color w:val="494949"/>
        </w:rPr>
      </w:pPr>
      <w:r>
        <w:rPr>
          <w:rFonts w:ascii="Arial" w:cs="Arial" w:eastAsia="Arial" w:hAnsi="Arial"/>
          <w:sz w:val="16"/>
          <w:szCs w:val="16"/>
          <w:color w:val="494949"/>
        </w:rPr>
        <w:t>View details regarding pre-employment activities, along with applicable terms and conditions associated with your offer in the following Addendum.</w:t>
      </w:r>
    </w:p>
    <w:p>
      <w:pPr>
        <w:spacing w:after="0" w:line="289" w:lineRule="exact"/>
        <w:rPr>
          <w:sz w:val="20"/>
          <w:szCs w:val="20"/>
          <w:color w:val="auto"/>
        </w:rPr>
      </w:pPr>
    </w:p>
    <w:p>
      <w:pPr>
        <w:ind w:left="20" w:right="80" w:hanging="8"/>
        <w:spacing w:after="0" w:line="316" w:lineRule="auto"/>
        <w:rPr>
          <w:sz w:val="20"/>
          <w:szCs w:val="20"/>
          <w:color w:val="auto"/>
        </w:rPr>
      </w:pPr>
      <w:r>
        <w:rPr>
          <w:rFonts w:ascii="Arial" w:cs="Arial" w:eastAsia="Arial" w:hAnsi="Arial"/>
          <w:sz w:val="16"/>
          <w:szCs w:val="16"/>
          <w:color w:val="494949"/>
        </w:rPr>
        <w:t>Northrop Grumman is a great place to work and is a company with a proud history and an exciting future. We look forward to working with you and sincerely hope that you accept the offer to join our team. Should you have any questions, please contact me at [email address].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94949"/>
        </w:rPr>
        <w:t>Congratulations,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494949"/>
        </w:rPr>
        <w:t>Melanie Heitkamp</w:t>
      </w:r>
    </w:p>
    <w:p>
      <w:pPr>
        <w:spacing w:after="0" w:line="291" w:lineRule="exact"/>
        <w:rPr>
          <w:sz w:val="20"/>
          <w:szCs w:val="20"/>
          <w:color w:val="auto"/>
        </w:rPr>
      </w:pPr>
    </w:p>
    <w:p>
      <w:pPr>
        <w:ind w:right="420" w:hanging="8"/>
        <w:spacing w:after="0" w:line="311" w:lineRule="auto"/>
        <w:rPr>
          <w:sz w:val="20"/>
          <w:szCs w:val="20"/>
          <w:color w:val="auto"/>
        </w:rPr>
      </w:pPr>
      <w:r>
        <w:rPr>
          <w:rFonts w:ascii="Arial" w:cs="Arial" w:eastAsia="Arial" w:hAnsi="Arial"/>
          <w:sz w:val="16"/>
          <w:szCs w:val="16"/>
          <w:b w:val="1"/>
          <w:bCs w:val="1"/>
          <w:i w:val="1"/>
          <w:iCs w:val="1"/>
          <w:color w:val="494949"/>
        </w:rPr>
        <w:t>This employment offer does not constitute an employment contract, implied or otherwise. Your employment is "at will," and either you or the Company can end the employment relationship at any time for any reason or for no reason at all.</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00269A"/>
        </w:rPr>
        <w:t>ADDENDUM A: PRE-EMPLOYMENT REQUIREMENTS</w:t>
      </w:r>
    </w:p>
    <w:p>
      <w:pPr>
        <w:spacing w:after="0" w:line="253" w:lineRule="exact"/>
        <w:rPr>
          <w:sz w:val="20"/>
          <w:szCs w:val="20"/>
          <w:color w:val="auto"/>
        </w:rPr>
      </w:pPr>
    </w:p>
    <w:p>
      <w:pPr>
        <w:ind w:left="20" w:right="40" w:hanging="8"/>
        <w:spacing w:after="0" w:line="339" w:lineRule="auto"/>
        <w:rPr>
          <w:sz w:val="20"/>
          <w:szCs w:val="20"/>
          <w:color w:val="auto"/>
        </w:rPr>
      </w:pPr>
      <w:r>
        <w:rPr>
          <w:rFonts w:ascii="Arial" w:cs="Arial" w:eastAsia="Arial" w:hAnsi="Arial"/>
          <w:sz w:val="16"/>
          <w:szCs w:val="16"/>
          <w:color w:val="494949"/>
        </w:rPr>
        <w:t>Your employment with Northrop Grumman is contingent upon the successful completion of the following. Please do not give notice to your current employer until you receive notification from your onboarding representative that all prestart contingencies have been met: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494949"/>
        </w:rPr>
        <w:t xml:space="preserve">Background Investigation: </w:t>
      </w:r>
      <w:r>
        <w:rPr>
          <w:rFonts w:ascii="Arial" w:cs="Arial" w:eastAsia="Arial" w:hAnsi="Arial"/>
          <w:sz w:val="16"/>
          <w:szCs w:val="16"/>
          <w:color w:val="494949"/>
        </w:rPr>
        <w:t>In the days following your acceptance of this offer, you will receive an email from Sterling</w:t>
      </w:r>
    </w:p>
    <w:p>
      <w:pPr>
        <w:spacing w:after="0" w:line="59" w:lineRule="exact"/>
        <w:rPr>
          <w:sz w:val="20"/>
          <w:szCs w:val="20"/>
          <w:color w:val="auto"/>
        </w:rPr>
      </w:pPr>
    </w:p>
    <w:p>
      <w:pPr>
        <w:ind w:left="20" w:right="40" w:hanging="8"/>
        <w:spacing w:after="0" w:line="306" w:lineRule="auto"/>
        <w:rPr>
          <w:sz w:val="20"/>
          <w:szCs w:val="20"/>
          <w:color w:val="auto"/>
        </w:rPr>
      </w:pPr>
      <w:r>
        <w:rPr>
          <w:rFonts w:ascii="Arial" w:cs="Arial" w:eastAsia="Arial" w:hAnsi="Arial"/>
          <w:sz w:val="16"/>
          <w:szCs w:val="16"/>
          <w:color w:val="494949"/>
        </w:rPr>
        <w:t>InfoSystems ([email[) and/or [email]) sent by Northrop Grumman's Pre-Employment Investigation partner. This email will direct you to their website where you will be required to complete authorization forms and provide personal information in order to begin the investigation. Please respond promptly upon receiving the email as failure to do so may delay your start date. Note, the pre-employment background investigation is separate from investigations related to positions requiring a government issued security clearance.</w:t>
      </w:r>
    </w:p>
    <w:p>
      <w:pPr>
        <w:spacing w:after="0" w:line="223" w:lineRule="exact"/>
        <w:rPr>
          <w:sz w:val="20"/>
          <w:szCs w:val="20"/>
          <w:color w:val="auto"/>
        </w:rPr>
      </w:pPr>
    </w:p>
    <w:p>
      <w:pPr>
        <w:ind w:left="20" w:right="200" w:hanging="8"/>
        <w:spacing w:after="0" w:line="306" w:lineRule="auto"/>
        <w:rPr>
          <w:sz w:val="20"/>
          <w:szCs w:val="20"/>
          <w:color w:val="auto"/>
        </w:rPr>
      </w:pPr>
      <w:r>
        <w:rPr>
          <w:rFonts w:ascii="Arial" w:cs="Arial" w:eastAsia="Arial" w:hAnsi="Arial"/>
          <w:sz w:val="16"/>
          <w:szCs w:val="16"/>
          <w:b w:val="1"/>
          <w:bCs w:val="1"/>
          <w:color w:val="494949"/>
        </w:rPr>
        <w:t xml:space="preserve">Drug Screen: </w:t>
      </w:r>
      <w:r>
        <w:rPr>
          <w:rFonts w:ascii="Arial" w:cs="Arial" w:eastAsia="Arial" w:hAnsi="Arial"/>
          <w:sz w:val="16"/>
          <w:szCs w:val="16"/>
          <w:color w:val="494949"/>
        </w:rPr>
        <w:t>In the days following your acceptance of this offer, you will receive additional information to initiate your drug screening process with</w:t>
      </w:r>
      <w:r>
        <w:rPr>
          <w:rFonts w:ascii="Arial" w:cs="Arial" w:eastAsia="Arial" w:hAnsi="Arial"/>
          <w:sz w:val="16"/>
          <w:szCs w:val="16"/>
          <w:b w:val="1"/>
          <w:bCs w:val="1"/>
          <w:color w:val="494949"/>
        </w:rPr>
        <w:t xml:space="preserve"> </w:t>
      </w:r>
      <w:r>
        <w:rPr>
          <w:rFonts w:ascii="Arial" w:cs="Arial" w:eastAsia="Arial" w:hAnsi="Arial"/>
          <w:sz w:val="16"/>
          <w:szCs w:val="16"/>
          <w:color w:val="494949"/>
        </w:rPr>
        <w:t>Northrop Grumman's Investigation partner. Please respond promptly as failure to do so may delay your start date. Upon completion of initial pre-hire contingencies, a copy of the Company's drug testing policy will be provided for your review. If you have questions regarding any drugs you may be taking and their potential impact on the drug screening results, please consult your doctor or pharmacist.</w:t>
      </w:r>
    </w:p>
    <w:p>
      <w:pPr>
        <w:spacing w:after="0" w:line="223" w:lineRule="exact"/>
        <w:rPr>
          <w:sz w:val="20"/>
          <w:szCs w:val="20"/>
          <w:color w:val="auto"/>
        </w:rPr>
      </w:pPr>
    </w:p>
    <w:p>
      <w:pPr>
        <w:ind w:left="20" w:right="40" w:hanging="8"/>
        <w:spacing w:after="0" w:line="310" w:lineRule="auto"/>
        <w:rPr>
          <w:sz w:val="20"/>
          <w:szCs w:val="20"/>
          <w:color w:val="auto"/>
        </w:rPr>
      </w:pPr>
      <w:r>
        <w:rPr>
          <w:rFonts w:ascii="Arial" w:cs="Arial" w:eastAsia="Arial" w:hAnsi="Arial"/>
          <w:sz w:val="16"/>
          <w:szCs w:val="16"/>
          <w:b w:val="1"/>
          <w:bCs w:val="1"/>
          <w:color w:val="494949"/>
        </w:rPr>
        <w:t xml:space="preserve">New Hire Forms: </w:t>
      </w:r>
      <w:r>
        <w:rPr>
          <w:rFonts w:ascii="Arial" w:cs="Arial" w:eastAsia="Arial" w:hAnsi="Arial"/>
          <w:sz w:val="16"/>
          <w:szCs w:val="16"/>
          <w:color w:val="494949"/>
        </w:rPr>
        <w:t>Receipt and signature on all required Onboarding Forms, to include a signed Form C-100E (Agreement Regarding At-Will Employment,</w:t>
      </w:r>
      <w:r>
        <w:rPr>
          <w:rFonts w:ascii="Arial" w:cs="Arial" w:eastAsia="Arial" w:hAnsi="Arial"/>
          <w:sz w:val="16"/>
          <w:szCs w:val="16"/>
          <w:b w:val="1"/>
          <w:bCs w:val="1"/>
          <w:color w:val="494949"/>
        </w:rPr>
        <w:t xml:space="preserve"> </w:t>
      </w:r>
      <w:r>
        <w:rPr>
          <w:rFonts w:ascii="Arial" w:cs="Arial" w:eastAsia="Arial" w:hAnsi="Arial"/>
          <w:sz w:val="16"/>
          <w:szCs w:val="16"/>
          <w:color w:val="494949"/>
        </w:rPr>
        <w:t>Arbitration of Disputes, Intellectual Property Rights and Procurement Integrity) is required. New hire forms will be provided to you as part of the on-boarding process.</w:t>
      </w:r>
    </w:p>
    <w:p>
      <w:pPr>
        <w:spacing w:after="0" w:line="219" w:lineRule="exact"/>
        <w:rPr>
          <w:sz w:val="20"/>
          <w:szCs w:val="20"/>
          <w:color w:val="auto"/>
        </w:rPr>
      </w:pPr>
    </w:p>
    <w:p>
      <w:pPr>
        <w:jc w:val="both"/>
        <w:ind w:left="20" w:right="80" w:hanging="8"/>
        <w:spacing w:after="0" w:line="306" w:lineRule="auto"/>
        <w:rPr>
          <w:sz w:val="20"/>
          <w:szCs w:val="20"/>
          <w:color w:val="auto"/>
        </w:rPr>
      </w:pPr>
      <w:r>
        <w:rPr>
          <w:rFonts w:ascii="Arial" w:cs="Arial" w:eastAsia="Arial" w:hAnsi="Arial"/>
          <w:sz w:val="16"/>
          <w:szCs w:val="16"/>
          <w:b w:val="1"/>
          <w:bCs w:val="1"/>
          <w:color w:val="494949"/>
        </w:rPr>
        <w:t xml:space="preserve">I-9 Employment Eligibility Verification: </w:t>
      </w:r>
      <w:r>
        <w:rPr>
          <w:rFonts w:ascii="Arial" w:cs="Arial" w:eastAsia="Arial" w:hAnsi="Arial"/>
          <w:sz w:val="16"/>
          <w:szCs w:val="16"/>
          <w:color w:val="494949"/>
        </w:rPr>
        <w:t>You must meet the requirements of the Immigration Reform and Control Act, which requires Northrop Grumman</w:t>
      </w:r>
      <w:r>
        <w:rPr>
          <w:rFonts w:ascii="Arial" w:cs="Arial" w:eastAsia="Arial" w:hAnsi="Arial"/>
          <w:sz w:val="16"/>
          <w:szCs w:val="16"/>
          <w:b w:val="1"/>
          <w:bCs w:val="1"/>
          <w:color w:val="494949"/>
        </w:rPr>
        <w:t xml:space="preserve"> </w:t>
      </w:r>
      <w:r>
        <w:rPr>
          <w:rFonts w:ascii="Arial" w:cs="Arial" w:eastAsia="Arial" w:hAnsi="Arial"/>
          <w:sz w:val="16"/>
          <w:szCs w:val="16"/>
          <w:color w:val="494949"/>
        </w:rPr>
        <w:t>to verify the identity of new or rehired employees and their legal right to work in the United States. You will be asked to provide original documents on your first day of employment that verify your identity and employment eligibility. A list of acceptable documents will be provided to you as part of the on-boarding process.</w:t>
      </w:r>
    </w:p>
    <w:p>
      <w:pPr>
        <w:spacing w:after="0" w:line="223" w:lineRule="exact"/>
        <w:rPr>
          <w:sz w:val="20"/>
          <w:szCs w:val="20"/>
          <w:color w:val="auto"/>
        </w:rPr>
      </w:pPr>
    </w:p>
    <w:p>
      <w:pPr>
        <w:jc w:val="both"/>
        <w:ind w:left="20" w:right="220" w:hanging="8"/>
        <w:spacing w:after="0" w:line="310" w:lineRule="auto"/>
        <w:rPr>
          <w:sz w:val="20"/>
          <w:szCs w:val="20"/>
          <w:color w:val="auto"/>
        </w:rPr>
      </w:pPr>
      <w:r>
        <w:rPr>
          <w:rFonts w:ascii="Arial" w:cs="Arial" w:eastAsia="Arial" w:hAnsi="Arial"/>
          <w:sz w:val="16"/>
          <w:szCs w:val="16"/>
          <w:b w:val="1"/>
          <w:bCs w:val="1"/>
          <w:color w:val="494949"/>
        </w:rPr>
        <w:t xml:space="preserve">Proof of U.S. Person Status: </w:t>
      </w:r>
      <w:r>
        <w:rPr>
          <w:rFonts w:ascii="Arial" w:cs="Arial" w:eastAsia="Arial" w:hAnsi="Arial"/>
          <w:sz w:val="16"/>
          <w:szCs w:val="16"/>
          <w:color w:val="494949"/>
        </w:rPr>
        <w:t>For the purpose of Export Control Compliance you must provide proof of U.S. Person status. This requirement is separate</w:t>
      </w:r>
      <w:r>
        <w:rPr>
          <w:rFonts w:ascii="Arial" w:cs="Arial" w:eastAsia="Arial" w:hAnsi="Arial"/>
          <w:sz w:val="16"/>
          <w:szCs w:val="16"/>
          <w:b w:val="1"/>
          <w:bCs w:val="1"/>
          <w:color w:val="494949"/>
        </w:rPr>
        <w:t xml:space="preserve"> </w:t>
      </w:r>
      <w:r>
        <w:rPr>
          <w:rFonts w:ascii="Arial" w:cs="Arial" w:eastAsia="Arial" w:hAnsi="Arial"/>
          <w:sz w:val="16"/>
          <w:szCs w:val="16"/>
          <w:color w:val="494949"/>
        </w:rPr>
        <w:t>from the documentation you are required to provide to verify your identity and employment eligibility verification. However, some of the same documents may be used for both purposes. Instructions as well as a list of acceptable documents will be provided to you as part of the onboarding process.</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00269A"/>
        </w:rPr>
        <w:t>ADDENDUM B: OTHER TERMS AND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4949"/>
        </w:rPr>
        <w:t>Other Requirements</w:t>
      </w:r>
      <w:r>
        <w:rPr>
          <w:rFonts w:ascii="Arial" w:cs="Arial" w:eastAsia="Arial" w:hAnsi="Arial"/>
          <w:sz w:val="16"/>
          <w:szCs w:val="16"/>
          <w:i w:val="1"/>
          <w:iCs w:val="1"/>
          <w:color w:val="494949"/>
        </w:rPr>
        <w:t>:</w:t>
      </w:r>
    </w:p>
    <w:p>
      <w:pPr>
        <w:spacing w:after="0" w:line="71" w:lineRule="exact"/>
        <w:rPr>
          <w:sz w:val="20"/>
          <w:szCs w:val="20"/>
          <w:color w:val="auto"/>
        </w:rPr>
      </w:pPr>
    </w:p>
    <w:p>
      <w:pPr>
        <w:ind w:left="20" w:right="700" w:hanging="8"/>
        <w:spacing w:after="0" w:line="321" w:lineRule="auto"/>
        <w:rPr>
          <w:sz w:val="20"/>
          <w:szCs w:val="20"/>
          <w:color w:val="auto"/>
        </w:rPr>
      </w:pPr>
      <w:r>
        <w:rPr>
          <w:rFonts w:ascii="Arial" w:cs="Arial" w:eastAsia="Arial" w:hAnsi="Arial"/>
          <w:sz w:val="16"/>
          <w:szCs w:val="16"/>
          <w:color w:val="494949"/>
        </w:rPr>
        <w:t>Your employment is conditioned upon your timely obtaining and consistently maintaining Company-required U.S. security clearances and program accesses. You agree to support and facilitate the clearance and program access processes completely and timely.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494949"/>
        </w:rPr>
        <w:t>In addition to the company’s regular benefits, you will be eligible for the special programs highlighted below:</w:t>
      </w:r>
    </w:p>
    <w:p>
      <w:pPr>
        <w:spacing w:after="0" w:line="289" w:lineRule="exact"/>
        <w:rPr>
          <w:sz w:val="20"/>
          <w:szCs w:val="20"/>
          <w:color w:val="auto"/>
        </w:rPr>
      </w:pPr>
    </w:p>
    <w:p>
      <w:pPr>
        <w:ind w:left="20" w:hanging="8"/>
        <w:spacing w:after="0" w:line="312" w:lineRule="auto"/>
        <w:rPr>
          <w:sz w:val="20"/>
          <w:szCs w:val="20"/>
          <w:color w:val="auto"/>
        </w:rPr>
      </w:pPr>
      <w:r>
        <w:rPr>
          <w:rFonts w:ascii="Arial" w:cs="Arial" w:eastAsia="Arial" w:hAnsi="Arial"/>
          <w:sz w:val="16"/>
          <w:szCs w:val="16"/>
          <w:b w:val="1"/>
          <w:bCs w:val="1"/>
          <w:color w:val="494949"/>
        </w:rPr>
        <w:t xml:space="preserve">Annual Incentive Plan (AIP): </w:t>
      </w:r>
      <w:r>
        <w:rPr>
          <w:rFonts w:ascii="Arial" w:cs="Arial" w:eastAsia="Arial" w:hAnsi="Arial"/>
          <w:sz w:val="16"/>
          <w:szCs w:val="16"/>
          <w:color w:val="494949"/>
        </w:rPr>
        <w:t>The AIP is an annual incentive compensation or “bonus” program in which you will be a participant. The actual award you</w:t>
      </w:r>
      <w:r>
        <w:rPr>
          <w:rFonts w:ascii="Arial" w:cs="Arial" w:eastAsia="Arial" w:hAnsi="Arial"/>
          <w:sz w:val="16"/>
          <w:szCs w:val="16"/>
          <w:b w:val="1"/>
          <w:bCs w:val="1"/>
          <w:color w:val="494949"/>
        </w:rPr>
        <w:t xml:space="preserve"> </w:t>
      </w:r>
      <w:r>
        <w:rPr>
          <w:rFonts w:ascii="Arial" w:cs="Arial" w:eastAsia="Arial" w:hAnsi="Arial"/>
          <w:sz w:val="16"/>
          <w:szCs w:val="16"/>
          <w:color w:val="494949"/>
        </w:rPr>
        <w:t>may receive will be dependent upon the performance of the Company and your own personal performance against a set of predetermined objectives. Awards under this plan are made to eligible participants during the March timeframe for the previous year’s performance. Participation in the AIP program is subject to review and</w:t>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49" w:lineRule="exact"/>
        <w:rPr>
          <w:sz w:val="20"/>
          <w:szCs w:val="20"/>
          <w:color w:val="auto"/>
        </w:rPr>
      </w:pPr>
    </w:p>
    <w:p>
      <w:pPr>
        <w:ind w:left="20"/>
        <w:spacing w:after="0" w:line="339" w:lineRule="auto"/>
        <w:rPr>
          <w:sz w:val="20"/>
          <w:szCs w:val="20"/>
          <w:color w:val="auto"/>
        </w:rPr>
      </w:pPr>
      <w:r>
        <w:rPr>
          <w:rFonts w:ascii="Arial" w:cs="Arial" w:eastAsia="Arial" w:hAnsi="Arial"/>
          <w:sz w:val="16"/>
          <w:szCs w:val="16"/>
          <w:color w:val="494949"/>
        </w:rPr>
        <w:t>approval annually. For 2026, your target is set at 110% of base salary. Maximum payout is 200% of the target; there is no minimum. This payment is subject to normal payroll deductions.</w:t>
      </w:r>
    </w:p>
    <w:p>
      <w:pPr>
        <w:spacing w:after="0" w:line="182" w:lineRule="exact"/>
        <w:rPr>
          <w:sz w:val="20"/>
          <w:szCs w:val="20"/>
          <w:color w:val="auto"/>
        </w:rPr>
      </w:pPr>
    </w:p>
    <w:p>
      <w:pPr>
        <w:ind w:left="20" w:right="80" w:hanging="8"/>
        <w:spacing w:after="0" w:line="303" w:lineRule="auto"/>
        <w:rPr>
          <w:sz w:val="20"/>
          <w:szCs w:val="20"/>
          <w:color w:val="auto"/>
        </w:rPr>
      </w:pPr>
      <w:r>
        <w:rPr>
          <w:rFonts w:ascii="Arial" w:cs="Arial" w:eastAsia="Arial" w:hAnsi="Arial"/>
          <w:sz w:val="16"/>
          <w:szCs w:val="16"/>
          <w:b w:val="1"/>
          <w:bCs w:val="1"/>
          <w:color w:val="494949"/>
        </w:rPr>
        <w:t xml:space="preserve">Long-Term Incentive Grants: </w:t>
      </w:r>
      <w:r>
        <w:rPr>
          <w:rFonts w:ascii="Arial" w:cs="Arial" w:eastAsia="Arial" w:hAnsi="Arial"/>
          <w:sz w:val="16"/>
          <w:szCs w:val="16"/>
          <w:color w:val="494949"/>
        </w:rPr>
        <w:t>You will be eligible for annual grants of equity awards under the terms of the Company’s Long-Term Incentive Stock Plan</w:t>
      </w:r>
      <w:r>
        <w:rPr>
          <w:rFonts w:ascii="Arial" w:cs="Arial" w:eastAsia="Arial" w:hAnsi="Arial"/>
          <w:sz w:val="16"/>
          <w:szCs w:val="16"/>
          <w:b w:val="1"/>
          <w:bCs w:val="1"/>
          <w:color w:val="494949"/>
        </w:rPr>
        <w:t xml:space="preserve"> </w:t>
      </w:r>
      <w:r>
        <w:rPr>
          <w:rFonts w:ascii="Arial" w:cs="Arial" w:eastAsia="Arial" w:hAnsi="Arial"/>
          <w:sz w:val="16"/>
          <w:szCs w:val="16"/>
          <w:color w:val="494949"/>
        </w:rPr>
        <w:t>(and any successor to such plan) (“LTISP”). These grants are subject to the LTISP and your decision to accept the Grant Agreements. These grants are typically made in February. Your annual grant for calendar year 2026 will be a minimum estimated value of $5,000,000. The exact number of shares will be determined on the February annual grant date and will be based upon the Company’s customary award grant valuation methodologies. This award will be granted in the forms and consistent with the Committee approval of ELT grants. Each grant award is subject to the performance and termination of employment rules set forth in its respective Grant Agreement.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494949"/>
        </w:rPr>
        <w:t>In calendar years following 2026, you will be eligible for equity awards commensurate with your position at the time of grant.</w:t>
      </w:r>
    </w:p>
    <w:p>
      <w:pPr>
        <w:spacing w:after="0" w:line="46" w:lineRule="exact"/>
        <w:rPr>
          <w:sz w:val="20"/>
          <w:szCs w:val="20"/>
          <w:color w:val="auto"/>
        </w:rPr>
      </w:pPr>
    </w:p>
    <w:p>
      <w:pPr>
        <w:ind w:left="20" w:right="140" w:hanging="8"/>
        <w:spacing w:after="0" w:line="339" w:lineRule="auto"/>
        <w:rPr>
          <w:sz w:val="20"/>
          <w:szCs w:val="20"/>
          <w:color w:val="auto"/>
        </w:rPr>
      </w:pPr>
      <w:r>
        <w:rPr>
          <w:rFonts w:ascii="Arial" w:cs="Arial" w:eastAsia="Arial" w:hAnsi="Arial"/>
          <w:sz w:val="16"/>
          <w:szCs w:val="16"/>
          <w:color w:val="494949"/>
        </w:rPr>
        <w:t>As an elected officer, you will be required to own Company stock valued at three times annual salary as specified by the Company’s Stock Ownership and Holding Requirements. Additionally, officers are required to hold all NG shares until the ownership threshold has been met.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494949"/>
        </w:rPr>
        <w:t xml:space="preserve">Sign-on Grant: </w:t>
      </w:r>
      <w:r>
        <w:rPr>
          <w:rFonts w:ascii="Arial" w:cs="Arial" w:eastAsia="Arial" w:hAnsi="Arial"/>
          <w:sz w:val="16"/>
          <w:szCs w:val="16"/>
          <w:color w:val="494949"/>
        </w:rPr>
        <w:t>The Company will provide you with a special grant of Restricted Stock Rights (Special 2026 RSRs) with an approximate value of</w:t>
      </w:r>
    </w:p>
    <w:p>
      <w:pPr>
        <w:spacing w:after="0" w:line="39" w:lineRule="exact"/>
        <w:rPr>
          <w:sz w:val="20"/>
          <w:szCs w:val="20"/>
          <w:color w:val="auto"/>
        </w:rPr>
      </w:pPr>
    </w:p>
    <w:p>
      <w:pPr>
        <w:ind w:left="20" w:right="20"/>
        <w:spacing w:after="0" w:line="307" w:lineRule="auto"/>
        <w:rPr>
          <w:sz w:val="20"/>
          <w:szCs w:val="20"/>
          <w:color w:val="auto"/>
        </w:rPr>
      </w:pPr>
      <w:r>
        <w:rPr>
          <w:rFonts w:ascii="Arial" w:cs="Arial" w:eastAsia="Arial" w:hAnsi="Arial"/>
          <w:sz w:val="16"/>
          <w:szCs w:val="16"/>
          <w:color w:val="494949"/>
        </w:rPr>
        <w:t>$2,000,000. Fifty percent (50%) of the RSRs will vest on the first anniversary of the grant date and the remaining 50% will vest on the second anniversary of the grant date, provided that if employment is involuntarily terminated due to inability to timely obtain Company-required security clearances and program accesses, only the first 50% will vest at termination and the remaining 50% is forfeited. The exact number of shares will be determined at the February grant date and will be based upon the Company’s customary award grant valuation methodologies. These Special 2026 RSRs shall be subject to all the terms and conditions of the LTISP and the applicable Grant Agreement.</w:t>
      </w:r>
    </w:p>
    <w:p>
      <w:pPr>
        <w:spacing w:after="0" w:line="207" w:lineRule="exact"/>
        <w:rPr>
          <w:sz w:val="20"/>
          <w:szCs w:val="20"/>
          <w:color w:val="auto"/>
        </w:rPr>
      </w:pPr>
    </w:p>
    <w:p>
      <w:pPr>
        <w:ind w:left="20" w:right="280" w:hanging="8"/>
        <w:spacing w:after="0" w:line="319" w:lineRule="auto"/>
        <w:rPr>
          <w:sz w:val="20"/>
          <w:szCs w:val="20"/>
          <w:color w:val="auto"/>
        </w:rPr>
      </w:pPr>
      <w:r>
        <w:rPr>
          <w:rFonts w:ascii="Arial" w:cs="Arial" w:eastAsia="Arial" w:hAnsi="Arial"/>
          <w:sz w:val="16"/>
          <w:szCs w:val="16"/>
          <w:b w:val="1"/>
          <w:bCs w:val="1"/>
          <w:color w:val="494949"/>
        </w:rPr>
        <w:t xml:space="preserve">Executive Perquisites: </w:t>
      </w:r>
      <w:r>
        <w:rPr>
          <w:rFonts w:ascii="Arial" w:cs="Arial" w:eastAsia="Arial" w:hAnsi="Arial"/>
          <w:sz w:val="16"/>
          <w:szCs w:val="16"/>
          <w:color w:val="494949"/>
        </w:rPr>
        <w:t>As a vice president, you will receive executive perquisites. The perquisites currently include reimbursement of up to $18,500</w:t>
      </w:r>
      <w:r>
        <w:rPr>
          <w:rFonts w:ascii="Arial" w:cs="Arial" w:eastAsia="Arial" w:hAnsi="Arial"/>
          <w:sz w:val="16"/>
          <w:szCs w:val="16"/>
          <w:b w:val="1"/>
          <w:bCs w:val="1"/>
          <w:color w:val="494949"/>
        </w:rPr>
        <w:t xml:space="preserve"> </w:t>
      </w:r>
      <w:r>
        <w:rPr>
          <w:rFonts w:ascii="Arial" w:cs="Arial" w:eastAsia="Arial" w:hAnsi="Arial"/>
          <w:sz w:val="16"/>
          <w:szCs w:val="16"/>
          <w:color w:val="494949"/>
        </w:rPr>
        <w:t>annually for tax preparation/financial planning, personal liability insurance, and an executive physical examination program. You will receive ten holidays and accrue paid time off (PTO) at a rate of five weeks per calendar year. You will also be covered by the severance plan applicable to ELT officers.</w:t>
      </w:r>
    </w:p>
    <w:p>
      <w:pPr>
        <w:spacing w:after="0" w:line="198" w:lineRule="exact"/>
        <w:rPr>
          <w:sz w:val="20"/>
          <w:szCs w:val="20"/>
          <w:color w:val="auto"/>
        </w:rPr>
      </w:pPr>
    </w:p>
    <w:p>
      <w:pPr>
        <w:jc w:val="both"/>
        <w:ind w:left="20" w:right="120" w:hanging="8"/>
        <w:spacing w:after="0" w:line="319" w:lineRule="auto"/>
        <w:rPr>
          <w:sz w:val="20"/>
          <w:szCs w:val="20"/>
          <w:color w:val="auto"/>
        </w:rPr>
      </w:pPr>
      <w:r>
        <w:rPr>
          <w:rFonts w:ascii="Arial" w:cs="Arial" w:eastAsia="Arial" w:hAnsi="Arial"/>
          <w:sz w:val="16"/>
          <w:szCs w:val="16"/>
          <w:b w:val="1"/>
          <w:bCs w:val="1"/>
          <w:color w:val="494949"/>
        </w:rPr>
        <w:t xml:space="preserve">Insurance Protection: </w:t>
      </w:r>
      <w:r>
        <w:rPr>
          <w:rFonts w:ascii="Arial" w:cs="Arial" w:eastAsia="Arial" w:hAnsi="Arial"/>
          <w:sz w:val="16"/>
          <w:szCs w:val="16"/>
          <w:color w:val="494949"/>
        </w:rPr>
        <w:t>The Company will provide company-paid basic life insurance coverage of three times base salary (up to a maximum of $2 million),</w:t>
      </w:r>
      <w:r>
        <w:rPr>
          <w:rFonts w:ascii="Arial" w:cs="Arial" w:eastAsia="Arial" w:hAnsi="Arial"/>
          <w:sz w:val="16"/>
          <w:szCs w:val="16"/>
          <w:b w:val="1"/>
          <w:bCs w:val="1"/>
          <w:color w:val="494949"/>
        </w:rPr>
        <w:t xml:space="preserve"> </w:t>
      </w:r>
      <w:r>
        <w:rPr>
          <w:rFonts w:ascii="Arial" w:cs="Arial" w:eastAsia="Arial" w:hAnsi="Arial"/>
          <w:sz w:val="16"/>
          <w:szCs w:val="16"/>
          <w:color w:val="494949"/>
        </w:rPr>
        <w:t>basic AD&amp;D coverage of six times base salary (up to a maximum of $1 million) and an individual long-term disability policy of up to 75% of base salary (up to a maximum of $25,000 monthly).</w:t>
      </w:r>
    </w:p>
    <w:p>
      <w:pPr>
        <w:spacing w:after="0" w:line="198" w:lineRule="exact"/>
        <w:rPr>
          <w:sz w:val="20"/>
          <w:szCs w:val="20"/>
          <w:color w:val="auto"/>
        </w:rPr>
      </w:pPr>
    </w:p>
    <w:p>
      <w:pPr>
        <w:ind w:left="20" w:right="40" w:hanging="8"/>
        <w:spacing w:after="0" w:line="319" w:lineRule="auto"/>
        <w:rPr>
          <w:sz w:val="20"/>
          <w:szCs w:val="20"/>
          <w:color w:val="auto"/>
        </w:rPr>
      </w:pPr>
      <w:r>
        <w:rPr>
          <w:rFonts w:ascii="Arial" w:cs="Arial" w:eastAsia="Arial" w:hAnsi="Arial"/>
          <w:sz w:val="16"/>
          <w:szCs w:val="16"/>
          <w:b w:val="1"/>
          <w:bCs w:val="1"/>
          <w:color w:val="494949"/>
        </w:rPr>
        <w:t xml:space="preserve">Retirement Benefits: </w:t>
      </w:r>
      <w:r>
        <w:rPr>
          <w:rFonts w:ascii="Arial" w:cs="Arial" w:eastAsia="Arial" w:hAnsi="Arial"/>
          <w:sz w:val="16"/>
          <w:szCs w:val="16"/>
          <w:color w:val="494949"/>
        </w:rPr>
        <w:t>You will participate in the Officers Retirement Account Contribution Plan (ORAC), which provides enhanced pension benefits in</w:t>
      </w:r>
      <w:r>
        <w:rPr>
          <w:rFonts w:ascii="Arial" w:cs="Arial" w:eastAsia="Arial" w:hAnsi="Arial"/>
          <w:sz w:val="16"/>
          <w:szCs w:val="16"/>
          <w:b w:val="1"/>
          <w:bCs w:val="1"/>
          <w:color w:val="494949"/>
        </w:rPr>
        <w:t xml:space="preserve"> </w:t>
      </w:r>
      <w:r>
        <w:rPr>
          <w:rFonts w:ascii="Arial" w:cs="Arial" w:eastAsia="Arial" w:hAnsi="Arial"/>
          <w:sz w:val="16"/>
          <w:szCs w:val="16"/>
          <w:color w:val="494949"/>
        </w:rPr>
        <w:t>excess of those accrued under a qualified plan or other non-qualified supplemental pension plans. The ORAC currently provides a Company contribution of four percent of eligible compensation.</w:t>
      </w:r>
    </w:p>
    <w:p>
      <w:pPr>
        <w:spacing w:after="0" w:line="198" w:lineRule="exact"/>
        <w:rPr>
          <w:sz w:val="20"/>
          <w:szCs w:val="20"/>
          <w:color w:val="auto"/>
        </w:rPr>
      </w:pPr>
    </w:p>
    <w:p>
      <w:pPr>
        <w:ind w:left="20" w:right="180" w:hanging="8"/>
        <w:spacing w:after="0" w:line="339" w:lineRule="auto"/>
        <w:rPr>
          <w:sz w:val="20"/>
          <w:szCs w:val="20"/>
          <w:color w:val="auto"/>
        </w:rPr>
      </w:pPr>
      <w:r>
        <w:rPr>
          <w:rFonts w:ascii="Arial" w:cs="Arial" w:eastAsia="Arial" w:hAnsi="Arial"/>
          <w:sz w:val="16"/>
          <w:szCs w:val="16"/>
          <w:b w:val="1"/>
          <w:bCs w:val="1"/>
          <w:color w:val="494949"/>
        </w:rPr>
        <w:t>Relocation Benefits</w:t>
      </w:r>
      <w:r>
        <w:rPr>
          <w:rFonts w:ascii="Arial" w:cs="Arial" w:eastAsia="Arial" w:hAnsi="Arial"/>
          <w:sz w:val="16"/>
          <w:szCs w:val="16"/>
          <w:color w:val="494949"/>
        </w:rPr>
        <w:t>: You will be eligible for relocation benefits under the Northrop Grumman U.S. Domestic Relocation Plan for VP/Executive new hires,</w:t>
      </w:r>
      <w:r>
        <w:rPr>
          <w:rFonts w:ascii="Arial" w:cs="Arial" w:eastAsia="Arial" w:hAnsi="Arial"/>
          <w:sz w:val="16"/>
          <w:szCs w:val="16"/>
          <w:b w:val="1"/>
          <w:bCs w:val="1"/>
          <w:color w:val="494949"/>
        </w:rPr>
        <w:t xml:space="preserve"> </w:t>
      </w:r>
      <w:r>
        <w:rPr>
          <w:rFonts w:ascii="Arial" w:cs="Arial" w:eastAsia="Arial" w:hAnsi="Arial"/>
          <w:sz w:val="16"/>
          <w:szCs w:val="16"/>
          <w:color w:val="494949"/>
        </w:rPr>
        <w:t>including temporary living for up to 12 months.</w:t>
      </w:r>
    </w:p>
    <w:p>
      <w:pPr>
        <w:spacing w:after="0" w:line="196" w:lineRule="exact"/>
        <w:rPr>
          <w:sz w:val="20"/>
          <w:szCs w:val="20"/>
          <w:color w:val="auto"/>
        </w:rPr>
      </w:pPr>
    </w:p>
    <w:p>
      <w:pPr>
        <w:ind w:left="20" w:right="440" w:hanging="8"/>
        <w:spacing w:after="0" w:line="310" w:lineRule="auto"/>
        <w:rPr>
          <w:sz w:val="20"/>
          <w:szCs w:val="20"/>
          <w:color w:val="auto"/>
        </w:rPr>
      </w:pPr>
      <w:r>
        <w:rPr>
          <w:rFonts w:ascii="Arial" w:cs="Arial" w:eastAsia="Arial" w:hAnsi="Arial"/>
          <w:sz w:val="16"/>
          <w:szCs w:val="16"/>
          <w:b w:val="1"/>
          <w:bCs w:val="1"/>
          <w:color w:val="494949"/>
        </w:rPr>
        <w:t xml:space="preserve">Compliance with Section 409A: </w:t>
      </w:r>
      <w:r>
        <w:rPr>
          <w:rFonts w:ascii="Arial" w:cs="Arial" w:eastAsia="Arial" w:hAnsi="Arial"/>
          <w:sz w:val="16"/>
          <w:szCs w:val="16"/>
          <w:color w:val="494949"/>
        </w:rPr>
        <w:t>It is intended that any amounts and benefits payable to you under this offer letter shall comply with and avoid the</w:t>
      </w:r>
      <w:r>
        <w:rPr>
          <w:rFonts w:ascii="Arial" w:cs="Arial" w:eastAsia="Arial" w:hAnsi="Arial"/>
          <w:sz w:val="16"/>
          <w:szCs w:val="16"/>
          <w:b w:val="1"/>
          <w:bCs w:val="1"/>
          <w:color w:val="494949"/>
        </w:rPr>
        <w:t xml:space="preserve"> </w:t>
      </w:r>
      <w:r>
        <w:rPr>
          <w:rFonts w:ascii="Arial" w:cs="Arial" w:eastAsia="Arial" w:hAnsi="Arial"/>
          <w:sz w:val="16"/>
          <w:szCs w:val="16"/>
          <w:color w:val="494949"/>
        </w:rPr>
        <w:t>imputation of any tax, penalty or interest under Section 409A of the Internal Revenue Code (“Section 409A”). This offer letter shall be constructed and interpreted consistent with that intent.</w:t>
      </w:r>
    </w:p>
    <w:p>
      <w:pPr>
        <w:spacing w:after="0" w:line="219" w:lineRule="exact"/>
        <w:rPr>
          <w:sz w:val="20"/>
          <w:szCs w:val="20"/>
          <w:color w:val="auto"/>
        </w:rPr>
      </w:pPr>
    </w:p>
    <w:p>
      <w:pPr>
        <w:ind w:left="20" w:right="140" w:hanging="8"/>
        <w:spacing w:after="0" w:line="339" w:lineRule="auto"/>
        <w:rPr>
          <w:sz w:val="20"/>
          <w:szCs w:val="20"/>
          <w:color w:val="auto"/>
        </w:rPr>
      </w:pPr>
      <w:r>
        <w:rPr>
          <w:rFonts w:ascii="Arial" w:cs="Arial" w:eastAsia="Arial" w:hAnsi="Arial"/>
          <w:sz w:val="16"/>
          <w:szCs w:val="16"/>
          <w:b w:val="1"/>
          <w:bCs w:val="1"/>
          <w:color w:val="494949"/>
        </w:rPr>
        <w:t xml:space="preserve">Company’s Right to Change Policies and Plans: </w:t>
      </w:r>
      <w:r>
        <w:rPr>
          <w:rFonts w:ascii="Arial" w:cs="Arial" w:eastAsia="Arial" w:hAnsi="Arial"/>
          <w:sz w:val="16"/>
          <w:szCs w:val="16"/>
          <w:color w:val="494949"/>
        </w:rPr>
        <w:t>Nothing in this offer letter affects or limits the Company’s right to amend or terminate its compensation</w:t>
      </w:r>
      <w:r>
        <w:rPr>
          <w:rFonts w:ascii="Arial" w:cs="Arial" w:eastAsia="Arial" w:hAnsi="Arial"/>
          <w:sz w:val="16"/>
          <w:szCs w:val="16"/>
          <w:b w:val="1"/>
          <w:bCs w:val="1"/>
          <w:color w:val="494949"/>
        </w:rPr>
        <w:t xml:space="preserve"> </w:t>
      </w:r>
      <w:r>
        <w:rPr>
          <w:rFonts w:ascii="Arial" w:cs="Arial" w:eastAsia="Arial" w:hAnsi="Arial"/>
          <w:sz w:val="16"/>
          <w:szCs w:val="16"/>
          <w:color w:val="494949"/>
        </w:rPr>
        <w:t>and benefit policies and plans, including, without limitation, the plans listed above or other plans for which you will be eligible.</w:t>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49" w:lineRule="exact"/>
        <w:rPr>
          <w:sz w:val="20"/>
          <w:szCs w:val="20"/>
          <w:color w:val="auto"/>
        </w:rPr>
      </w:pPr>
    </w:p>
    <w:p>
      <w:pPr>
        <w:ind w:left="20" w:right="140" w:hanging="8"/>
        <w:spacing w:after="0" w:line="339" w:lineRule="auto"/>
        <w:rPr>
          <w:sz w:val="20"/>
          <w:szCs w:val="20"/>
          <w:color w:val="auto"/>
        </w:rPr>
      </w:pPr>
      <w:r>
        <w:rPr>
          <w:rFonts w:ascii="Arial" w:cs="Arial" w:eastAsia="Arial" w:hAnsi="Arial"/>
          <w:sz w:val="16"/>
          <w:szCs w:val="16"/>
          <w:color w:val="494949"/>
        </w:rPr>
        <w:t>John, the above is a summary of the key compensation and benefit provisions of this offer. Additional information about the AIP, your equity grants and retirement benefits will be provided via an executive onboarding meeting, which will be arranged after your start date.</w:t>
      </w:r>
    </w:p>
    <w:p>
      <w:pPr>
        <w:spacing w:after="0" w:line="200" w:lineRule="exact"/>
        <w:rPr>
          <w:sz w:val="20"/>
          <w:szCs w:val="20"/>
          <w:color w:val="auto"/>
        </w:rPr>
      </w:pPr>
    </w:p>
    <w:p>
      <w:pPr>
        <w:spacing w:after="0" w:line="225" w:lineRule="exact"/>
        <w:rPr>
          <w:sz w:val="20"/>
          <w:szCs w:val="20"/>
          <w:color w:val="auto"/>
        </w:rPr>
      </w:pPr>
    </w:p>
    <w:p>
      <w:pPr>
        <w:ind w:left="20" w:hanging="8"/>
        <w:spacing w:after="0" w:line="299" w:lineRule="auto"/>
        <w:rPr>
          <w:sz w:val="20"/>
          <w:szCs w:val="20"/>
          <w:color w:val="auto"/>
        </w:rPr>
      </w:pPr>
      <w:r>
        <w:rPr>
          <w:rFonts w:ascii="Arial" w:cs="Arial" w:eastAsia="Arial" w:hAnsi="Arial"/>
          <w:sz w:val="16"/>
          <w:szCs w:val="16"/>
          <w:color w:val="494949"/>
        </w:rPr>
        <w:t xml:space="preserve">Northrop Grumman is an Equal Opportunity/Affirmative Action Employer, making decisions without regard to race, color, religion, creed, sex, sexual orientation, gender identity, marital status, national origin, age, veteran status, disability, or any other protected class. For our complete EEO/AA and Pay Transparency statement, please visit </w:t>
      </w:r>
      <w:r>
        <w:rPr>
          <w:rFonts w:ascii="Arial" w:cs="Arial" w:eastAsia="Arial" w:hAnsi="Arial"/>
          <w:sz w:val="16"/>
          <w:szCs w:val="16"/>
          <w:u w:val="single" w:color="auto"/>
          <w:color w:val="0000EE"/>
        </w:rPr>
        <w:t>http://www.northrop</w:t>
      </w:r>
      <w:r>
        <w:rPr>
          <w:rFonts w:ascii="Arial" w:cs="Arial" w:eastAsia="Arial" w:hAnsi="Arial"/>
          <w:sz w:val="16"/>
          <w:szCs w:val="16"/>
          <w:color w:val="0000EE"/>
        </w:rPr>
        <w:t>g</w:t>
      </w:r>
      <w:r>
        <w:rPr>
          <w:rFonts w:ascii="Arial" w:cs="Arial" w:eastAsia="Arial" w:hAnsi="Arial"/>
          <w:sz w:val="16"/>
          <w:szCs w:val="16"/>
          <w:u w:val="single" w:color="auto"/>
          <w:color w:val="0000EE"/>
        </w:rPr>
        <w:t>rumman.com/EEO.</w:t>
      </w:r>
      <w:r>
        <w:rPr>
          <w:rFonts w:ascii="Arial" w:cs="Arial" w:eastAsia="Arial" w:hAnsi="Arial"/>
          <w:sz w:val="16"/>
          <w:szCs w:val="16"/>
          <w:color w:val="494949"/>
        </w:rPr>
        <w:t xml:space="preserve"> U.S. Citizenship is required for most positions.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94949"/>
        </w:rPr>
        <w:t>Employer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494949"/>
        </w:rPr>
        <w:t>Northrop Grumman Systems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494949"/>
        </w:rPr>
        <w:t>2980 Fairview Park Drive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494949"/>
        </w:rPr>
        <w:t>Falls Church, VA 22042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494949"/>
        </w:rPr>
        <w:t>(703) 280-2900</w:t>
      </w:r>
    </w:p>
    <w:p>
      <w:pPr>
        <w:sectPr>
          <w:pgSz w:w="11900" w:h="16838" w:orient="portrait"/>
          <w:cols w:equalWidth="0" w:num="1">
            <w:col w:w="10920"/>
          </w:cols>
          <w:pgMar w:left="320" w:top="1440" w:right="659" w:bottom="1440" w:gutter="0" w:footer="0" w:header="0"/>
        </w:sectPr>
      </w:pPr>
    </w:p>
    <w:bookmarkStart w:id="107" w:name="page108"/>
    <w:bookmarkEnd w:id="107"/>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NORTHROP GRUMMAN CORPORATION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144"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033-59815, 033-59853, 333-67266, 333-100179, 333-107734, 333-121104, 333-125120, 333-127317, 333-175798, 333-273482, and 333-281008 on Form S-8, 333-270497 on Form S-3, and 333-264549 on Form S-4 of our reports dated January 26, 2026, relating to the financial statements of Northrop Grumman Corporation and subsidiaries, and the effectiveness of Northrop Grumman Corporation and subsidiaries' internal control over financial reporting, appearing in this Annual Report on Form 10-K for the year ended December 31, 2025.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ANNUAL REPORT ON FORM 10-K</w:t>
      </w:r>
    </w:p>
    <w:p>
      <w:pPr>
        <w:spacing w:after="0" w:line="2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NORTHROP GRUMMAN CORPORATION, a Delaware corporation, does hereby appoint KATHRYN G. SIMPSON and JENNIFER C. MCGAREY, and each of them as his or her agents and attorneys-in-fact (the “Agents”), in his or her respective name and in the capacity or capacities indicated below, to execute and/or file the Annual Report on Form 10-K for the fiscal year ended December 31, 2025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Power of Attorney to be executed as of this 26th day of January 2026.</w:t>
      </w:r>
    </w:p>
    <w:p>
      <w:pPr>
        <w:sectPr>
          <w:pgSz w:w="11900" w:h="16838" w:orient="portrait"/>
          <w:cols w:equalWidth="0" w:num="1">
            <w:col w:w="11240"/>
          </w:cols>
          <w:pgMar w:left="320" w:top="98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P. Abney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P. Abney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C. Brown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C. Brown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M. Fudge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M. Fudge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Madeleine A. Kleiner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Madeleine A. Kleiner</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Arvind Krishna</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Arvind Krishna</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Kimberly A. Ross</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Kimberly A. Ross</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Roughead</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Gary Roughead</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Schoewe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M. Schoewe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 Turley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S. Turley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Welsh, III</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A. Welsh, III</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A. Winston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Mary A. Winston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Kathy J. Warden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Kathy J. Warden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T. Greene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John T. Greene</w:t>
            </w:r>
          </w:p>
        </w:tc>
        <w:tc>
          <w:tcPr>
            <w:tcW w:w="4180" w:type="dxa"/>
            <w:vAlign w:val="bottom"/>
          </w:tcPr>
          <w:p>
            <w:pPr>
              <w:spacing w:after="0"/>
              <w:rPr>
                <w:sz w:val="20"/>
                <w:szCs w:val="20"/>
                <w:color w:val="auto"/>
              </w:rPr>
            </w:pPr>
          </w:p>
        </w:tc>
      </w:tr>
    </w:tbl>
    <w:p>
      <w:pPr>
        <w:sectPr>
          <w:pgSz w:w="11900" w:h="16838" w:orient="portrait"/>
          <w:cols w:equalWidth="0" w:num="1">
            <w:col w:w="10139"/>
          </w:cols>
          <w:pgMar w:left="320" w:top="117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26, 2026</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Greene, certify that:</w:t>
      </w:r>
    </w:p>
    <w:p>
      <w:pPr>
        <w:spacing w:after="0" w:line="90"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26, 2026</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John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T. Greene</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2025,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26, 2026</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2025, as filed with the Securities and Exchange Commission on the date hereof (the “Report”), I, John T. Greene,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26, 2026</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John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T. Greene</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Northrop Grumman Policy Regarding the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Recoupment of Certain Incentive Compensation Payments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policy of Northrop Grumman Corporation (“Northrop Grumman” or the “Company”) sets forth the Company’s policy regarding the recoupment of certain incentive compensation payments.</w:t>
      </w:r>
    </w:p>
    <w:p>
      <w:pPr>
        <w:spacing w:after="0" w:line="12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 requirement that the Company prepare an accounting restatement due to the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for purposes of this policy.</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of the Company (as defined in Rule 16a-1(f)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Act (an “Executive Officer”)) at any time during the performance period for the applicable Incentive-Based Compensation.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“Erroneously Awarded Compensation” </w:t>
      </w:r>
      <w:r>
        <w:rPr>
          <w:rFonts w:ascii="Times New Roman" w:cs="Times New Roman" w:eastAsia="Times New Roman" w:hAnsi="Times New Roman"/>
          <w:sz w:val="21"/>
          <w:szCs w:val="21"/>
          <w:color w:val="auto"/>
        </w:rPr>
        <w:t>means the amount of Incentive-Based Compensation that was received that exceeds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amount of Incentive-Based Compensation that otherwise would have been Received had the amount of Incentive-Based Compensation been determined based on the restated amounts, computed without regard to any taxes paid by the Covered Person. For Incentive-Based Compensation based on stock price or total shareholder return, where the amount of erroneously awarded compensation is not subject to mathematical recalculation directly from the information in an Accounting Restatement,</w:t>
      </w:r>
    </w:p>
    <w:p>
      <w:pPr>
        <w:spacing w:after="0" w:line="4" w:lineRule="exact"/>
        <w:rPr>
          <w:sz w:val="20"/>
          <w:szCs w:val="20"/>
          <w:color w:val="auto"/>
        </w:rPr>
      </w:pPr>
    </w:p>
    <w:p>
      <w:pPr>
        <w:jc w:val="both"/>
        <w:ind w:firstLine="8"/>
        <w:spacing w:after="0" w:line="251" w:lineRule="auto"/>
        <w:tabs>
          <w:tab w:leader="none" w:pos="27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must be based on a reasonable estimate of the effect of the Accounting Restatement on the stock price or total shareholder return upon which the Incentive-Based Compensation was Received and (ii) the Company must maintain documentation of the determination of the estimate and provide the documentation to the NYSE.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“Financial Reporting Measure” </w:t>
      </w:r>
      <w:r>
        <w:rPr>
          <w:rFonts w:ascii="Times New Roman" w:cs="Times New Roman" w:eastAsia="Times New Roman" w:hAnsi="Times New Roman"/>
          <w:sz w:val="22"/>
          <w:szCs w:val="22"/>
          <w:color w:val="auto"/>
        </w:rPr>
        <w:t>means any measure that is determined and presented in accordance with the accounting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principles used in preparing the Company’s financial statements, and any measure that is derived wholly or in part from such measure (including stock price and total shareholder return).</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(i) compensation that is granted, earned, or vested based wholly or in part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attainment of a Financial Reporting Measure or (ii) compensation that is granted, earned, or vested based wholly or in part on continued service or time-based vesting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9, 2025</w:t>
      </w:r>
    </w:p>
    <w:p>
      <w:pPr>
        <w:sectPr>
          <w:pgSz w:w="11900" w:h="16838" w:orient="portrait"/>
          <w:cols w:equalWidth="0" w:num="1">
            <w:col w:w="11240"/>
          </w:cols>
          <w:pgMar w:left="320" w:top="1431" w:right="339" w:bottom="1440" w:gutter="0" w:footer="0" w:header="0"/>
        </w:sectPr>
      </w:pPr>
    </w:p>
    <w:bookmarkStart w:id="116" w:name="page117"/>
    <w:bookmarkEnd w:id="116"/>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Incentive-Based Compensation award is attained, even if the payment or grant of the Incentive-Based Compensation occurs after the end of the period.</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(i) the date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(the “Board”), a committee of the Board, or the officer/officers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16"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Subject to the terms of this policy and the requirements of Section 303A. 14 of the NYSE Listed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Manual (“Section 303A.14”), if the Company is required to prepare an Accounting Restatement, the Company will recover, reasonably promptly from each Covered Person, the amount of Erroneously Awarded Compensation that was Received by such Covered Person during the Recovery Period.</w:t>
      </w:r>
    </w:p>
    <w:p>
      <w:pPr>
        <w:spacing w:after="0" w:line="5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Covered</w:t>
      </w:r>
      <w:r>
        <w:rPr>
          <w:rFonts w:ascii="Times New Roman" w:cs="Times New Roman" w:eastAsia="Times New Roman" w:hAnsi="Times New Roman"/>
          <w:sz w:val="22"/>
          <w:szCs w:val="22"/>
          <w:color w:val="auto"/>
        </w:rPr>
        <w:t>. This Section 2 does not apply to Incentive-Based Compensation that was Received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Covered Person before October 2, 2023 or before beginning service as an Executive Officer or, if earlier, first being designated as a Covered Person.</w:t>
      </w:r>
    </w:p>
    <w:p>
      <w:pPr>
        <w:spacing w:after="0" w:line="58" w:lineRule="exact"/>
        <w:rPr>
          <w:rFonts w:ascii="Times New Roman" w:cs="Times New Roman" w:eastAsia="Times New Roman" w:hAnsi="Times New Roman"/>
          <w:sz w:val="22"/>
          <w:szCs w:val="22"/>
          <w:color w:val="auto"/>
        </w:rPr>
      </w:pPr>
    </w:p>
    <w:p>
      <w:pPr>
        <w:jc w:val="both"/>
        <w:ind w:right="20" w:firstLine="656"/>
        <w:spacing w:after="0" w:line="313" w:lineRule="auto"/>
        <w:tabs>
          <w:tab w:leader="none" w:pos="115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Exceptions to Recovery</w:t>
      </w:r>
      <w:r>
        <w:rPr>
          <w:rFonts w:ascii="Times New Roman" w:cs="Times New Roman" w:eastAsia="Times New Roman" w:hAnsi="Times New Roman"/>
          <w:sz w:val="21"/>
          <w:szCs w:val="21"/>
          <w:color w:val="auto"/>
        </w:rPr>
        <w:t>. The Company shall not be required to recover Erroneously Awarded Compensation if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determination is made by the Compensation and Human Capital Committee that recovery would be impracticable, such as where:</w:t>
      </w:r>
    </w:p>
    <w:p>
      <w:pPr>
        <w:spacing w:after="0" w:line="8" w:lineRule="exact"/>
        <w:rPr>
          <w:rFonts w:ascii="Times New Roman" w:cs="Times New Roman" w:eastAsia="Times New Roman" w:hAnsi="Times New Roman"/>
          <w:sz w:val="21"/>
          <w:szCs w:val="21"/>
          <w:color w:val="auto"/>
        </w:rPr>
      </w:pPr>
    </w:p>
    <w:p>
      <w:pPr>
        <w:jc w:val="both"/>
        <w:ind w:left="1620" w:hanging="316"/>
        <w:spacing w:after="0" w:line="257" w:lineRule="auto"/>
        <w:tabs>
          <w:tab w:leader="none" w:pos="161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after making a reasonable attempt to recover such compensation, documenting such reasonable attempt to recover and providing that documentation to the exchange; or</w:t>
      </w:r>
    </w:p>
    <w:p>
      <w:pPr>
        <w:spacing w:after="0" w:line="64" w:lineRule="exact"/>
        <w:rPr>
          <w:rFonts w:ascii="Times New Roman" w:cs="Times New Roman" w:eastAsia="Times New Roman" w:hAnsi="Times New Roman"/>
          <w:sz w:val="22"/>
          <w:szCs w:val="22"/>
          <w:color w:val="auto"/>
        </w:rPr>
      </w:pPr>
    </w:p>
    <w:p>
      <w:pPr>
        <w:jc w:val="both"/>
        <w:ind w:left="1620" w:hanging="316"/>
        <w:spacing w:after="0" w:line="263" w:lineRule="auto"/>
        <w:tabs>
          <w:tab w:leader="none" w:pos="161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5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Interaction with Other Clawback Provisions; No Duplication of Recovery. </w:t>
      </w:r>
      <w:r>
        <w:rPr>
          <w:rFonts w:ascii="Times New Roman" w:cs="Times New Roman" w:eastAsia="Times New Roman" w:hAnsi="Times New Roman"/>
          <w:sz w:val="22"/>
          <w:szCs w:val="22"/>
          <w:color w:val="auto"/>
        </w:rPr>
        <w:t>The Company will be deemed to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recovered Erroneously Awarded Compensation in accordance with this Section 2 to the extent the Company actually receives such amounts pursuant to any other Company policy, procedure (including Section 3 hereof) or pursuant to Section 304 of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9, 2025</w:t>
      </w:r>
    </w:p>
    <w:p>
      <w:pPr>
        <w:sectPr>
          <w:pgSz w:w="11900" w:h="16838" w:orient="portrait"/>
          <w:cols w:equalWidth="0" w:num="1">
            <w:col w:w="11240"/>
          </w:cols>
          <w:pgMar w:left="320" w:top="1418" w:right="339" w:bottom="1440" w:gutter="0" w:footer="0" w:header="0"/>
        </w:sectPr>
      </w:pPr>
    </w:p>
    <w:bookmarkStart w:id="117" w:name="page118"/>
    <w:bookmarkEnd w:id="117"/>
    <w:p>
      <w:pPr>
        <w:ind w:left="380" w:hanging="372"/>
        <w:spacing w:after="0"/>
        <w:tabs>
          <w:tab w:leader="none" w:pos="3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Other Incentive Compensation Due to Misconduct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Notwithstanding any other provisions of this Policy, the Board of Directors may, after consideration of the facts and circumstances that the Board considers appropriate and in its discretion, require reimbursement of all or a portion of any Incentive-Based Compensation payment made to an elected officer in the prior three years where:</w:t>
      </w:r>
    </w:p>
    <w:p>
      <w:pPr>
        <w:spacing w:after="0" w:line="127" w:lineRule="exact"/>
        <w:rPr>
          <w:sz w:val="20"/>
          <w:szCs w:val="20"/>
          <w:color w:val="auto"/>
        </w:rPr>
      </w:pPr>
    </w:p>
    <w:p>
      <w:pPr>
        <w:jc w:val="both"/>
        <w:ind w:left="980" w:hanging="324"/>
        <w:spacing w:after="0" w:line="257"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was predicated on achieving or reflects certain financial results that were subsequently the subject of a restatement of Company financial statements filed with the SEC, and the restatement was as a result of the employee’s misconduct or failure to report another’s misconduct; or</w:t>
      </w:r>
    </w:p>
    <w:p>
      <w:pPr>
        <w:spacing w:after="0" w:line="145"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engaged in fraud, bribery or any other illegal act, or failed to report another’s fraud, bribery or illegal act, and such misconduct caused significant financial or reputational harm to the Company; or</w:t>
      </w:r>
    </w:p>
    <w:p>
      <w:pPr>
        <w:spacing w:after="0" w:line="130"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was grossly negligent in failing to supervise another employee, as a result of which the other employee was able to engage in (a) misconduct that led to a restatement, or (b) illegal misconduct that caused significant financial or reputational harm to the Company.</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In the event the Board of Directors requires reimbursement under the terms of this Section 3, the Company will disclose the aggregate amount recovered, provided the underlying event has been previously disclosed by the Company, in its public filings with the SEC or otherwise, and disclosure is permitted. The Company intends this disclosure would appear in the proxy statement following any such determination by the Board of Directors and would provide the context and aggregate amount recovered.</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Chief Executive Officer may, under similar circumstances provided under this Section 3, require reimbursement of incentive payments made to non-elected officers and other employees.</w:t>
      </w:r>
    </w:p>
    <w:p>
      <w:pPr>
        <w:spacing w:after="0" w:line="127"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Prohibition on Indemnification or Company-Paid Insurance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The Company will not indemnify any officer or employee against the loss of compensation that is recovered in accordance with this policy and will not pay or reimburse any officer or employee for the purchase of a third-party insurance policy to fund potential recovery obligations.</w:t>
      </w:r>
    </w:p>
    <w:p>
      <w:pPr>
        <w:spacing w:after="0" w:line="49"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Remedies</w:t>
      </w:r>
    </w:p>
    <w:p>
      <w:pPr>
        <w:spacing w:after="0" w:line="19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policy does not limit any other remedies the Company may have available to it in the circumstances, which may include, without limitation, dismissing an employee or initiating other disciplinary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9, 2025</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
      <w:numFmt w:val="bullet"/>
      <w:start w:val="1"/>
    </w:lvl>
    <w:lvl w:ilvl="1">
      <w:lvlJc w:val="left"/>
      <w:lvlText w:val="\endash "/>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1)"/>
      <w:numFmt w:val="lowerRoman"/>
      <w:start w:val="1"/>
    </w:lvl>
  </w:abstractNum>
  <w:abstractNum w:abstractNumId="37">
    <w:nsid w:val="7644A45C"/>
    <w:multiLevelType w:val="hybridMultilevel"/>
    <w:lvl w:ilvl="0">
      <w:lvlJc w:val="left"/>
      <w:lvlText w:val="(%1)"/>
      <w:numFmt w:val="lowerRoman"/>
      <w:start w:val="1"/>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lowerRoman"/>
      <w:start w:val="1"/>
    </w:lvl>
  </w:abstractNum>
  <w:abstractNum w:abstractNumId="40">
    <w:nsid w:val="579478FE"/>
    <w:multiLevelType w:val="hybridMultilevel"/>
    <w:lvl w:ilvl="0">
      <w:lvlJc w:val="left"/>
      <w:lvlText w:val="%1"/>
      <w:numFmt w:val="decimal"/>
      <w:start w:val="19"/>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decimal"/>
      <w:start w:val="1"/>
    </w:lvl>
    <w:lvl w:ilvl="1">
      <w:lvlJc w:val="left"/>
      <w:lvlText w:val="%2."/>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Roman"/>
      <w:start w:val="1"/>
    </w:lvl>
  </w:abstractNum>
  <w:abstractNum w:abstractNumId="53">
    <w:nsid w:val="275AC794"/>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54">
    <w:nsid w:val="39386575"/>
    <w:multiLevelType w:val="hybridMultilevel"/>
    <w:lvl w:ilvl="0">
      <w:lvlJc w:val="left"/>
      <w:lvlText w:val="%1."/>
      <w:numFmt w:val="decimal"/>
      <w:start w:val="3"/>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6" Type="http://schemas.openxmlformats.org/officeDocument/2006/relationships/image" Target="media/image101.png"/><Relationship Id="rId125" Type="http://schemas.openxmlformats.org/officeDocument/2006/relationships/image" Target="media/image102.png"/><Relationship Id="rId136" Type="http://schemas.openxmlformats.org/officeDocument/2006/relationships/image" Target="media/image103.png"/><Relationship Id="rId143" Type="http://schemas.openxmlformats.org/officeDocument/2006/relationships/image" Target="media/image104.png"/><Relationship Id="rId152" Type="http://schemas.openxmlformats.org/officeDocument/2006/relationships/image" Target="media/image105.png"/><Relationship Id="rId165" Type="http://schemas.openxmlformats.org/officeDocument/2006/relationships/image" Target="media/image106.png"/><Relationship Id="rId183" Type="http://schemas.openxmlformats.org/officeDocument/2006/relationships/image" Target="media/image107.png"/><Relationship Id="rId187" Type="http://schemas.openxmlformats.org/officeDocument/2006/relationships/image" Target="media/image108.png"/><Relationship Id="rId188" Type="http://schemas.openxmlformats.org/officeDocument/2006/relationships/image" Target="media/image109.png"/><Relationship Id="rId189" Type="http://schemas.openxmlformats.org/officeDocument/2006/relationships/image" Target="media/image110.jpeg"/><Relationship Id="rId190" Type="http://schemas.openxmlformats.org/officeDocument/2006/relationships/image" Target="media/image111.png"/><Relationship Id="rId191" Type="http://schemas.openxmlformats.org/officeDocument/2006/relationships/image" Target="media/image112.png"/><Relationship Id="rId192" Type="http://schemas.openxmlformats.org/officeDocument/2006/relationships/image" Target="media/image113.png"/><Relationship Id="rId193" Type="http://schemas.openxmlformats.org/officeDocument/2006/relationships/image" Target="media/image114.png"/><Relationship Id="rId108" Type="http://schemas.openxmlformats.org/officeDocument/2006/relationships/hyperlink" Target="http://www.sec.gov/Archives/edgar/data/1133421/000095015717001300/ex2-1.htm" TargetMode="External"/><Relationship Id="rId109" Type="http://schemas.openxmlformats.org/officeDocument/2006/relationships/hyperlink" Target="http://www.sec.gov/Archives/edgar/data/866121/000095015714000426/ex2-1.htm" TargetMode="External"/><Relationship Id="rId110" Type="http://schemas.openxmlformats.org/officeDocument/2006/relationships/hyperlink" Target="https://www.sec.gov/Archives/edgar/data/1133421/000113342124000039/exhibit31-restatedcertific.htm" TargetMode="External"/><Relationship Id="rId111" Type="http://schemas.openxmlformats.org/officeDocument/2006/relationships/hyperlink" Target="https://www.sec.gov/Archives/edgar/data/1133421/000113342123000031/noc-form8xk051723xex32.htm" TargetMode="External"/><Relationship Id="rId112" Type="http://schemas.openxmlformats.org/officeDocument/2006/relationships/hyperlink" Target="http://www.sec.gov/Archives/edgar/data/72945/0000912057-94-003514.txt" TargetMode="External"/><Relationship Id="rId113" Type="http://schemas.openxmlformats.org/officeDocument/2006/relationships/hyperlink" Target="http://www.sec.gov/Archives/edgar/data/1133421/000095012311039852/v58707exv4w1.htm" TargetMode="External"/><Relationship Id="rId114" Type="http://schemas.openxmlformats.org/officeDocument/2006/relationships/hyperlink" Target="http://www.sec.gov/Archives/edgar/data/1133421/000095012311039852/v58707exv4w2.htm" TargetMode="External"/><Relationship Id="rId115" Type="http://schemas.openxmlformats.org/officeDocument/2006/relationships/hyperlink" Target="http://www.sec.gov/Archives/edgar/data/72945/0000912057-96-006729.txt" TargetMode="External"/><Relationship Id="rId117" Type="http://schemas.openxmlformats.org/officeDocument/2006/relationships/hyperlink" Target="http://www.sec.gov/Archives/edgar/data/1133421/000089843001500160/dex109.txt" TargetMode="External"/><Relationship Id="rId118" Type="http://schemas.openxmlformats.org/officeDocument/2006/relationships/hyperlink" Target="http://www.sec.gov/Archives/edgar/data/59880/0000950148-96-001149.txt" TargetMode="External"/><Relationship Id="rId119" Type="http://schemas.openxmlformats.org/officeDocument/2006/relationships/hyperlink" Target="http://www.sec.gov/Archives/edgar/data/1133421/000102140801500799/dex47.txt" TargetMode="External"/><Relationship Id="rId120" Type="http://schemas.openxmlformats.org/officeDocument/2006/relationships/hyperlink" Target="http://www.sec.gov/Archives/edgar/data/1133421/000089843003002012/dex4t.htm" TargetMode="External"/><Relationship Id="rId121" Type="http://schemas.openxmlformats.org/officeDocument/2006/relationships/hyperlink" Target="http://www.sec.gov/Archives/edgar/data/1133421/000095012311039852/v58707exv4w5.htm" TargetMode="External"/><Relationship Id="rId122" Type="http://schemas.openxmlformats.org/officeDocument/2006/relationships/hyperlink" Target="http://www.sec.gov/Archives/edgar/data/1133421/000095012311039852/v58707exv4w6.htm" TargetMode="External"/><Relationship Id="rId123" Type="http://schemas.openxmlformats.org/officeDocument/2006/relationships/hyperlink" Target="http://www.sec.gov/Archives/edgar/data/100030/000095015299006103/0000950152-99-006103.txt" TargetMode="External"/><Relationship Id="rId124" Type="http://schemas.openxmlformats.org/officeDocument/2006/relationships/hyperlink" Target="http://www.sec.gov/Archives/edgar/data/1133421/000095012310010126/v54508exv4wp.htm" TargetMode="External"/><Relationship Id="rId126" Type="http://schemas.openxmlformats.org/officeDocument/2006/relationships/hyperlink" Target="http://www.sec.gov/Archives/edgar/data/1133421/000095012311039852/v58707exv4w7.htm" TargetMode="External"/><Relationship Id="rId127" Type="http://schemas.openxmlformats.org/officeDocument/2006/relationships/hyperlink" Target="http://www.sec.gov/Archives/edgar/data/1133421/000095012311039852/v58707exv4w8.htm" TargetMode="External"/><Relationship Id="rId128" Type="http://schemas.openxmlformats.org/officeDocument/2006/relationships/hyperlink" Target="https://www.sec.gov/Archives/edgar/data/1133421/000095015721000904/ex4-1.htm" TargetMode="External"/><Relationship Id="rId129" Type="http://schemas.openxmlformats.org/officeDocument/2006/relationships/hyperlink" Target="https://www.sec.gov/Archives/edgar/data/1133421/000095015721000904/ex4-2.htm" TargetMode="External"/><Relationship Id="rId130" Type="http://schemas.openxmlformats.org/officeDocument/2006/relationships/hyperlink" Target="http://www.sec.gov/Archives/edgar/data/1133421/000089843001503659/dex41.txt" TargetMode="External"/><Relationship Id="rId131" Type="http://schemas.openxmlformats.org/officeDocument/2006/relationships/hyperlink" Target="https://www.sec.gov/Archives/edgar/data/1133421/000095012309027412/v53270exv4wxay.htm" TargetMode="External"/><Relationship Id="rId132" Type="http://schemas.openxmlformats.org/officeDocument/2006/relationships/hyperlink" Target="http://www.sec.gov/Archives/edgar/data/1133421/000095012310102289/v57777exv4wa.htm" TargetMode="External"/><Relationship Id="rId133" Type="http://schemas.openxmlformats.org/officeDocument/2006/relationships/hyperlink" Target="http://www.sec.gov/Archives/edgar/data/1133421/000095012311039852/v58707exv4w9.htm" TargetMode="External"/><Relationship Id="rId134" Type="http://schemas.openxmlformats.org/officeDocument/2006/relationships/hyperlink" Target="http://www.sec.gov/Archives/edgar/data/1133421/000095012311039852/v58707exv4w10.htm" TargetMode="External"/><Relationship Id="rId135" Type="http://schemas.openxmlformats.org/officeDocument/2006/relationships/hyperlink" Target="http://www.sec.gov/Archives/edgar/data/1133421/000119312513243040/d545882dex4a.htm" TargetMode="External"/><Relationship Id="rId137" Type="http://schemas.openxmlformats.org/officeDocument/2006/relationships/hyperlink" Target="http://www.sec.gov/Archives/edgar/data/1133421/000119312515037499/d865409dex41.htm" TargetMode="External"/><Relationship Id="rId138" Type="http://schemas.openxmlformats.org/officeDocument/2006/relationships/hyperlink" Target="http://www.sec.gov/Archives/edgar/data/1133421/000119312516782630/d301589dex41.htm" TargetMode="External"/><Relationship Id="rId139" Type="http://schemas.openxmlformats.org/officeDocument/2006/relationships/hyperlink" Target="http://www.sec.gov/Archives/edgar/data/1133421/000119312517309966/d463997dex41.htm" TargetMode="External"/><Relationship Id="rId140" Type="http://schemas.openxmlformats.org/officeDocument/2006/relationships/hyperlink" Target="https://www.sec.gov/Archives/edgar/data/1133421/000119312520082921/d895407dex41.htm" TargetMode="External"/><Relationship Id="rId141" Type="http://schemas.openxmlformats.org/officeDocument/2006/relationships/hyperlink" Target="https://www.sec.gov/Archives/edgar/data/1133421/000119312521265095/d216834dex41.htm" TargetMode="External"/><Relationship Id="rId142" Type="http://schemas.openxmlformats.org/officeDocument/2006/relationships/hyperlink" Target="https://www.sec.gov/Archives/edgar/data/1133421/000113342120000006/noc-12312019xex4ll.htm" TargetMode="External"/><Relationship Id="rId144" Type="http://schemas.openxmlformats.org/officeDocument/2006/relationships/hyperlink" Target="https://www.sec.gov/Archives/edgar/data/1133421/000119312523028549/d454340dex41.htm" TargetMode="External"/><Relationship Id="rId145" Type="http://schemas.openxmlformats.org/officeDocument/2006/relationships/hyperlink" Target="https://www.sec.gov/Archives/edgar/data/1133421/000119312524021071/d765965dex41.htm" TargetMode="External"/><Relationship Id="rId146" Type="http://schemas.openxmlformats.org/officeDocument/2006/relationships/hyperlink" Target="https://www.sec.gov/Archives/edgar/data/1133421/000119312525130630/d24111dex41.htm" TargetMode="External"/><Relationship Id="rId147" Type="http://schemas.openxmlformats.org/officeDocument/2006/relationships/hyperlink" Target="https://www.sec.gov/Archives/edgar/data/1133421/000119312525193991/d97166dex101.htm" TargetMode="External"/><Relationship Id="rId148" Type="http://schemas.openxmlformats.org/officeDocument/2006/relationships/hyperlink" Target="http://www.sec.gov/Archives/edgar/data/1133421/000089843001500160/dex1010.txt" TargetMode="External"/><Relationship Id="rId149" Type="http://schemas.openxmlformats.org/officeDocument/2006/relationships/hyperlink" Target="http://www.sec.gov/Archives/edgar/data/1133421/000089843001500160/dex1011.txt" TargetMode="External"/><Relationship Id="rId150" Type="http://schemas.openxmlformats.org/officeDocument/2006/relationships/hyperlink" Target="http://www.sec.gov/Archives/edgar/data/1133421/000095013003003625/dex42.htm" TargetMode="External"/><Relationship Id="rId151" Type="http://schemas.openxmlformats.org/officeDocument/2006/relationships/hyperlink" Target="https://www.sec.gov/Archives/edgar/data/1133421/000095015721000904/ex10-1.htm" TargetMode="External"/><Relationship Id="rId153" Type="http://schemas.openxmlformats.org/officeDocument/2006/relationships/hyperlink" Target="http://www.sec.gov/Archives/edgar/data/1133421/000095012309024563/v52989exv10w1.htm" TargetMode="External"/><Relationship Id="rId154" Type="http://schemas.openxmlformats.org/officeDocument/2006/relationships/hyperlink" Target="http://www.sec.gov/Archives/edgar/data/1133421/000119312515120112/d883285ddef14a.htm#rom883285_55" TargetMode="External"/><Relationship Id="rId155" Type="http://schemas.openxmlformats.org/officeDocument/2006/relationships/hyperlink" Target="http://www.sec.gov/Archives/edgar/data/1133421/000113342115000057/noc-9302015xex101.htm" TargetMode="External"/><Relationship Id="rId156" Type="http://schemas.openxmlformats.org/officeDocument/2006/relationships/hyperlink" Target="https://www.sec.gov/Archives/edgar/data/1133421/000113342122000013/noc-03312022xex102.htm" TargetMode="External"/><Relationship Id="rId157" Type="http://schemas.openxmlformats.org/officeDocument/2006/relationships/hyperlink" Target="https://www.sec.gov/Archives/edgar/data/1133421/000113342123000027/noc-03312023xex101.htm" TargetMode="External"/><Relationship Id="rId158" Type="http://schemas.openxmlformats.org/officeDocument/2006/relationships/hyperlink" Target="https://www.sec.gov/Archives/edgar/data/1133421/000113342123000027/noc-03312023xex102.htm" TargetMode="External"/><Relationship Id="rId159" Type="http://schemas.openxmlformats.org/officeDocument/2006/relationships/hyperlink" Target="https://www.sec.gov/Archives/edgar/data/1133421/000113342124000006/noc-12312023xex10fviii.htm" TargetMode="External"/><Relationship Id="rId160" Type="http://schemas.openxmlformats.org/officeDocument/2006/relationships/hyperlink" Target="https://www.sec.gov/Archives/edgar/data/1133421/000113342124000026/noc-03312024xex101.htm" TargetMode="External"/><Relationship Id="rId161" Type="http://schemas.openxmlformats.org/officeDocument/2006/relationships/hyperlink" Target="https://www.sec.gov/Archives/edgar/data/1133421/000113342124000026/noc-03312024xex102.htm" TargetMode="External"/><Relationship Id="rId162" Type="http://schemas.openxmlformats.org/officeDocument/2006/relationships/hyperlink" Target="http://www.sec.gov/Archives/edgar/data/1133421/000113342115000008/noc-12312014xex10h.htm" TargetMode="External"/><Relationship Id="rId163" Type="http://schemas.openxmlformats.org/officeDocument/2006/relationships/hyperlink" Target="http://www.sec.gov/Archives/edgar/data/1133421/000119312512045323/d250683dex10jii.htm" TargetMode="External"/><Relationship Id="rId164" Type="http://schemas.openxmlformats.org/officeDocument/2006/relationships/hyperlink" Target="http://www.sec.gov/Archives/edgar/data/1133421/000113342115000008/noc-12312014xex10hii.htm" TargetMode="External"/><Relationship Id="rId166" Type="http://schemas.openxmlformats.org/officeDocument/2006/relationships/hyperlink" Target="https://www.sec.gov/Archives/edgar/data/1133421/000113342124000039/exhibit101-2024longxtermin.htm" TargetMode="External"/><Relationship Id="rId167" Type="http://schemas.openxmlformats.org/officeDocument/2006/relationships/hyperlink" Target="https://www.sec.gov/Archives/edgar/data/1133421/000113342124000052/noc-06302024xex102.htm" TargetMode="External"/><Relationship Id="rId168" Type="http://schemas.openxmlformats.org/officeDocument/2006/relationships/hyperlink" Target="https://www.sec.gov/Archives/edgar/data/1133421/000113342125000023/noc-03312025xex101.htm" TargetMode="External"/><Relationship Id="rId169" Type="http://schemas.openxmlformats.org/officeDocument/2006/relationships/hyperlink" Target="https://www.sec.gov/Archives/edgar/data/1133421/000113342125000023/noc-03312025xex102.htm" TargetMode="External"/><Relationship Id="rId170" Type="http://schemas.openxmlformats.org/officeDocument/2006/relationships/hyperlink" Target="http://www.sec.gov/Archives/edgar/data/1133421/000113342114000006/noc-12312013xex10l.htm" TargetMode="External"/><Relationship Id="rId171" Type="http://schemas.openxmlformats.org/officeDocument/2006/relationships/hyperlink" Target="http://www.sec.gov/Archives/edgar/data/1133421/000113342114000006/noc-12312013xex10li.htm" TargetMode="External"/><Relationship Id="rId172" Type="http://schemas.openxmlformats.org/officeDocument/2006/relationships/hyperlink" Target="http://www.sec.gov/Archives/edgar/data/1133421/000113342116000065/noc-12312015xex10kiv.htm" TargetMode="External"/><Relationship Id="rId173" Type="http://schemas.openxmlformats.org/officeDocument/2006/relationships/hyperlink" Target="http://www.sec.gov/Archives/edgar/data/1133421/000113342118000005/noc-12312017xex10jv.htm" TargetMode="External"/><Relationship Id="rId174" Type="http://schemas.openxmlformats.org/officeDocument/2006/relationships/hyperlink" Target="https://www.sec.gov/Archives/edgar/data/1133421/000113342125000023/noc-03312025xex103.htm" TargetMode="External"/><Relationship Id="rId175" Type="http://schemas.openxmlformats.org/officeDocument/2006/relationships/hyperlink" Target="https://www.sec.gov/Archives/edgar/data/1133421/000113342124000052/noc-06302024xex103.htm" TargetMode="External"/><Relationship Id="rId176" Type="http://schemas.openxmlformats.org/officeDocument/2006/relationships/hyperlink" Target="https://www.sec.gov/Archives/edgar/data/1133421/000113342125000049/noc-06302025xex101.htm" TargetMode="External"/><Relationship Id="rId177" Type="http://schemas.openxmlformats.org/officeDocument/2006/relationships/hyperlink" Target="http://www.sec.gov/Archives/edgar/data/1133421/000113342112000015/noc-3312012xex103.htm" TargetMode="External"/><Relationship Id="rId178" Type="http://schemas.openxmlformats.org/officeDocument/2006/relationships/hyperlink" Target="https://www.sec.gov/Archives/edgar/data/1133421/000113342124000026/noc-03312024xex103.htm" TargetMode="External"/><Relationship Id="rId179" Type="http://schemas.openxmlformats.org/officeDocument/2006/relationships/hyperlink" Target="https://www.sec.gov/Archives/edgar/data/1133421/000113342123000045/noc-06302023xex102.htm" TargetMode="External"/><Relationship Id="rId180" Type="http://schemas.openxmlformats.org/officeDocument/2006/relationships/hyperlink" Target="https://www.sec.gov/Archives/edgar/data/1133421/000113342119000007/noc-12312018xex10v.htm" TargetMode="External"/><Relationship Id="rId181" Type="http://schemas.openxmlformats.org/officeDocument/2006/relationships/hyperlink" Target="https://www.sec.gov/Archives/edgar/data/1133421/000113342119000021/noc-03312019xex104.htm" TargetMode="External"/><Relationship Id="rId182" Type="http://schemas.openxmlformats.org/officeDocument/2006/relationships/hyperlink" Target="https://www.sec.gov/Archives/edgar/data/1133421/000113342119000021/noc-03312019xex105.htm" TargetMode="External"/><Relationship Id="rId184" Type="http://schemas.openxmlformats.org/officeDocument/2006/relationships/hyperlink" Target="https://www.sec.gov/Archives/edgar/data/1133421/000113342125000006/noc-12312024xex10s.htm" TargetMode="External"/><Relationship Id="rId185" Type="http://schemas.openxmlformats.org/officeDocument/2006/relationships/hyperlink" Target="https://www.sec.gov/Archives/edgar/data/1133421/000113342125000023/noc-03312025xex104.htm" TargetMode="External"/><Relationship Id="rId186" Type="http://schemas.openxmlformats.org/officeDocument/2006/relationships/hyperlink" Target="https://www.sec.gov/Archives/edgar/data/1133421/000113342125000006/noc-12312024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2026-01-27T15:50:40Z</dcterms:created>
  <dcterms:modified xsi:type="dcterms:W3CDTF">2026-01-27T15:50:40Z</dcterms:modified>
</cp:coreProperties>
</file>