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86360</wp:posOffset>
            </wp:positionV>
            <wp:extent cx="25114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34290</wp:posOffset>
            </wp:positionV>
            <wp:extent cx="2511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88" w:lineRule="exact"/>
        <w:rPr>
          <w:sz w:val="24"/>
          <w:szCs w:val="24"/>
          <w:color w:val="auto"/>
        </w:rPr>
      </w:pPr>
    </w:p>
    <w:p>
      <w:pPr>
        <w:ind w:left="1380" w:right="3280" w:hanging="832"/>
        <w:spacing w:after="0" w:line="250"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358140</wp:posOffset>
            </wp:positionH>
            <wp:positionV relativeFrom="paragraph">
              <wp:posOffset>-305435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March 31, 2020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44" w:lineRule="exact"/>
        <w:rPr>
          <w:sz w:val="24"/>
          <w:szCs w:val="24"/>
          <w:color w:val="auto"/>
        </w:rPr>
      </w:pPr>
    </w:p>
    <w:p>
      <w:pPr>
        <w:ind w:left="1380" w:right="3260" w:hanging="832"/>
        <w:spacing w:after="0" w:line="250" w:lineRule="auto"/>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30"/>
              <w:spacing w:after="0"/>
              <w:rPr>
                <w:sz w:val="20"/>
                <w:szCs w:val="20"/>
                <w:color w:val="auto"/>
              </w:rPr>
            </w:pPr>
            <w:r>
              <w:rPr>
                <w:rFonts w:ascii="Arial" w:cs="Arial" w:eastAsia="Arial" w:hAnsi="Arial"/>
                <w:sz w:val="18"/>
                <w:szCs w:val="18"/>
                <w:b w:val="1"/>
                <w:bCs w:val="1"/>
                <w:color w:val="auto"/>
              </w:rPr>
              <w:t>80-0640649</w:t>
            </w:r>
          </w:p>
        </w:tc>
      </w:tr>
      <w:tr>
        <w:trPr>
          <w:trHeight w:val="256"/>
        </w:trPr>
        <w:tc>
          <w:tcPr>
            <w:tcW w:w="1480" w:type="dxa"/>
            <w:vAlign w:val="bottom"/>
          </w:tcPr>
          <w:p>
            <w:pPr>
              <w:spacing w:after="0"/>
              <w:rPr>
                <w:sz w:val="22"/>
                <w:szCs w:val="22"/>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1480" w:type="dxa"/>
            <w:vAlign w:val="bottom"/>
          </w:tcPr>
          <w:p>
            <w:pPr>
              <w:spacing w:after="0"/>
              <w:rPr>
                <w:sz w:val="24"/>
                <w:szCs w:val="24"/>
                <w:color w:val="auto"/>
              </w:rPr>
            </w:pPr>
          </w:p>
        </w:tc>
        <w:tc>
          <w:tcPr>
            <w:tcW w:w="564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3"/>
              </w:rPr>
              <w:t>2980 Fairview Park Drive</w:t>
            </w:r>
          </w:p>
        </w:tc>
        <w:tc>
          <w:tcPr>
            <w:tcW w:w="4140" w:type="dxa"/>
            <w:vAlign w:val="bottom"/>
          </w:tcPr>
          <w:p>
            <w:pPr>
              <w:spacing w:after="0"/>
              <w:rPr>
                <w:sz w:val="24"/>
                <w:szCs w:val="24"/>
                <w:color w:val="auto"/>
              </w:rPr>
            </w:pPr>
          </w:p>
        </w:tc>
      </w:tr>
      <w:tr>
        <w:trPr>
          <w:trHeight w:val="270"/>
        </w:trPr>
        <w:tc>
          <w:tcPr>
            <w:tcW w:w="1480" w:type="dxa"/>
            <w:vAlign w:val="bottom"/>
          </w:tcPr>
          <w:p>
            <w:pPr>
              <w:spacing w:after="0"/>
              <w:rPr>
                <w:sz w:val="23"/>
                <w:szCs w:val="23"/>
                <w:color w:val="auto"/>
              </w:rPr>
            </w:pPr>
          </w:p>
        </w:tc>
        <w:tc>
          <w:tcPr>
            <w:tcW w:w="5640" w:type="dxa"/>
            <w:vAlign w:val="bottom"/>
            <w:gridSpan w:val="2"/>
          </w:tcPr>
          <w:p>
            <w:pPr>
              <w:ind w:left="380"/>
              <w:spacing w:after="0"/>
              <w:rPr>
                <w:sz w:val="20"/>
                <w:szCs w:val="20"/>
                <w:color w:val="auto"/>
              </w:rPr>
            </w:pPr>
            <w:r>
              <w:rPr>
                <w:rFonts w:ascii="Arial" w:cs="Arial" w:eastAsia="Arial" w:hAnsi="Arial"/>
                <w:sz w:val="18"/>
                <w:szCs w:val="18"/>
                <w:b w:val="1"/>
                <w:bCs w:val="1"/>
                <w:color w:val="auto"/>
              </w:rPr>
              <w:t>Falls Church, Virginia</w:t>
            </w:r>
          </w:p>
        </w:tc>
        <w:tc>
          <w:tcPr>
            <w:tcW w:w="4140" w:type="dxa"/>
            <w:vAlign w:val="bottom"/>
          </w:tcPr>
          <w:p>
            <w:pPr>
              <w:jc w:val="right"/>
              <w:ind w:right="2430"/>
              <w:spacing w:after="0"/>
              <w:rPr>
                <w:sz w:val="20"/>
                <w:szCs w:val="20"/>
                <w:color w:val="auto"/>
              </w:rPr>
            </w:pPr>
            <w:r>
              <w:rPr>
                <w:rFonts w:ascii="Arial" w:cs="Arial" w:eastAsia="Arial" w:hAnsi="Arial"/>
                <w:sz w:val="18"/>
                <w:szCs w:val="18"/>
                <w:b w:val="1"/>
                <w:bCs w:val="1"/>
                <w:color w:val="auto"/>
              </w:rPr>
              <w:t>22042</w:t>
            </w:r>
          </w:p>
        </w:tc>
      </w:tr>
      <w:tr>
        <w:trPr>
          <w:trHeight w:val="270"/>
        </w:trPr>
        <w:tc>
          <w:tcPr>
            <w:tcW w:w="7120" w:type="dxa"/>
            <w:vAlign w:val="bottom"/>
            <w:gridSpan w:val="3"/>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29"/>
        </w:trPr>
        <w:tc>
          <w:tcPr>
            <w:tcW w:w="1480" w:type="dxa"/>
            <w:vAlign w:val="bottom"/>
          </w:tcPr>
          <w:p>
            <w:pPr>
              <w:spacing w:after="0"/>
              <w:rPr>
                <w:sz w:val="19"/>
                <w:szCs w:val="19"/>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40" w:type="dxa"/>
            <w:vAlign w:val="bottom"/>
          </w:tcPr>
          <w:p>
            <w:pPr>
              <w:spacing w:after="0"/>
              <w:rPr>
                <w:sz w:val="19"/>
                <w:szCs w:val="19"/>
                <w:color w:val="auto"/>
              </w:rPr>
            </w:pPr>
          </w:p>
        </w:tc>
      </w:tr>
      <w:tr>
        <w:trPr>
          <w:trHeight w:val="230"/>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97"/>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35"/>
        </w:trPr>
        <w:tc>
          <w:tcPr>
            <w:tcW w:w="148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r>
      <w:tr>
        <w:trPr>
          <w:trHeight w:val="237"/>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37"/>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ind w:right="3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4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7"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April 24, 2020, 166,702,730 shares of common stock were outstanding.</w:t>
      </w:r>
    </w:p>
    <w:p>
      <w:pPr>
        <w:sectPr>
          <w:pgSz w:w="11900" w:h="16838" w:orient="portrait"/>
          <w:cols w:equalWidth="0" w:num="1">
            <w:col w:w="11260"/>
          </w:cols>
          <w:pgMar w:left="320" w:top="216" w:right="3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64"/>
        </w:trPr>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80" w:type="dxa"/>
            <w:vAlign w:val="bottom"/>
          </w:tcPr>
          <w:p>
            <w:pPr>
              <w:ind w:left="20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16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Earnings and Comprehensive Income</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Financial Position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Shareholders’ Equity</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7">
              <w:r>
                <w:rPr>
                  <w:rFonts w:ascii="Arial" w:cs="Arial" w:eastAsia="Arial" w:hAnsi="Arial"/>
                  <w:sz w:val="18"/>
                  <w:szCs w:val="18"/>
                  <w:u w:val="single" w:color="auto"/>
                  <w:color w:val="0000EE"/>
                  <w:w w:val="92"/>
                </w:rPr>
                <w:t>1.</w:t>
              </w:r>
            </w:hyperlink>
          </w:p>
        </w:tc>
        <w:tc>
          <w:tcPr>
            <w:tcW w:w="728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Basis of Presentation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9">
              <w:r>
                <w:rPr>
                  <w:rFonts w:ascii="Arial" w:cs="Arial" w:eastAsia="Arial" w:hAnsi="Arial"/>
                  <w:sz w:val="18"/>
                  <w:szCs w:val="18"/>
                  <w:u w:val="single" w:color="auto"/>
                  <w:color w:val="0000EE"/>
                  <w:w w:val="92"/>
                </w:rPr>
                <w:t>2.</w:t>
              </w:r>
            </w:hyperlink>
          </w:p>
        </w:tc>
        <w:tc>
          <w:tcPr>
            <w:tcW w:w="7280" w:type="dxa"/>
            <w:vAlign w:val="bottom"/>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Earnings Per Share, Share Repurchases and Dividends on Common Stock</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0">
              <w:r>
                <w:rPr>
                  <w:rFonts w:ascii="Arial" w:cs="Arial" w:eastAsia="Arial" w:hAnsi="Arial"/>
                  <w:sz w:val="18"/>
                  <w:szCs w:val="18"/>
                  <w:u w:val="single" w:color="auto"/>
                  <w:color w:val="0000EE"/>
                  <w:w w:val="92"/>
                </w:rPr>
                <w:t>3.</w:t>
              </w:r>
            </w:hyperlink>
          </w:p>
        </w:tc>
        <w:tc>
          <w:tcPr>
            <w:tcW w:w="728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Income Taxes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0">
              <w:r>
                <w:rPr>
                  <w:rFonts w:ascii="Arial" w:cs="Arial" w:eastAsia="Arial" w:hAnsi="Arial"/>
                  <w:sz w:val="18"/>
                  <w:szCs w:val="18"/>
                  <w:u w:val="single" w:color="auto"/>
                  <w:color w:val="0000EE"/>
                  <w:w w:val="92"/>
                </w:rPr>
                <w:t>4.</w:t>
              </w:r>
            </w:hyperlink>
          </w:p>
        </w:tc>
        <w:tc>
          <w:tcPr>
            <w:tcW w:w="728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Fair Value of Financial Instruments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1">
              <w:r>
                <w:rPr>
                  <w:rFonts w:ascii="Arial" w:cs="Arial" w:eastAsia="Arial" w:hAnsi="Arial"/>
                  <w:sz w:val="18"/>
                  <w:szCs w:val="18"/>
                  <w:u w:val="single" w:color="auto"/>
                  <w:color w:val="0000EE"/>
                  <w:w w:val="92"/>
                </w:rPr>
                <w:t>5.</w:t>
              </w:r>
            </w:hyperlink>
          </w:p>
        </w:tc>
        <w:tc>
          <w:tcPr>
            <w:tcW w:w="7280" w:type="dxa"/>
            <w:vAlign w:val="bottom"/>
          </w:tcPr>
          <w:p>
            <w:pPr>
              <w:ind w:lef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Investigations, Claims and Litigation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2">
              <w:r>
                <w:rPr>
                  <w:rFonts w:ascii="Arial" w:cs="Arial" w:eastAsia="Arial" w:hAnsi="Arial"/>
                  <w:sz w:val="18"/>
                  <w:szCs w:val="18"/>
                  <w:u w:val="single" w:color="auto"/>
                  <w:color w:val="0000EE"/>
                  <w:w w:val="92"/>
                </w:rPr>
                <w:t>6.</w:t>
              </w:r>
            </w:hyperlink>
          </w:p>
        </w:tc>
        <w:tc>
          <w:tcPr>
            <w:tcW w:w="728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Commitments and Contingencies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10</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4">
              <w:r>
                <w:rPr>
                  <w:rFonts w:ascii="Arial" w:cs="Arial" w:eastAsia="Arial" w:hAnsi="Arial"/>
                  <w:sz w:val="18"/>
                  <w:szCs w:val="18"/>
                  <w:u w:val="single" w:color="auto"/>
                  <w:color w:val="0000EE"/>
                  <w:w w:val="92"/>
                </w:rPr>
                <w:t>7.</w:t>
              </w:r>
            </w:hyperlink>
          </w:p>
        </w:tc>
        <w:tc>
          <w:tcPr>
            <w:tcW w:w="7280" w:type="dxa"/>
            <w:vAlign w:val="bottom"/>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Retirement Benefits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4">
              <w:r>
                <w:rPr>
                  <w:rFonts w:ascii="Arial" w:cs="Arial" w:eastAsia="Arial" w:hAnsi="Arial"/>
                  <w:sz w:val="18"/>
                  <w:szCs w:val="18"/>
                  <w:u w:val="single" w:color="auto"/>
                  <w:color w:val="0000EE"/>
                  <w:w w:val="92"/>
                </w:rPr>
                <w:t>8.</w:t>
              </w:r>
            </w:hyperlink>
          </w:p>
        </w:tc>
        <w:tc>
          <w:tcPr>
            <w:tcW w:w="7280" w:type="dxa"/>
            <w:vAlign w:val="bottom"/>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Stock Compensation Plans and Other Compensation Arrangements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5">
              <w:r>
                <w:rPr>
                  <w:rFonts w:ascii="Arial" w:cs="Arial" w:eastAsia="Arial" w:hAnsi="Arial"/>
                  <w:sz w:val="18"/>
                  <w:szCs w:val="18"/>
                  <w:u w:val="single" w:color="auto"/>
                  <w:color w:val="0000EE"/>
                  <w:w w:val="92"/>
                </w:rPr>
                <w:t>9.</w:t>
              </w:r>
            </w:hyperlink>
          </w:p>
        </w:tc>
        <w:tc>
          <w:tcPr>
            <w:tcW w:w="7280" w:type="dxa"/>
            <w:vAlign w:val="bottom"/>
          </w:tcPr>
          <w:p>
            <w:pPr>
              <w:ind w:lef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Segment Information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Report of Independent Registered Public Accounting Firm</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Overview</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18</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Consolidated Operating Results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19</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Segment Operating Results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Product and Service Analysis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Backlog</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25</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Liquidity and Capital Resources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25</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Critical Accounting Policies, Estimates and Judgments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Accounting Standards Updates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Forward-Looking Statements and Projections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Contractual Obligations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Quantitative and Qualitative Disclosures About Market Risk</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Controls and Procedures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594"/>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80" w:type="dxa"/>
            <w:vAlign w:val="bottom"/>
          </w:tcPr>
          <w:p>
            <w:pPr>
              <w:ind w:left="220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 OTHER INFORMATION</w:t>
              </w:r>
            </w:hyperlink>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29</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29</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Unregistered Sales of Equity Securities and Use of Proceeds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080" w:type="dxa"/>
            <w:vAlign w:val="bottom"/>
          </w:tcPr>
          <w:p>
            <w:pPr>
              <w:ind w:left="2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7280" w:type="dxa"/>
            <w:vAlign w:val="bottom"/>
          </w:tcPr>
          <w:p>
            <w:pPr>
              <w:spacing w:after="0"/>
              <w:rPr>
                <w:sz w:val="23"/>
                <w:szCs w:val="23"/>
                <w:color w:val="auto"/>
              </w:rPr>
            </w:pPr>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32</w:t>
              </w:r>
            </w:hyperlink>
          </w:p>
        </w:tc>
      </w:tr>
      <w:tr>
        <w:trPr>
          <w:trHeight w:val="270"/>
        </w:trPr>
        <w:tc>
          <w:tcPr>
            <w:tcW w:w="880" w:type="dxa"/>
            <w:vAlign w:val="bottom"/>
          </w:tcPr>
          <w:p>
            <w:pPr>
              <w:spacing w:after="0"/>
              <w:rPr>
                <w:sz w:val="23"/>
                <w:szCs w:val="23"/>
                <w:color w:val="auto"/>
              </w:rPr>
            </w:pPr>
          </w:p>
        </w:tc>
        <w:tc>
          <w:tcPr>
            <w:tcW w:w="1080" w:type="dxa"/>
            <w:vAlign w:val="bottom"/>
          </w:tcPr>
          <w:p>
            <w:pPr>
              <w:ind w:left="240"/>
              <w:spacing w:after="0"/>
              <w:rPr>
                <w:rFonts w:ascii="Arial" w:cs="Arial" w:eastAsia="Arial" w:hAnsi="Arial"/>
                <w:sz w:val="18"/>
                <w:szCs w:val="18"/>
                <w:u w:val="single" w:color="auto"/>
                <w:color w:val="0000EE"/>
                <w:w w:val="95"/>
              </w:rPr>
            </w:pPr>
            <w:hyperlink w:anchor="page36">
              <w:r>
                <w:rPr>
                  <w:rFonts w:ascii="Arial" w:cs="Arial" w:eastAsia="Arial" w:hAnsi="Arial"/>
                  <w:sz w:val="18"/>
                  <w:szCs w:val="18"/>
                  <w:u w:val="single" w:color="auto"/>
                  <w:color w:val="0000EE"/>
                  <w:w w:val="95"/>
                </w:rPr>
                <w:t>Signatures</w:t>
              </w:r>
            </w:hyperlink>
          </w:p>
        </w:tc>
        <w:tc>
          <w:tcPr>
            <w:tcW w:w="7280" w:type="dxa"/>
            <w:vAlign w:val="bottom"/>
          </w:tcPr>
          <w:p>
            <w:pPr>
              <w:spacing w:after="0"/>
              <w:rPr>
                <w:sz w:val="23"/>
                <w:szCs w:val="23"/>
                <w:color w:val="auto"/>
              </w:rPr>
            </w:pPr>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34</w:t>
              </w:r>
            </w:hyperlink>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5"/>
        </w:trPr>
        <w:tc>
          <w:tcPr>
            <w:tcW w:w="890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7"/>
        </w:trPr>
        <w:tc>
          <w:tcPr>
            <w:tcW w:w="89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8900" w:type="dxa"/>
            <w:vAlign w:val="bottom"/>
          </w:tcPr>
          <w:p>
            <w:pPr>
              <w:ind w:left="410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89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890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890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13"/>
        </w:trPr>
        <w:tc>
          <w:tcPr>
            <w:tcW w:w="8900" w:type="dxa"/>
            <w:vAlign w:val="bottom"/>
          </w:tcPr>
          <w:p>
            <w:pPr>
              <w:spacing w:after="0"/>
              <w:rPr>
                <w:sz w:val="24"/>
                <w:szCs w:val="24"/>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6,176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5,728</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2,444</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8,620</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8,189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4,952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4,517</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1,946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788</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FAS (non-service) pension benefit</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302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1,053</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185</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868</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w:t>
            </w:r>
          </w:p>
        </w:tc>
      </w:tr>
      <w:tr>
        <w:trPr>
          <w:trHeight w:val="34"/>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0"/>
        </w:trPr>
        <w:tc>
          <w:tcPr>
            <w:tcW w:w="8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5.18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167.7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5.15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5.06</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2"/>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168.4</w:t>
            </w: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r>
      <w:tr>
        <w:trPr>
          <w:trHeight w:val="270"/>
        </w:trPr>
        <w:tc>
          <w:tcPr>
            <w:tcW w:w="89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above)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868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Change in unamortized prior service credit,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900" w:type="dxa"/>
            <w:vAlign w:val="bottom"/>
          </w:tcPr>
          <w:p>
            <w:pPr>
              <w:ind w:left="28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849</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856</w:t>
            </w:r>
          </w:p>
        </w:tc>
      </w:tr>
      <w:tr>
        <w:trPr>
          <w:trHeight w:val="34"/>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w w:val="96"/>
              </w:rPr>
              <w:t>March 31,</w:t>
            </w:r>
          </w:p>
        </w:tc>
        <w:tc>
          <w:tcPr>
            <w:tcW w:w="30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4"/>
        </w:trPr>
        <w:tc>
          <w:tcPr>
            <w:tcW w:w="740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par value</w:t>
            </w:r>
          </w:p>
        </w:tc>
        <w:tc>
          <w:tcPr>
            <w:tcW w:w="58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3,278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2,136</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5,918</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785</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1,011</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5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13,128</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22"/>
        </w:trPr>
        <w:tc>
          <w:tcPr>
            <w:tcW w:w="7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2"/>
              </w:rPr>
              <w:t>Property, plant and equipment, net of accumulated depreciation of $5,952 for 2020 and $5,850 for</w:t>
            </w:r>
          </w:p>
        </w:tc>
        <w:tc>
          <w:tcPr>
            <w:tcW w:w="5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6,956</w:t>
            </w:r>
          </w:p>
        </w:tc>
        <w:tc>
          <w:tcPr>
            <w:tcW w:w="3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8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1,469</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18,698</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974</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355</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1,623</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5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43,203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34"/>
        </w:trPr>
        <w:tc>
          <w:tcPr>
            <w:tcW w:w="7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7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5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2,071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1,472</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payments and billings in excess of costs incurred</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2,027</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4,607</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10,177</w:t>
            </w:r>
          </w:p>
        </w:tc>
        <w:tc>
          <w:tcPr>
            <w:tcW w:w="3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37"/>
        </w:trPr>
        <w:tc>
          <w:tcPr>
            <w:tcW w:w="7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 net of current portion of $1,790 for 2020 and $1,109 for 2019</w:t>
            </w:r>
          </w:p>
        </w:tc>
        <w:tc>
          <w:tcPr>
            <w:tcW w:w="5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14,299</w:t>
            </w:r>
          </w:p>
        </w:tc>
        <w:tc>
          <w:tcPr>
            <w:tcW w:w="3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12,770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6,779</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1,280</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5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1,606</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37"/>
        </w:trPr>
        <w:tc>
          <w:tcPr>
            <w:tcW w:w="74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5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34,141</w:t>
            </w:r>
          </w:p>
        </w:tc>
        <w:tc>
          <w:tcPr>
            <w:tcW w:w="3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32,270</w:t>
            </w:r>
          </w:p>
        </w:tc>
        <w:tc>
          <w:tcPr>
            <w:tcW w:w="0" w:type="dxa"/>
            <w:vAlign w:val="bottom"/>
          </w:tcPr>
          <w:p>
            <w:pPr>
              <w:spacing w:after="0"/>
              <w:rPr>
                <w:sz w:val="1"/>
                <w:szCs w:val="1"/>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6)</w:t>
            </w:r>
          </w:p>
        </w:tc>
        <w:tc>
          <w:tcPr>
            <w:tcW w:w="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shd w:val="clear" w:color="auto" w:fill="CCEEFF"/>
              </w:rPr>
              <w:t>Preferred stock, $1 par value; 10,000,000 shares authorized; no shares issued and outstanding</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tcPr>
          <w:p>
            <w:pPr>
              <w:ind w:left="180"/>
              <w:spacing w:after="0"/>
              <w:rPr>
                <w:sz w:val="20"/>
                <w:szCs w:val="20"/>
                <w:color w:val="auto"/>
              </w:rPr>
            </w:pPr>
            <w:r>
              <w:rPr>
                <w:rFonts w:ascii="Arial" w:cs="Arial" w:eastAsia="Arial" w:hAnsi="Arial"/>
                <w:sz w:val="18"/>
                <w:szCs w:val="18"/>
                <w:color w:val="auto"/>
                <w:w w:val="95"/>
              </w:rPr>
              <w:t>Common stock, $1 par value; 800,000,000 shares authorized; issued and outstanding: 2020—</w:t>
            </w:r>
          </w:p>
        </w:tc>
        <w:tc>
          <w:tcPr>
            <w:tcW w:w="580" w:type="dxa"/>
            <w:vAlign w:val="bottom"/>
          </w:tcPr>
          <w:p>
            <w:pPr>
              <w:spacing w:after="0"/>
              <w:rPr>
                <w:sz w:val="19"/>
                <w:szCs w:val="19"/>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167</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80"/>
              <w:spacing w:after="0"/>
              <w:rPr>
                <w:sz w:val="20"/>
                <w:szCs w:val="20"/>
                <w:color w:val="auto"/>
              </w:rPr>
            </w:pPr>
            <w:r>
              <w:rPr>
                <w:rFonts w:ascii="Arial" w:cs="Arial" w:eastAsia="Arial" w:hAnsi="Arial"/>
                <w:sz w:val="18"/>
                <w:szCs w:val="18"/>
                <w:color w:val="auto"/>
              </w:rPr>
              <w:t>167,099,297 and 2019—167,848,424</w:t>
            </w:r>
          </w:p>
        </w:tc>
        <w:tc>
          <w:tcPr>
            <w:tcW w:w="5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5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58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9,011</w:t>
            </w:r>
          </w:p>
        </w:tc>
        <w:tc>
          <w:tcPr>
            <w:tcW w:w="3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Accumulated other comprehensive loss</w:t>
            </w:r>
          </w:p>
        </w:tc>
        <w:tc>
          <w:tcPr>
            <w:tcW w:w="5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6"/>
        </w:trPr>
        <w:tc>
          <w:tcPr>
            <w:tcW w:w="7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shareholders’ equity</w:t>
            </w:r>
          </w:p>
        </w:tc>
        <w:tc>
          <w:tcPr>
            <w:tcW w:w="5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9,062</w:t>
            </w:r>
          </w:p>
        </w:tc>
        <w:tc>
          <w:tcPr>
            <w:tcW w:w="3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5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43,203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230"/>
        </w:trPr>
        <w:tc>
          <w:tcPr>
            <w:tcW w:w="798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0"/>
              </w:rPr>
              <w:t>The accompanying notes are an integral part of these unaudited condensed consolidated financial statements.</w:t>
            </w:r>
          </w:p>
        </w:tc>
        <w:tc>
          <w:tcPr>
            <w:tcW w:w="1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0" w:type="dxa"/>
            <w:vAlign w:val="bottom"/>
          </w:tcPr>
          <w:p>
            <w:pPr>
              <w:ind w:left="552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868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297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156</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(810)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Inventoried costs,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(833)</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Retiree benefits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(237)</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68</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(993)</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8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90"/>
        </w:trPr>
        <w:tc>
          <w:tcPr>
            <w:tcW w:w="8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Net proceeds from issuance of long-term debt</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2,239</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to credit facilities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Net borrowings on commercial paper</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744</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repurchases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(227)</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employee taxes withheld from share-based awards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(46)</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2,296</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1,033</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2,245</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3,278</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848</w:t>
            </w:r>
          </w:p>
        </w:tc>
      </w:tr>
      <w:tr>
        <w:trPr>
          <w:trHeight w:val="34"/>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352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168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167</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8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8,748</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(348)</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868</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(223)</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11</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9,011</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8,628</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Accumulated other comprehensive (loss) income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8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9,062</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8,739</w:t>
            </w:r>
          </w:p>
        </w:tc>
      </w:tr>
      <w:tr>
        <w:trPr>
          <w:trHeight w:val="34"/>
        </w:trPr>
        <w:tc>
          <w:tcPr>
            <w:tcW w:w="8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8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2"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w:t>
      </w:r>
    </w:p>
    <w:p>
      <w:pPr>
        <w:spacing w:after="0" w:line="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results reported in these financial statements are not necessarily indicative of results that may be expected for the entire year. These financial statements should be read in conjunction with the information contained in the company’s 2019 Annual Report on Form 10-K and the Form 8-K that we expect to file with the SEC immediately after filing this Form 10-Q, which recasts the disclosures in certain portions of the 2019 Annual Report on Form 10-K to reflect changes in the company’s reportable segments.</w:t>
      </w:r>
    </w:p>
    <w:p>
      <w:pPr>
        <w:spacing w:after="0" w:line="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majority of our sales are derived from long-term contracts with the U.S. government for the production of goods, the provision of services, or a combination of both. We recognize revenue as control is transferred to the customer, either over time or at a point in time. As control is effectively transferred while we perform on our contracts, we generally recognize revenue over time using the cost-to-cost method (cost incurred relative to total cost estimated at completion) as the company believes this represents the most appropriate measurement towards satisfaction of our performance obligations. Revenue for contracts in which the control of goods produced does not transfer until delivery to the customer is recognized at a point in time (i.e., typically upon delivery).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124</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70"/>
        </w:trPr>
        <w:tc>
          <w:tcPr>
            <w:tcW w:w="890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0.58</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0.64</w:t>
            </w:r>
          </w:p>
        </w:tc>
      </w:tr>
    </w:tbl>
    <w:p>
      <w:pPr>
        <w:spacing w:after="0" w:line="11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Based on a 21 percent statutory tax rate.</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No such adjustments were material to the financial statements during the three months ended March 31, 2020 and 2019.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backlog as of March 31, 2020 was $64.2 billion. We expect to recognize approximately 45 percent and 70 percent of our March 31, 2020 backlog as revenue over the next 12 and 24 months, respectively, with the remainder to be recognized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months ended March 31, 2020 and 2019 that was included in the contract liability balances at the beginning of each year was $781 million and $674 million, respectively.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5"/>
        </w:trPr>
        <w:tc>
          <w:tcPr>
            <w:tcW w:w="694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2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77"/>
        </w:trPr>
        <w:tc>
          <w:tcPr>
            <w:tcW w:w="69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8"/>
        </w:trPr>
        <w:tc>
          <w:tcPr>
            <w:tcW w:w="69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The components of accumulated other comprehensive loss are as follows:</w:t>
            </w:r>
          </w:p>
        </w:tc>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69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w w:val="99"/>
              </w:rPr>
              <w:t>December 31,</w:t>
            </w:r>
          </w:p>
        </w:tc>
      </w:tr>
      <w:tr>
        <w:trPr>
          <w:trHeight w:val="234"/>
        </w:trPr>
        <w:tc>
          <w:tcPr>
            <w:tcW w:w="69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2019</w:t>
            </w:r>
          </w:p>
        </w:tc>
      </w:tr>
      <w:tr>
        <w:trPr>
          <w:trHeight w:val="27"/>
        </w:trPr>
        <w:tc>
          <w:tcPr>
            <w:tcW w:w="6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prior service credit, net of tax expense of $13 for 2020 and $17 for 2019</w:t>
            </w:r>
          </w:p>
        </w:tc>
        <w:tc>
          <w:tcPr>
            <w:tcW w:w="20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Cumulative translation adjustment and other, net</w:t>
            </w:r>
          </w:p>
        </w:tc>
        <w:tc>
          <w:tcPr>
            <w:tcW w:w="2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9"/>
              </w:rPr>
              <w:t>(157)</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9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0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940" w:type="dxa"/>
            <w:vAlign w:val="bottom"/>
            <w:shd w:val="clear" w:color="auto" w:fill="000000"/>
          </w:tcPr>
          <w:p>
            <w:pPr>
              <w:spacing w:after="0"/>
              <w:rPr>
                <w:sz w:val="2"/>
                <w:szCs w:val="2"/>
                <w:color w:val="auto"/>
              </w:rPr>
            </w:pPr>
          </w:p>
        </w:tc>
        <w:tc>
          <w:tcPr>
            <w:tcW w:w="2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Accounting standards updates adopted and/or issued, but not effective until after March 31, 2020, are not expected to have a material effect on the company’s unaudited condensed consolidated financial position, annual results of operations and/or cash flows.</w:t>
      </w:r>
    </w:p>
    <w:p>
      <w:pPr>
        <w:spacing w:after="0" w:line="10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SHARE REPURCHASES AND DIVIDENDS ON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calculate basic earnings per share by dividing net earnings by the weighted-average number of shares of common stock outstanding during each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Diluted earnings per share include the dilutive effect of awards granted to employees under stock-based compensation plans. The dilutive effect of these securities totaled 0.7 million shares and 0.7 million shares for the three months ended March 31, 2020 and 2019,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On September 16, 2015, the company’s board of directors authorized a share repurchase program of up to $4.0 billion of the company’s common stock (the “2015 Repurchase Program”). Repurchases under the 2015 Repurchase Program commenced in March 2016 and were completed in March 2020.</w:t>
      </w:r>
    </w:p>
    <w:p>
      <w:pPr>
        <w:spacing w:after="0" w:line="3" w:lineRule="exact"/>
        <w:rPr>
          <w:sz w:val="20"/>
          <w:szCs w:val="20"/>
          <w:color w:val="auto"/>
        </w:rPr>
      </w:pPr>
    </w:p>
    <w:p>
      <w:pPr>
        <w:ind w:left="60" w:right="160"/>
        <w:spacing w:after="0" w:line="257" w:lineRule="auto"/>
        <w:rPr>
          <w:sz w:val="20"/>
          <w:szCs w:val="20"/>
          <w:color w:val="auto"/>
        </w:rPr>
      </w:pPr>
      <w:r>
        <w:rPr>
          <w:rFonts w:ascii="Arial" w:cs="Arial" w:eastAsia="Arial" w:hAnsi="Arial"/>
          <w:sz w:val="18"/>
          <w:szCs w:val="18"/>
          <w:color w:val="auto"/>
        </w:rPr>
        <w:t>On December 4, 2018, the company’s board of directors authorized a new share repurchase program of up to an additional $3.0 billion in share repurchases of the company’s common stock (the “2018 Repurchase Program”). Repurchases under the 2018 Repurchase Program commenced in March 2020 upon the completion of the company’s 2015 Repurchase Program. As of March 31, 2020, repurchases under the 2018 Repurchase Program totaled $20 million; $2.98 billion remained under this share repurchase authorization. By its terms, the 2018 Repurchase Program is set to expire when we have used all authorized funds for repurchases.</w:t>
      </w:r>
    </w:p>
    <w:p>
      <w:pPr>
        <w:spacing w:after="0" w:line="5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Amount</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
                <w:szCs w:val="2"/>
                <w:color w:val="auto"/>
              </w:rPr>
            </w:pPr>
          </w:p>
        </w:tc>
        <w:tc>
          <w:tcPr>
            <w:tcW w:w="1320" w:type="dxa"/>
            <w:vAlign w:val="bottom"/>
            <w:vMerge w:val="restart"/>
          </w:tcPr>
          <w:p>
            <w:pPr>
              <w:jc w:val="center"/>
              <w:ind w:right="270"/>
              <w:spacing w:after="0"/>
              <w:rPr>
                <w:sz w:val="20"/>
                <w:szCs w:val="20"/>
                <w:color w:val="auto"/>
              </w:rPr>
            </w:pPr>
            <w:r>
              <w:rPr>
                <w:rFonts w:ascii="Arial" w:cs="Arial" w:eastAsia="Arial" w:hAnsi="Arial"/>
                <w:sz w:val="18"/>
                <w:szCs w:val="18"/>
                <w:color w:val="auto"/>
                <w:w w:val="89"/>
              </w:rPr>
              <w:t>Average</w:t>
            </w:r>
          </w:p>
        </w:tc>
        <w:tc>
          <w:tcPr>
            <w:tcW w:w="1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95"/>
        </w:trPr>
        <w:tc>
          <w:tcPr>
            <w:tcW w:w="2060" w:type="dxa"/>
            <w:vAlign w:val="bottom"/>
            <w:vMerge w:val="restart"/>
          </w:tcPr>
          <w:p>
            <w:pPr>
              <w:jc w:val="center"/>
              <w:spacing w:after="0"/>
              <w:rPr>
                <w:sz w:val="20"/>
                <w:szCs w:val="20"/>
                <w:color w:val="auto"/>
              </w:rPr>
            </w:pPr>
            <w:r>
              <w:rPr>
                <w:rFonts w:ascii="Arial" w:cs="Arial" w:eastAsia="Arial" w:hAnsi="Arial"/>
                <w:sz w:val="18"/>
                <w:szCs w:val="18"/>
                <w:color w:val="auto"/>
                <w:w w:val="87"/>
              </w:rPr>
              <w:t>Repurchase Program</w:t>
            </w:r>
          </w:p>
        </w:tc>
        <w:tc>
          <w:tcPr>
            <w:tcW w:w="380" w:type="dxa"/>
            <w:vAlign w:val="bottom"/>
          </w:tcPr>
          <w:p>
            <w:pPr>
              <w:spacing w:after="0"/>
              <w:rPr>
                <w:sz w:val="8"/>
                <w:szCs w:val="8"/>
                <w:color w:val="auto"/>
              </w:rPr>
            </w:pPr>
          </w:p>
        </w:tc>
        <w:tc>
          <w:tcPr>
            <w:tcW w:w="1360" w:type="dxa"/>
            <w:vAlign w:val="bottom"/>
            <w:vMerge w:val="restart"/>
          </w:tcPr>
          <w:p>
            <w:pPr>
              <w:jc w:val="center"/>
              <w:ind w:right="230"/>
              <w:spacing w:after="0"/>
              <w:rPr>
                <w:sz w:val="20"/>
                <w:szCs w:val="20"/>
                <w:color w:val="auto"/>
              </w:rPr>
            </w:pPr>
            <w:r>
              <w:rPr>
                <w:rFonts w:ascii="Arial" w:cs="Arial" w:eastAsia="Arial" w:hAnsi="Arial"/>
                <w:sz w:val="18"/>
                <w:szCs w:val="18"/>
                <w:color w:val="auto"/>
                <w:w w:val="92"/>
              </w:rPr>
              <w:t>Authorized</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86"/>
              </w:rPr>
              <w:t>Shares Retired</w:t>
            </w:r>
          </w:p>
        </w:tc>
        <w:tc>
          <w:tcPr>
            <w:tcW w:w="280" w:type="dxa"/>
            <w:vAlign w:val="bottom"/>
          </w:tcPr>
          <w:p>
            <w:pPr>
              <w:spacing w:after="0"/>
              <w:rPr>
                <w:sz w:val="8"/>
                <w:szCs w:val="8"/>
                <w:color w:val="auto"/>
              </w:rPr>
            </w:pPr>
          </w:p>
        </w:tc>
        <w:tc>
          <w:tcPr>
            <w:tcW w:w="1320" w:type="dxa"/>
            <w:vAlign w:val="bottom"/>
            <w:vMerge w:val="restart"/>
          </w:tcPr>
          <w:p>
            <w:pPr>
              <w:jc w:val="center"/>
              <w:ind w:right="230"/>
              <w:spacing w:after="0"/>
              <w:rPr>
                <w:sz w:val="20"/>
                <w:szCs w:val="20"/>
                <w:color w:val="auto"/>
              </w:rPr>
            </w:pPr>
            <w:r>
              <w:rPr>
                <w:rFonts w:ascii="Arial" w:cs="Arial" w:eastAsia="Arial" w:hAnsi="Arial"/>
                <w:sz w:val="18"/>
                <w:szCs w:val="18"/>
                <w:color w:val="auto"/>
                <w:w w:val="87"/>
              </w:rPr>
              <w:t>Price</w:t>
            </w:r>
          </w:p>
        </w:tc>
        <w:tc>
          <w:tcPr>
            <w:tcW w:w="1860" w:type="dxa"/>
            <w:vAlign w:val="bottom"/>
          </w:tcPr>
          <w:p>
            <w:pPr>
              <w:spacing w:after="0"/>
              <w:rPr>
                <w:sz w:val="8"/>
                <w:szCs w:val="8"/>
                <w:color w:val="auto"/>
              </w:rPr>
            </w:pPr>
          </w:p>
        </w:tc>
        <w:tc>
          <w:tcPr>
            <w:tcW w:w="2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6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8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12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Authorization Date</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(in millions)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30"/>
              <w:spacing w:after="0" w:line="257"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Date Completed</w:t>
            </w:r>
          </w:p>
        </w:tc>
        <w:tc>
          <w:tcPr>
            <w:tcW w:w="128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44"/>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16, 2015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4,000</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260.33</w:t>
            </w:r>
          </w:p>
        </w:tc>
        <w:tc>
          <w:tcPr>
            <w:tcW w:w="18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March 2020</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0.9</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December 4, 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3,000</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306.22</w:t>
            </w:r>
          </w:p>
        </w:tc>
        <w:tc>
          <w:tcPr>
            <w:tcW w:w="186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0.1</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May 2019, the company increased the quarterly common stock dividend 10 percent to $1.32 per share from the previous amount of $1.20 per share.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5"/>
        </w:trPr>
        <w:tc>
          <w:tcPr>
            <w:tcW w:w="870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7"/>
        </w:trPr>
        <w:tc>
          <w:tcPr>
            <w:tcW w:w="870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3.  INCOME TAXES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8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3"/>
          </w:tcPr>
          <w:p>
            <w:pPr>
              <w:jc w:val="right"/>
              <w:ind w:right="30"/>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4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2019</w:t>
            </w:r>
          </w:p>
        </w:tc>
      </w:tr>
      <w:tr>
        <w:trPr>
          <w:trHeight w:val="27"/>
        </w:trPr>
        <w:tc>
          <w:tcPr>
            <w:tcW w:w="8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8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first quarter 2020 effective tax rate increased to 17.6 percent from 16.5 percent in the first quarter of 2019 primarily due to nondeductible losses on marketable securities and an increase in reserves for uncertain tax positions. These were partially offset by an increase in research credits, which totaled $41 million in the first quarter of 2020 and $31 million in the prior year period. Both periods benefited from $13 million of excess tax benefits for employee share-based compensation.</w:t>
      </w:r>
    </w:p>
    <w:p>
      <w:pPr>
        <w:spacing w:after="0" w:line="52"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In March 2020, the Coronavirus Aid, Relief, and Economic Security Act (the “CARES Act”) was enacted. The CARES Act includes certain changes to U.S. tax law that impact the company, including a technical correction to the 2017 Tax Cuts and Jobs Act, which makes certain qualified improvement property eligible for bonus depreciation. The CARES Act did not have a significant impact on the company’s first quarter 2020 effective tax rate.</w:t>
      </w:r>
    </w:p>
    <w:p>
      <w:pPr>
        <w:spacing w:after="0" w:line="1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has recorded unrecognized tax benefits related to our methods of accounting associated with the timing of revenue recognition and related costs, and the 2017 Tax Act. It is reasonably possible that within the next 12 months our unrecognized tax benefits related to these matters may decrease by up to $60 million. Since enactment of the 2017 Tax Act, the IRS and U.S. Treasury Department have issued and are expected to further issue interpretive guidance that impacts taxpayers. We will continue to evaluate such guidance as it is issued.</w:t>
      </w:r>
    </w:p>
    <w:p>
      <w:pPr>
        <w:spacing w:after="0" w:line="3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The Northrop Grumman 2014-2017 federal tax returns and refund claims related to its 2007-2016 federal tax returns are currently under IRS examination. In addition, legacy Orbital ATK federal tax returns for the year ended March 31, 2015, the nine-month transition period ended December 31, 2015 and calendar years 2016-2017 are currently under IRS examination.</w:t>
      </w:r>
    </w:p>
    <w:p>
      <w:pPr>
        <w:spacing w:after="0" w:line="12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holds a portfolio of marketable securities consisting of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derivative portfolio consists primarily of foreign currency forward contracts. Where model-derived valuations are appropriate, the company utilizes the income approach to determine the fair value and uses the applicable London Interbank Offered Rate (LIBOR) swap rates.</w:t>
      </w:r>
    </w:p>
    <w:p>
      <w:pPr>
        <w:spacing w:after="0" w:line="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March 31, 2020</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December 31, 2019</w:t>
            </w:r>
          </w:p>
        </w:tc>
        <w:tc>
          <w:tcPr>
            <w:tcW w:w="80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Level 1</w:t>
            </w:r>
          </w:p>
        </w:tc>
        <w:tc>
          <w:tcPr>
            <w:tcW w:w="3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Level 2</w:t>
            </w: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9"/>
              </w:rPr>
              <w:t>Level 1</w:t>
            </w:r>
          </w:p>
        </w:tc>
        <w:tc>
          <w:tcPr>
            <w:tcW w:w="3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99"/>
              </w:rPr>
              <w:t>Level 2</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292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 valued using NAV</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308</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4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notional value of the company’s foreign currency forward contracts at March 31, 2020 and December 31, 2019 was $85 million and $98 million, respectively. The portion of notional value designated as a cash flow hedge was $3 million and $7 million as of March 31, 2020 and December 31, 2019, respectively.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derivative fair values and related unrealized gains/losses at March 31, 2020 and December 31, 2019 were not material. There were no transfers of financial instruments between the three levels of the fair value hierarchy during the three months ended March 31,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The estimated fair value of long-term debt was $17.5 billion and $15.1 billion as of March 31, 2020 and December 31, 2019, respectively. We calculated the fair value of long-term debt using Level 2 inputs, based on interest rates available for debt with terms and maturities similar to the company’s existing debt arrangements. The carrying value of long-term debt was $16.1 billion and $13.9 billion as of March 31, 2020 and December 31, 2019, respectively.</w:t>
      </w:r>
    </w:p>
    <w:p>
      <w:pPr>
        <w:spacing w:after="0" w:line="2" w:lineRule="exact"/>
        <w:rPr>
          <w:sz w:val="20"/>
          <w:szCs w:val="20"/>
          <w:color w:val="auto"/>
        </w:rPr>
      </w:pPr>
    </w:p>
    <w:p>
      <w:pPr>
        <w:ind w:right="480"/>
        <w:spacing w:after="0" w:line="297" w:lineRule="auto"/>
        <w:rPr>
          <w:sz w:val="20"/>
          <w:szCs w:val="20"/>
          <w:color w:val="auto"/>
        </w:rPr>
      </w:pPr>
      <w:r>
        <w:rPr>
          <w:rFonts w:ascii="Arial" w:cs="Arial" w:eastAsia="Arial" w:hAnsi="Arial"/>
          <w:sz w:val="18"/>
          <w:szCs w:val="18"/>
          <w:color w:val="auto"/>
        </w:rPr>
        <w:t xml:space="preserve">The current portion of long-term debt is recorded in Other current liabilities in the unaudited condensed consolidated statements of financial position. </w:t>
      </w:r>
      <w:r>
        <w:rPr>
          <w:rFonts w:ascii="Arial" w:cs="Arial" w:eastAsia="Arial" w:hAnsi="Arial"/>
          <w:sz w:val="18"/>
          <w:szCs w:val="18"/>
          <w:i w:val="1"/>
          <w:iCs w:val="1"/>
          <w:color w:val="auto"/>
        </w:rPr>
        <w:t>Unsecured Senior Notes</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March 2020, the company issued $2.25 billion of unsecured senior notes for general corporate purposes, including debt repayment and working capital, as follows:</w:t>
      </w:r>
    </w:p>
    <w:p>
      <w:pPr>
        <w:spacing w:after="0" w:line="5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$750 million of 4.40% senior notes due 2030 (the “2030 Notes”),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$500 million of 5.15% senior notes due 2040 (the “2040 Notes”)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billion of 5.25% senior notes due 2050 (the “2050 Notes”).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refer to the 2030 Notes, the 2040 Notes and the 2050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12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INVESTIGATIONS, CLAIMS AND LITIGATION</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February 16, 2018, both the company and the United States filed motions to dismiss many of the claims and counterclaims referenced above, in whole or in part. The United States also filed a motion seeking to amend its answer and counterclaim, including to reduce its counterclaim to approximately $193 million, which the court granted on June 11, 2018. On October 17, 2018, the court granted in part and denied in part the parties’ motions to dismiss. On February 3, 2020, the parties commenced what was expected to be a seven-week trial. The first four weeks of trial have concluded, but the court postponed the remaining three weeks until May 2020 as a result of COVID-19-related concerns. Although the ultimate outcome of these matters (“the FSS matters,” collectively), including any possible loss, cannot be predicted or reasonably estimated at this time, the company intends vigorously to pursue and defend the FSS matters.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ECT alleges the consortium breached its contract with ECT and seeks damages of approximately R$111 million (the equivalent of approximately $22 million as of March 31, 2020), plus interest, inflation adjustments and attorneys’ fees, as authorized by Brazilian law, which amounts could be significant over time. The original suit sought R$89 million (the equivalent of approximately $17 million as of March 31, 2020) in damages. In October 2013, ECT asserted an additional damage claim of R$22 million (the equivalent of approximately $4 million as of March 31, 2020). In its counterclaim, Solystic alleges ECT breached the contract by wrongfully refusing to accept the equipment Solystic had designed and built and seeks damages of approximately €31 million (the equivalent of approximately $34 million as of March 31, 2020),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In a decision dated November 13, 2018, the trial court ruled in ECT’s favor on one of its claims against Solystic, and awarded damages of R$41 million (the equivalent of approximately $8 million as of March 31, 2020) against Solystic and its consortium partners, with that amount to be adjusted for inflation and interest from November 2004 through any appeal, in accordance with the Manual of Calculations of the Federal Justice, as well as attorneys’ fees. On March 22, 2019, ECT appealed the trial court’s decision to the intermediate court of appeals. Solystic filed its appeal on April 11, 2019. The parties are assessing whether there is a possible path for a negotiated resolution of the dispute.</w:t>
      </w:r>
    </w:p>
    <w:p>
      <w:pPr>
        <w:spacing w:after="0" w:line="5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6, substantial remediation costs related to these environmental conditions. The remediation standards or requirements to which we are subject are being reconsidered and may change and costs may increase materially. As discussed in Note 6, the State of New York issued a Feasibility Study and an Amended Record of Decision, seeking to impose additional remedial requirements. The company is engaged in discussions with the State of New York and certain other potentially responsible parties. The State of New York has said that, among other things, it is also evaluating potential natural resource damages. In addition, we are a party to various, and expect to become a party to additional, legal proceedings and disputes related to remediation, costs, allowability and/or alleged environmental impacts in Bethpage, including with federal and state entities, the Navy,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3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2020, or its annual results of operations and/or cash flows.</w:t>
      </w:r>
    </w:p>
    <w:p>
      <w:pPr>
        <w:spacing w:after="0" w:line="118"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March 31, 2020, or its annual results of operations and/or cash flows.</w:t>
      </w:r>
    </w:p>
    <w:p>
      <w:pPr>
        <w:spacing w:after="0" w:line="2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Recently, the U.S. government has raised questions about an interest rate assumption used by the company to determine our CAS pension cost in previous years. We are currently engaging with the government to address their questions. Although we believe our pension-related assumptions are appropriate,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March 31, 2020 and 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88"/>
              </w:rPr>
              <w:t>Reasonably Possible Future</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ind w:right="110"/>
              <w:spacing w:after="0"/>
              <w:rPr>
                <w:sz w:val="20"/>
                <w:szCs w:val="20"/>
                <w:color w:val="auto"/>
              </w:rPr>
            </w:pPr>
            <w:r>
              <w:rPr>
                <w:rFonts w:ascii="Arial" w:cs="Arial" w:eastAsia="Arial" w:hAnsi="Arial"/>
                <w:sz w:val="18"/>
                <w:szCs w:val="18"/>
                <w:color w:val="auto"/>
                <w:w w:val="90"/>
              </w:rPr>
              <w:t>Costs in Excess of Accrued</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580" w:type="dxa"/>
            <w:vAlign w:val="bottom"/>
            <w:tcBorders>
              <w:bottom w:val="single" w:sz="8" w:color="auto"/>
            </w:tcBorders>
            <w:gridSpan w:val="2"/>
          </w:tcPr>
          <w:p>
            <w:pPr>
              <w:jc w:val="right"/>
              <w:ind w:right="10"/>
              <w:spacing w:after="0" w:line="257" w:lineRule="exact"/>
              <w:rPr>
                <w:sz w:val="20"/>
                <w:szCs w:val="20"/>
                <w:color w:val="auto"/>
              </w:rPr>
            </w:pPr>
            <w:r>
              <w:rPr>
                <w:rFonts w:ascii="Arial" w:cs="Arial" w:eastAsia="Arial" w:hAnsi="Arial"/>
                <w:sz w:val="18"/>
                <w:szCs w:val="18"/>
                <w:color w:val="auto"/>
              </w:rPr>
              <w:t>Accrued Costs</w:t>
            </w:r>
            <w:r>
              <w:rPr>
                <w:rFonts w:ascii="Arial" w:cs="Arial" w:eastAsia="Arial" w:hAnsi="Arial"/>
                <w:sz w:val="25"/>
                <w:szCs w:val="25"/>
                <w:color w:val="auto"/>
                <w:vertAlign w:val="superscript"/>
              </w:rPr>
              <w:t>(1)(2)</w:t>
            </w:r>
          </w:p>
        </w:tc>
        <w:tc>
          <w:tcPr>
            <w:tcW w:w="2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4"/>
              </w:rPr>
              <w:t>Costs</w:t>
            </w:r>
            <w:r>
              <w:rPr>
                <w:rFonts w:ascii="Arial" w:cs="Arial" w:eastAsia="Arial" w:hAnsi="Arial"/>
                <w:sz w:val="25"/>
                <w:szCs w:val="25"/>
                <w:color w:val="auto"/>
                <w:w w:val="84"/>
                <w:vertAlign w:val="superscript"/>
              </w:rPr>
              <w:t>(2)</w:t>
            </w:r>
          </w:p>
        </w:tc>
        <w:tc>
          <w:tcPr>
            <w:tcW w:w="1560" w:type="dxa"/>
            <w:vAlign w:val="bottom"/>
            <w:tcBorders>
              <w:bottom w:val="single" w:sz="8" w:color="auto"/>
            </w:tcBorders>
            <w:gridSpan w:val="2"/>
          </w:tcPr>
          <w:p>
            <w:pPr>
              <w:jc w:val="right"/>
              <w:ind w:right="30"/>
              <w:spacing w:after="0" w:line="257" w:lineRule="exact"/>
              <w:rPr>
                <w:sz w:val="20"/>
                <w:szCs w:val="20"/>
                <w:color w:val="auto"/>
              </w:rPr>
            </w:pPr>
            <w:r>
              <w:rPr>
                <w:rFonts w:ascii="Arial" w:cs="Arial" w:eastAsia="Arial" w:hAnsi="Arial"/>
                <w:sz w:val="18"/>
                <w:szCs w:val="18"/>
                <w:color w:val="auto"/>
              </w:rPr>
              <w:t>Deferred Costs</w:t>
            </w:r>
            <w:r>
              <w:rPr>
                <w:rFonts w:ascii="Arial" w:cs="Arial" w:eastAsia="Arial" w:hAnsi="Arial"/>
                <w:sz w:val="25"/>
                <w:szCs w:val="25"/>
                <w:color w:val="auto"/>
                <w:vertAlign w:val="superscript"/>
              </w:rPr>
              <w:t>(3)</w:t>
            </w: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2020</w:t>
            </w:r>
          </w:p>
        </w:tc>
        <w:tc>
          <w:tcPr>
            <w:tcW w:w="2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448</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26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
        </w:trPr>
        <w:tc>
          <w:tcPr>
            <w:tcW w:w="35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As of March 31, 2020, $163 million is recorded in Other current liabilities and $370 million is recorded in Other non-current liabilities.</w:t>
      </w:r>
    </w:p>
    <w:p>
      <w:pPr>
        <w:spacing w:after="0" w:line="144" w:lineRule="exact"/>
        <w:rPr>
          <w:rFonts w:ascii="Arial" w:cs="Arial" w:eastAsia="Arial" w:hAnsi="Arial"/>
          <w:sz w:val="18"/>
          <w:szCs w:val="18"/>
          <w:color w:val="auto"/>
          <w:vertAlign w:val="superscript"/>
        </w:rPr>
      </w:pPr>
    </w:p>
    <w:p>
      <w:pPr>
        <w:ind w:left="180" w:right="240" w:hanging="172"/>
        <w:spacing w:after="0" w:line="246" w:lineRule="auto"/>
        <w:tabs>
          <w:tab w:leader="none" w:pos="171"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58" w:lineRule="exact"/>
        <w:rPr>
          <w:rFonts w:ascii="Arial" w:cs="Arial" w:eastAsia="Arial" w:hAnsi="Arial"/>
          <w:sz w:val="19"/>
          <w:szCs w:val="19"/>
          <w:color w:val="auto"/>
          <w:vertAlign w:val="superscript"/>
        </w:rPr>
      </w:pPr>
    </w:p>
    <w:p>
      <w:pPr>
        <w:ind w:left="180" w:right="160" w:hanging="172"/>
        <w:spacing w:after="0" w:line="246" w:lineRule="auto"/>
        <w:tabs>
          <w:tab w:leader="none" w:pos="171"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As of March 31, 2020, $131 million is deferred in Prepaid expenses and other current assets and $308 million is deferred in Other non-current assets. These amounts are evaluated for recoverability on a routine basis.</w:t>
      </w:r>
    </w:p>
    <w:p>
      <w:pPr>
        <w:spacing w:after="0" w:line="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March 31, 2020, or its annual results of operations and/or cash flows. With respect to Bethpage, the State of New York issued a Feasibility Study and an Amended Record of Decision, proposing to impose additional remedial requirements. The company is engaged in discussions with the State of New York and other potentially responsible parties. As discussed in Note 5, the remediation standards or requirements to which we are subject are being reconsidered and may change and costs may increase materially.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March 31, 2020, there were $469 million of stand-by letters of credit and guarantees and $182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a commercial paper program that serves as a source of short-term financing with capacity to issue unsecured commercial paper notes up to $2.0 billion. At March 31, 2020, there were $744 million of outstanding short-term commercial paper borrowings at a weighted-average interest rate of 1.88 percent that have original maturities of three months or less from the date of issuance. The outstanding balance of commercial paper borrowings is recorded in Other current liabilities in the unaudited condensed consolidated statements of financial position.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2024 and is intended to support the company’s commercial paper program and other general corporate purposes. Commercial paper borrowings reduce the amount available for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borrowing under the 2018 Credit Agreement. At March 31, 2020, there was no balance outstanding under this facility.</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2016, a subsidiary of the company entered into a two-year credit facility, with two additional one-year option periods, in an aggregate principal amount of £120 million (the equivalent of approximately $149 million as of March 31, 2020) (the “2016 Credit Agreement”). The company exercised the second option to extend the maturity to December 2020. The 2016 Credit Agreement is guaranteed by the company. At March 31, 2020, there was £55 million (the equivalent of approximately $68 million) outstanding under this facility, which bears interest at a rate of LIBOR plus 1.10 percent. All of the borrowings outstanding under this facility are recorded in Other current liabilities in the unaudited condensed consolidated statement of financial position.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the company was in compliance with all covenants under its credit agreements.</w:t>
      </w:r>
    </w:p>
    <w:p>
      <w:pPr>
        <w:spacing w:after="0" w:line="16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pension and other postretirement benefit (OPB) plans is shown in the following table:</w:t>
      </w:r>
    </w:p>
    <w:p>
      <w:pPr>
        <w:spacing w:after="0" w:line="17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31750</wp:posOffset>
            </wp:positionV>
            <wp:extent cx="2494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Pension</w:t>
      </w:r>
    </w:p>
    <w:p>
      <w:pPr>
        <w:spacing w:after="0" w:line="23" w:lineRule="exact"/>
        <w:rPr>
          <w:sz w:val="20"/>
          <w:szCs w:val="20"/>
          <w:color w:val="auto"/>
        </w:rPr>
      </w:pPr>
    </w:p>
    <w:p>
      <w:pPr>
        <w:ind w:left="8000"/>
        <w:spacing w:after="0"/>
        <w:tabs>
          <w:tab w:leader="none" w:pos="10120" w:val="left"/>
        </w:tabs>
        <w:rPr>
          <w:sz w:val="20"/>
          <w:szCs w:val="20"/>
          <w:color w:val="auto"/>
        </w:rPr>
      </w:pPr>
      <w:r>
        <w:rPr>
          <w:rFonts w:ascii="Arial" w:cs="Arial" w:eastAsia="Arial" w:hAnsi="Arial"/>
          <w:sz w:val="18"/>
          <w:szCs w:val="18"/>
          <w:color w:val="auto"/>
        </w:rPr>
        <w:t>Benefits</w:t>
      </w:r>
      <w:r>
        <w:rPr>
          <w:sz w:val="20"/>
          <w:szCs w:val="20"/>
          <w:color w:val="auto"/>
        </w:rPr>
        <w:tab/>
      </w:r>
      <w:r>
        <w:rPr>
          <w:rFonts w:ascii="Arial" w:cs="Arial" w:eastAsia="Arial" w:hAnsi="Arial"/>
          <w:sz w:val="18"/>
          <w:szCs w:val="18"/>
          <w:color w:val="auto"/>
        </w:rPr>
        <w:t>OPB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22860</wp:posOffset>
            </wp:positionV>
            <wp:extent cx="2494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9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2019</w:t>
            </w:r>
          </w:p>
        </w:tc>
      </w:tr>
      <w:tr>
        <w:trPr>
          <w:trHeight w:val="27"/>
        </w:trPr>
        <w:tc>
          <w:tcPr>
            <w:tcW w:w="55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 (benefit)</w:t>
            </w:r>
          </w:p>
        </w:tc>
        <w:tc>
          <w:tcPr>
            <w:tcW w:w="1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9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307</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556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9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(594)</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w:t>
            </w:r>
          </w:p>
        </w:tc>
        <w:tc>
          <w:tcPr>
            <w:tcW w:w="19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 (benefit)</w:t>
            </w: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55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made by the company to its retirement plans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OPB plans</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plans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0"/>
        </w:trPr>
        <w:tc>
          <w:tcPr>
            <w:tcW w:w="8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AND OTHER COMPENSATION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RSRs granted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RPSRs granted</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aggregate fair value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0"/>
        </w:trPr>
        <w:tc>
          <w:tcPr>
            <w:tcW w:w="8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financial metrics over a three-year period.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175</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financial metrics over a three-year period.</w:t>
      </w:r>
    </w:p>
    <w:p>
      <w:pPr>
        <w:spacing w:after="0" w:line="112"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Three Months Ended March 31</w:t>
            </w: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Aeronautics Systems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2,843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2,818</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Defense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1,881</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Mission Systems</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2,347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2,210</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1,948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(399)</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8,620</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8,189</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196</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199</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953</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967</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FAS (service)/CAS pension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Unallocated corporate expense</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(124)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7"/>
        </w:trPr>
        <w:tc>
          <w:tcPr>
            <w:tcW w:w="8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 (Service)/CAS Pension Adjustment</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net FAS (service)/CAS pension adjustment reflects the difference between CAS pension expense included as cost in segment operating income and the service cost component of FAS expense included in total operating income.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Unallocated corporate expense includes the portion of corporate costs not considered allowable or allocable under applicable CAS or FAR, and therefore not allocated to the segments, such as a portion of management and administration, legal, environmental, compensation, retiree benefits and other corporate unallowable costs. Unallocated corporate expense also includes costs not considered part of management’s evaluation of segment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performance, such as amortization of purchased intangible assets and the additional depreciation expense related to the step-up in fair value of property, plant and equipment acquired through business combinations.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40"/>
              <w:spacing w:after="0"/>
              <w:rPr>
                <w:sz w:val="20"/>
                <w:szCs w:val="20"/>
                <w:color w:val="auto"/>
              </w:rPr>
            </w:pPr>
            <w:r>
              <w:rPr>
                <w:rFonts w:ascii="Arial" w:cs="Arial" w:eastAsia="Arial" w:hAnsi="Arial"/>
                <w:sz w:val="18"/>
                <w:szCs w:val="18"/>
                <w:i w:val="1"/>
                <w:iCs w:val="1"/>
                <w:color w:val="auto"/>
              </w:rPr>
              <w:t>Sales by Customer Type</w:t>
            </w:r>
          </w:p>
        </w:tc>
        <w:tc>
          <w:tcPr>
            <w:tcW w:w="240" w:type="dxa"/>
            <w:vAlign w:val="bottom"/>
          </w:tcPr>
          <w:p>
            <w:pPr>
              <w:spacing w:after="0"/>
              <w:rPr>
                <w:sz w:val="20"/>
                <w:szCs w:val="20"/>
                <w:color w:val="auto"/>
              </w:rPr>
            </w:pPr>
          </w:p>
        </w:tc>
        <w:tc>
          <w:tcPr>
            <w:tcW w:w="294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March 31</w:t>
            </w:r>
          </w:p>
        </w:tc>
        <w:tc>
          <w:tcPr>
            <w:tcW w:w="6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3"/>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51"/>
              <w:spacing w:after="0" w:line="264" w:lineRule="exact"/>
              <w:rPr>
                <w:sz w:val="20"/>
                <w:szCs w:val="20"/>
                <w:color w:val="auto"/>
              </w:rPr>
            </w:pPr>
            <w:r>
              <w:rPr>
                <w:rFonts w:ascii="Arial" w:cs="Arial" w:eastAsia="Arial" w:hAnsi="Arial"/>
                <w:sz w:val="30"/>
                <w:szCs w:val="30"/>
                <w:color w:val="auto"/>
                <w:w w:val="98"/>
                <w:vertAlign w:val="subscript"/>
              </w:rPr>
              <w:t>%</w:t>
            </w:r>
            <w:r>
              <w:rPr>
                <w:rFonts w:ascii="Arial" w:cs="Arial" w:eastAsia="Arial" w:hAnsi="Arial"/>
                <w:sz w:val="12"/>
                <w:szCs w:val="12"/>
                <w:color w:val="auto"/>
                <w:w w:val="98"/>
              </w:rPr>
              <w:t>(3)</w:t>
            </w: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2,361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2,334</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7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Aeronautics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2,843</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2,818</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1,259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1,141</w:t>
            </w: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7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111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97</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1,881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1,768</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1,671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1,613</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7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2,347</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2,210</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1,803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1,669</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7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51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69</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1,948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1,801</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7,094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6,757</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7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1,335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191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215</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8,620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8,189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480" w:hanging="172"/>
        <w:spacing w:after="0" w:line="229"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220" w:hanging="172"/>
        <w:spacing w:after="0" w:line="229" w:lineRule="auto"/>
        <w:tabs>
          <w:tab w:leader="none" w:pos="184"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total segment sales.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40"/>
              <w:spacing w:after="0"/>
              <w:rPr>
                <w:sz w:val="20"/>
                <w:szCs w:val="20"/>
                <w:color w:val="auto"/>
              </w:rPr>
            </w:pPr>
            <w:r>
              <w:rPr>
                <w:rFonts w:ascii="Arial" w:cs="Arial" w:eastAsia="Arial" w:hAnsi="Arial"/>
                <w:sz w:val="18"/>
                <w:szCs w:val="18"/>
                <w:i w:val="1"/>
                <w:iCs w:val="1"/>
                <w:color w:val="auto"/>
              </w:rPr>
              <w:t>Sales by Contract Type</w:t>
            </w:r>
          </w:p>
        </w:tc>
        <w:tc>
          <w:tcPr>
            <w:tcW w:w="240" w:type="dxa"/>
            <w:vAlign w:val="bottom"/>
          </w:tcPr>
          <w:p>
            <w:pPr>
              <w:spacing w:after="0"/>
              <w:rPr>
                <w:sz w:val="20"/>
                <w:szCs w:val="20"/>
                <w:color w:val="auto"/>
              </w:rPr>
            </w:pPr>
          </w:p>
        </w:tc>
        <w:tc>
          <w:tcPr>
            <w:tcW w:w="294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March 31</w:t>
            </w:r>
          </w:p>
        </w:tc>
        <w:tc>
          <w:tcPr>
            <w:tcW w:w="6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7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53"/>
              <w:spacing w:after="0" w:line="276"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2"/>
                <w:szCs w:val="12"/>
                <w:color w:val="auto"/>
                <w:w w:val="95"/>
              </w:rPr>
              <w:t>(1)</w:t>
            </w: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1,343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1,312</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1,474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1,482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26</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21"/>
                <w:szCs w:val="21"/>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Aeronautics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2,843</w:t>
            </w:r>
          </w:p>
        </w:tc>
        <w:tc>
          <w:tcPr>
            <w:tcW w:w="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2,818</w:t>
            </w:r>
          </w:p>
        </w:tc>
        <w:tc>
          <w:tcPr>
            <w:tcW w:w="680" w:type="dxa"/>
            <w:vAlign w:val="bottom"/>
            <w:tcBorders>
              <w:bottom w:val="single" w:sz="8" w:color="CCEEFF"/>
            </w:tcBorders>
            <w:shd w:val="clear" w:color="auto" w:fill="CCEEFF"/>
          </w:tcPr>
          <w:p>
            <w:pPr>
              <w:spacing w:after="0"/>
              <w:rPr>
                <w:sz w:val="22"/>
                <w:szCs w:val="22"/>
                <w:color w:val="auto"/>
              </w:rPr>
            </w:pP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628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623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1,082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978</w:t>
            </w: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171</w:t>
            </w: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167</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1,881</w:t>
            </w: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1,768</w:t>
            </w:r>
          </w:p>
        </w:tc>
        <w:tc>
          <w:tcPr>
            <w:tcW w:w="680" w:type="dxa"/>
            <w:vAlign w:val="bottom"/>
            <w:tcBorders>
              <w:top w:val="single" w:sz="8" w:color="auto"/>
            </w:tcBorders>
          </w:tcPr>
          <w:p>
            <w:pPr>
              <w:spacing w:after="0"/>
              <w:rPr>
                <w:sz w:val="20"/>
                <w:szCs w:val="20"/>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846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835</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1,325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1,178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176</w:t>
            </w: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197</w:t>
            </w:r>
          </w:p>
        </w:tc>
        <w:tc>
          <w:tcPr>
            <w:tcW w:w="680" w:type="dxa"/>
            <w:vAlign w:val="bottom"/>
          </w:tcPr>
          <w:p>
            <w:pPr>
              <w:spacing w:after="0"/>
              <w:rPr>
                <w:sz w:val="21"/>
                <w:szCs w:val="21"/>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2,347</w:t>
            </w:r>
          </w:p>
        </w:tc>
        <w:tc>
          <w:tcPr>
            <w:tcW w:w="7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2,210</w:t>
            </w:r>
          </w:p>
        </w:tc>
        <w:tc>
          <w:tcPr>
            <w:tcW w:w="680" w:type="dxa"/>
            <w:vAlign w:val="bottom"/>
            <w:tcBorders>
              <w:bottom w:val="single" w:sz="8" w:color="CCEEFF"/>
            </w:tcBorders>
            <w:shd w:val="clear" w:color="auto" w:fill="CCEEFF"/>
          </w:tcPr>
          <w:p>
            <w:pPr>
              <w:spacing w:after="0"/>
              <w:rPr>
                <w:sz w:val="22"/>
                <w:szCs w:val="22"/>
                <w:color w:val="auto"/>
              </w:rPr>
            </w:pP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1,398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1,306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524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475</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w:t>
            </w: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1,948</w:t>
            </w: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1,801</w:t>
            </w:r>
          </w:p>
        </w:tc>
        <w:tc>
          <w:tcPr>
            <w:tcW w:w="680" w:type="dxa"/>
            <w:vAlign w:val="bottom"/>
            <w:tcBorders>
              <w:top w:val="single" w:sz="8" w:color="auto"/>
            </w:tcBorders>
          </w:tcPr>
          <w:p>
            <w:pPr>
              <w:spacing w:after="0"/>
              <w:rPr>
                <w:sz w:val="20"/>
                <w:szCs w:val="20"/>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4,215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4,076</w:t>
            </w: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4,405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4,113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8,620</w:t>
            </w: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8,189</w:t>
            </w:r>
          </w:p>
        </w:tc>
        <w:tc>
          <w:tcPr>
            <w:tcW w:w="680" w:type="dxa"/>
            <w:vAlign w:val="bottom"/>
            <w:tcBorders>
              <w:top w:val="single" w:sz="8" w:color="auto"/>
            </w:tcBorders>
          </w:tcPr>
          <w:p>
            <w:pPr>
              <w:spacing w:after="0"/>
              <w:rPr>
                <w:sz w:val="20"/>
                <w:szCs w:val="20"/>
                <w:color w:val="auto"/>
              </w:rPr>
            </w:pPr>
          </w:p>
        </w:tc>
      </w:tr>
      <w:tr>
        <w:trPr>
          <w:trHeight w:val="34"/>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40"/>
              <w:spacing w:after="0"/>
              <w:rPr>
                <w:sz w:val="20"/>
                <w:szCs w:val="20"/>
                <w:color w:val="auto"/>
              </w:rPr>
            </w:pPr>
            <w:r>
              <w:rPr>
                <w:rFonts w:ascii="Arial" w:cs="Arial" w:eastAsia="Arial" w:hAnsi="Arial"/>
                <w:sz w:val="18"/>
                <w:szCs w:val="18"/>
                <w:i w:val="1"/>
                <w:iCs w:val="1"/>
                <w:color w:val="auto"/>
              </w:rPr>
              <w:t>Sales by Geographic Region</w:t>
            </w:r>
          </w:p>
        </w:tc>
        <w:tc>
          <w:tcPr>
            <w:tcW w:w="240" w:type="dxa"/>
            <w:vAlign w:val="bottom"/>
          </w:tcPr>
          <w:p>
            <w:pPr>
              <w:spacing w:after="0"/>
              <w:rPr>
                <w:sz w:val="20"/>
                <w:szCs w:val="20"/>
                <w:color w:val="auto"/>
              </w:rPr>
            </w:pPr>
          </w:p>
        </w:tc>
        <w:tc>
          <w:tcPr>
            <w:tcW w:w="294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March 31</w:t>
            </w:r>
          </w:p>
        </w:tc>
        <w:tc>
          <w:tcPr>
            <w:tcW w:w="6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252"/>
              <w:spacing w:after="0" w:line="276"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2"/>
                <w:szCs w:val="12"/>
                <w:color w:val="auto"/>
                <w:w w:val="95"/>
              </w:rPr>
              <w:t>(2)</w:t>
            </w: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2,373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2,359</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237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202</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w:t>
            </w: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Aeronautics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2,843</w:t>
            </w: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2,818</w:t>
            </w:r>
          </w:p>
        </w:tc>
        <w:tc>
          <w:tcPr>
            <w:tcW w:w="680" w:type="dxa"/>
            <w:vAlign w:val="bottom"/>
            <w:tcBorders>
              <w:top w:val="single" w:sz="8" w:color="auto"/>
            </w:tcBorders>
          </w:tcPr>
          <w:p>
            <w:pPr>
              <w:spacing w:after="0"/>
              <w:rPr>
                <w:sz w:val="20"/>
                <w:szCs w:val="20"/>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1,370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1,238</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258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275</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171</w:t>
            </w: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167</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1,881</w:t>
            </w: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1,768</w:t>
            </w:r>
          </w:p>
        </w:tc>
        <w:tc>
          <w:tcPr>
            <w:tcW w:w="680" w:type="dxa"/>
            <w:vAlign w:val="bottom"/>
            <w:tcBorders>
              <w:top w:val="single" w:sz="8" w:color="auto"/>
            </w:tcBorders>
          </w:tcPr>
          <w:p>
            <w:pPr>
              <w:spacing w:after="0"/>
              <w:rPr>
                <w:sz w:val="20"/>
                <w:szCs w:val="20"/>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1,688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1,637</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307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241</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176</w:t>
            </w: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197</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2,347</w:t>
            </w: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2,210</w:t>
            </w:r>
          </w:p>
        </w:tc>
        <w:tc>
          <w:tcPr>
            <w:tcW w:w="680" w:type="dxa"/>
            <w:vAlign w:val="bottom"/>
            <w:tcBorders>
              <w:top w:val="single" w:sz="8" w:color="auto"/>
            </w:tcBorders>
          </w:tcPr>
          <w:p>
            <w:pPr>
              <w:spacing w:after="0"/>
              <w:rPr>
                <w:sz w:val="20"/>
                <w:szCs w:val="20"/>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1,854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1,738</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38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63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w:t>
            </w: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1,948</w:t>
            </w:r>
          </w:p>
        </w:tc>
        <w:tc>
          <w:tcPr>
            <w:tcW w:w="7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1,801</w:t>
            </w:r>
          </w:p>
        </w:tc>
        <w:tc>
          <w:tcPr>
            <w:tcW w:w="680" w:type="dxa"/>
            <w:vAlign w:val="bottom"/>
            <w:tcBorders>
              <w:top w:val="single" w:sz="8" w:color="auto"/>
            </w:tcBorders>
          </w:tcPr>
          <w:p>
            <w:pPr>
              <w:spacing w:after="0"/>
              <w:rPr>
                <w:sz w:val="20"/>
                <w:szCs w:val="20"/>
                <w:color w:val="auto"/>
              </w:rPr>
            </w:pPr>
          </w:p>
        </w:tc>
      </w:tr>
      <w:tr>
        <w:trPr>
          <w:trHeight w:val="27"/>
        </w:trPr>
        <w:tc>
          <w:tcPr>
            <w:tcW w:w="7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7,285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6,972</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470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738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865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749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8,620</w:t>
            </w: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8,189</w:t>
            </w:r>
          </w:p>
        </w:tc>
        <w:tc>
          <w:tcPr>
            <w:tcW w:w="680" w:type="dxa"/>
            <w:vAlign w:val="bottom"/>
            <w:tcBorders>
              <w:bottom w:val="single" w:sz="8" w:color="CCEEFF"/>
            </w:tcBorders>
            <w:shd w:val="clear" w:color="auto" w:fill="CCEEFF"/>
          </w:tcPr>
          <w:p>
            <w:pPr>
              <w:spacing w:after="0"/>
              <w:rPr>
                <w:sz w:val="21"/>
                <w:szCs w:val="21"/>
                <w:color w:val="auto"/>
              </w:rPr>
            </w:pPr>
          </w:p>
        </w:tc>
      </w:tr>
      <w:tr>
        <w:trPr>
          <w:trHeight w:val="27"/>
        </w:trPr>
        <w:tc>
          <w:tcPr>
            <w:tcW w:w="7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All other is principally comprised of Europe and the Middle East.</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reviewed the accompanying condensed consolidated statement of financial position of Northrop Grumman Corporation and subsidiaries (the “Company”) as of March 31, 2020, and the related condensed consolidated statements of earnings and comprehensive income, cash flows and changes in shareholders’ equity for the three-month periods ended March 31, 2020 and 2019,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4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We have previously audited, in accordance with the standards of the Public Company Accounting Oversight Board (United States) (PCAOB), the consolidated statement of financial position of Northrop Grumman Corporation and subsidiaries as of December 31, 2019, and the related consolidated statements of earnings and comprehensive income, changes in shareholders’ equity, and cash flows for the year then ended (not presented herein); and in our report dated January 29, 2020, we expressed an unqualified opinion on those consolidated financial statements, which included an explanatory paragraph regarding the Company’s change in its method of accounting for leases in 2019 due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In our opinion, the information set forth in the accompanying condensed consolidated statement of financial position as of December 31, 2019, is fairly stated, in all material respects, in relation to the audited consolidated statement of financial position from which it has been derived.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2020</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337" w:right="3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79" w:lineRule="exact"/>
        <w:rPr>
          <w:sz w:val="20"/>
          <w:szCs w:val="20"/>
          <w:color w:val="auto"/>
        </w:rPr>
      </w:pPr>
    </w:p>
    <w:p>
      <w:pPr>
        <w:ind w:right="366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aerospace and defense company. We use our broad portfolio of capabilities and technologies to create and deliver innovative platforms, systems and solutions in space; manned and autonomous airborne systems, including strike; hypersonics; cyber; command, control, communications and computers, intelligence, surveillance and reconnaissance (C4ISR);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our 2019 Annual Report on Form 10-K and the Form 8-K that we expect to file with the SEC immediately after filing this Form 10-Q, which recasts the disclosures in certain portions of the 2019 Annual Report on Form 10-K to reflect changes in the company’s reportable segments. These documents provide additional information on our business and the environment in which we operate and our operating results.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Coronavirus disease 2019 (“COVID-19”) was first reported in late 2019 and has since dramatically impacted the global health and economic environment, including millions of confirmed cases, business slowdowns or shutdowns, government challenges and market volatility. In March 2020, the World Health Organization characterized COVID-19 as a global pandemic, and the President declared a national emergency concerning the COVID-19 outbreak. The company’s leadership and Crisis Management Teams have closely monitored the developments, including the impact on our company, our employees, our customers, our suppliers and our communities. They have considered guidance from the Centers for Disease Control (CDC), other health organizations, governments and our customers. We have taken, and continue to take, actions to help protect the health, safety and well-being of our employees, to support our suppliers and local communities, and to continue to serve our customers. Our goals have been to lessen the immediate potential adverse impacts, both health and economic, and to continue to position the company for long-term success. Among other actions, we have required employees to work from home or remotely where practicable, and expanded IT and communication support to enhance their productivity; adjusted work spaces and shift schedules to facilitate social distancing for those who continue to work in our facilities; implemented visitor protocols and enhanced cleaning and disinfecting procedures at our facilities; worked to procure and distribute personal protective equipment (“PPE”); restricted travel; provided additional paid time off for those most at risk; and contributed financial and manufacturing resources to supporting critical national requirements, such as for PPE. Along with the Northrop Grumman Foundation, we have provided grants for global, national and local organizations that support frontline healthcare workers, address food insecurity, advance efforts for vaccines, increase student access to technology and provide support to vulnerable populations; donated PPE items to emergency response teams and healthcare professionals, including N95 masks and Tyvek suits; and established a COVID-19 relief matching gift program for employees.</w:t>
      </w:r>
    </w:p>
    <w:p>
      <w:pPr>
        <w:spacing w:after="0" w:line="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result of COVID-19, many state and local jurisdictions have implemented mandatory stay-at-home or shelter-in-place orders. To date, most of those orders have exempted some or all of the defense industrial base, including Northrop Grumman and many of our suppliers, as part of the essential or critical infrastructure. Our facilities have largely remained open and many of our employees who cannot work remotely are continuing to come to work and support our customers’ national security and mission-essential operations. Even though we have been able to continue many of our operations, we have experienced and expect to continue to experience certain increasing costs to maintain our operations and reductions in productivity, including as a result of actions to protect health; because of illness, quarantines, and absenteeism; as a result of government actions; and because of disruption and stress among our suppliers and customers. We continue to monitor this situation closely and cannot predict how it will change. Our customers have generally continued to make timely payments, and we are working with them to consider the possibility of additional cost recoveries. Again, however, our customers are facing tremendous demands and we cannot predict how this may change and how they will continue to allocate resources.</w:t>
      </w:r>
    </w:p>
    <w:p>
      <w:pPr>
        <w:spacing w:after="0" w:line="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Financial impacts related to COVID-19, including our actions and costs in response to the pandemic, were not material to the company’s first quarter 2020 financial position, results of operations or cash flows. Going forward, we currently expect the COVID–19 crisis to result in a reduction to 2020 revenue and operating margins in portions of our business driven primarily by supplier disruption, changes in employee productivity, and related program delays or challenges. Our employees, suppliers and customers, the company and our global community are facing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18"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tremendous challenges and we cannot predict how this dynamic situation will evolve or the impact it will have. For further information on the potential impact to the company of COVID-19, see “Risk Factors”.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Since the filing of our 2019 Annual Report on Form 10-K, the President released his budget request for fiscal year 2021 (FY21) on February 10, 2020. The FY21 budget request includes $746 billion for national security, which will be the subject of debate in Congress. The FY21 budget request addresses various capabilities highlighted in the U.S. National Security Strategy, the National Defense Strategy and the Missile Defense Review. We believe our capabilities, particularly in space, missiles, missile defense, hypersonics, counter-hypersonics, survivable aircraft and cyber will continue to allow for long-term profitable growth in our business in support of our customers’ needs. Congress has enacted emergency COVID-19 relief bills addressing certain impacts of the pandemic.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right"/>
              <w:ind w:right="10"/>
              <w:spacing w:after="0"/>
              <w:rPr>
                <w:sz w:val="20"/>
                <w:szCs w:val="20"/>
                <w:color w:val="auto"/>
              </w:rPr>
            </w:pPr>
            <w:r>
              <w:rPr>
                <w:rFonts w:ascii="Arial" w:cs="Arial" w:eastAsia="Arial" w:hAnsi="Arial"/>
                <w:sz w:val="18"/>
                <w:szCs w:val="18"/>
                <w:color w:val="auto"/>
                <w:w w:val="90"/>
              </w:rPr>
              <w:t>Three Months Ended March</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31</w:t>
            </w:r>
          </w:p>
        </w:tc>
        <w:tc>
          <w:tcPr>
            <w:tcW w:w="8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1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8,620</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8,189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7,686</w:t>
            </w:r>
          </w:p>
        </w:tc>
        <w:tc>
          <w:tcPr>
            <w:tcW w:w="38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7,253</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89.2%</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88.6%</w:t>
            </w: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934</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936</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10.8%</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11.4%</w:t>
            </w: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and foreign income tax expense</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185</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171</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17.6%</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868</w:t>
            </w: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863</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5.15</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83"/>
        </w:trPr>
        <w:tc>
          <w:tcPr>
            <w:tcW w:w="7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Sales</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w w:val="97"/>
              </w:rPr>
              <w:t>First quarter 2020 sales increased $431 million, or 5 percent, due to higher sales at all four sectors.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100"/>
        <w:spacing w:after="0" w:line="331"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First quarter 2020 operating income was comparable to the prior year period. First quarter 2020 operating margin rate declined to 10.8 percent reflecting lower segment operating margins at Aeronautics Systems and Defense Systems, partially offset by a decrease in unallocated corporate expense.</w:t>
      </w:r>
    </w:p>
    <w:p>
      <w:pPr>
        <w:spacing w:after="0" w:line="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First quarter 2020 general and administrative (G&amp;A) costs as a percentage of sales decreased to 9.1 percent from 9.3 percent primarily due to cost management and higher sales.</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first quarter 2020 effective tax rate increased to 17.6 percent from 16.5 percent in the first quarter of 2019 primarily due to nondeductible losses on marketable securities and an increase in reserves for uncertain tax positions. These were partially offset by an increase in research credits. See Note 3 to the financial statements for additional information.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First quarter 2020 net earnings were comparable to the prior year period and include a $102 million increase in our FAS (non-service) pension benefit, partially offset by a $94 million decrease in Other, net as a result of lower returns on marketable securities related to our non-qualified benefit plans.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First quarter 2020 diluted earnings per share increased 2 percent, reflecting a 1 percent increase in net earnings and a 1 percent reduction in weighted-average diluted shares outstanding.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 This realignment is reflected in the accompanying financial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Aeronautics Systems</w:t>
            </w:r>
          </w:p>
        </w:tc>
        <w:tc>
          <w:tcPr>
            <w:tcW w:w="2900" w:type="dxa"/>
            <w:vAlign w:val="bottom"/>
          </w:tcPr>
          <w:p>
            <w:pPr>
              <w:jc w:val="center"/>
              <w:ind w:left="170"/>
              <w:spacing w:after="0"/>
              <w:rPr>
                <w:sz w:val="20"/>
                <w:szCs w:val="20"/>
                <w:color w:val="auto"/>
              </w:rPr>
            </w:pPr>
            <w:r>
              <w:rPr>
                <w:rFonts w:ascii="Arial" w:cs="Arial" w:eastAsia="Arial" w:hAnsi="Arial"/>
                <w:sz w:val="18"/>
                <w:szCs w:val="18"/>
                <w:b w:val="1"/>
                <w:bCs w:val="1"/>
                <w:color w:val="auto"/>
                <w:w w:val="85"/>
              </w:rPr>
              <w:t>Defense Systems</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7"/>
              </w:rPr>
              <w:t>Mission Systems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4"/>
              </w:rPr>
              <w:t>Space Systems</w:t>
            </w:r>
          </w:p>
        </w:tc>
      </w:tr>
      <w:tr>
        <w:trPr>
          <w:trHeight w:val="27"/>
        </w:trPr>
        <w:tc>
          <w:tcPr>
            <w:tcW w:w="2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2720" w:type="dxa"/>
            <w:vAlign w:val="bottom"/>
            <w:shd w:val="clear" w:color="auto" w:fill="CCEEFF"/>
          </w:tcPr>
          <w:p>
            <w:pPr>
              <w:spacing w:after="0"/>
              <w:rPr>
                <w:sz w:val="19"/>
                <w:szCs w:val="19"/>
                <w:color w:val="auto"/>
              </w:rPr>
            </w:pPr>
          </w:p>
        </w:tc>
        <w:tc>
          <w:tcPr>
            <w:tcW w:w="29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Battle Management &amp; Missile</w:t>
            </w:r>
          </w:p>
        </w:tc>
        <w:tc>
          <w:tcPr>
            <w:tcW w:w="30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7"/>
        </w:trPr>
        <w:tc>
          <w:tcPr>
            <w:tcW w:w="27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Autonomous Systems</w:t>
            </w:r>
          </w:p>
        </w:tc>
        <w:tc>
          <w:tcPr>
            <w:tcW w:w="29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6"/>
              </w:rPr>
              <w:t>Systems</w:t>
            </w:r>
          </w:p>
        </w:tc>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Airborne Sensors &amp; Networks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Launch &amp; Strategic Missiles</w:t>
            </w:r>
          </w:p>
        </w:tc>
      </w:tr>
      <w:tr>
        <w:trPr>
          <w:trHeight w:val="229"/>
        </w:trPr>
        <w:tc>
          <w:tcPr>
            <w:tcW w:w="2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Cyber &amp; Intelligence Mission</w:t>
            </w:r>
          </w:p>
        </w:tc>
        <w:tc>
          <w:tcPr>
            <w:tcW w:w="2620" w:type="dxa"/>
            <w:vAlign w:val="bottom"/>
          </w:tcPr>
          <w:p>
            <w:pPr>
              <w:spacing w:after="0"/>
              <w:rPr>
                <w:sz w:val="19"/>
                <w:szCs w:val="19"/>
                <w:color w:val="auto"/>
              </w:rPr>
            </w:pPr>
          </w:p>
        </w:tc>
      </w:tr>
      <w:tr>
        <w:trPr>
          <w:trHeight w:val="230"/>
        </w:trPr>
        <w:tc>
          <w:tcPr>
            <w:tcW w:w="2720" w:type="dxa"/>
            <w:vAlign w:val="bottom"/>
          </w:tcPr>
          <w:p>
            <w:pPr>
              <w:jc w:val="center"/>
              <w:ind w:left="30"/>
              <w:spacing w:after="0"/>
              <w:rPr>
                <w:sz w:val="20"/>
                <w:szCs w:val="20"/>
                <w:color w:val="auto"/>
              </w:rPr>
            </w:pPr>
            <w:r>
              <w:rPr>
                <w:rFonts w:ascii="Arial" w:cs="Arial" w:eastAsia="Arial" w:hAnsi="Arial"/>
                <w:sz w:val="18"/>
                <w:szCs w:val="18"/>
                <w:color w:val="auto"/>
                <w:w w:val="94"/>
              </w:rPr>
              <w:t>Manned Aircraft</w:t>
            </w:r>
          </w:p>
        </w:tc>
        <w:tc>
          <w:tcPr>
            <w:tcW w:w="2900" w:type="dxa"/>
            <w:vAlign w:val="bottom"/>
          </w:tcPr>
          <w:p>
            <w:pPr>
              <w:jc w:val="center"/>
              <w:ind w:left="170"/>
              <w:spacing w:after="0"/>
              <w:rPr>
                <w:sz w:val="20"/>
                <w:szCs w:val="20"/>
                <w:color w:val="auto"/>
              </w:rPr>
            </w:pPr>
            <w:r>
              <w:rPr>
                <w:rFonts w:ascii="Arial" w:cs="Arial" w:eastAsia="Arial" w:hAnsi="Arial"/>
                <w:sz w:val="18"/>
                <w:szCs w:val="18"/>
                <w:color w:val="auto"/>
                <w:w w:val="90"/>
              </w:rPr>
              <w:t>Mission Readiness</w:t>
            </w: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Solutions</w:t>
            </w:r>
          </w:p>
        </w:tc>
        <w:tc>
          <w:tcPr>
            <w:tcW w:w="2620" w:type="dxa"/>
            <w:vAlign w:val="bottom"/>
          </w:tcPr>
          <w:p>
            <w:pPr>
              <w:jc w:val="center"/>
              <w:spacing w:after="0"/>
              <w:rPr>
                <w:sz w:val="20"/>
                <w:szCs w:val="20"/>
                <w:color w:val="auto"/>
              </w:rPr>
            </w:pPr>
            <w:r>
              <w:rPr>
                <w:rFonts w:ascii="Arial" w:cs="Arial" w:eastAsia="Arial" w:hAnsi="Arial"/>
                <w:sz w:val="18"/>
                <w:szCs w:val="18"/>
                <w:color w:val="auto"/>
                <w:w w:val="86"/>
              </w:rPr>
              <w:t>Space</w:t>
            </w:r>
          </w:p>
        </w:tc>
      </w:tr>
      <w:tr>
        <w:trPr>
          <w:trHeight w:val="27"/>
        </w:trPr>
        <w:tc>
          <w:tcPr>
            <w:tcW w:w="2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20" w:type="dxa"/>
            <w:vAlign w:val="bottom"/>
            <w:tcBorders>
              <w:bottom w:val="single" w:sz="8" w:color="CCEEFF"/>
            </w:tcBorders>
            <w:shd w:val="clear" w:color="auto" w:fill="CCEEFF"/>
          </w:tcPr>
          <w:p>
            <w:pPr>
              <w:spacing w:after="0"/>
              <w:rPr>
                <w:sz w:val="21"/>
                <w:szCs w:val="21"/>
                <w:color w:val="auto"/>
              </w:rPr>
            </w:pPr>
          </w:p>
        </w:tc>
      </w:tr>
      <w:tr>
        <w:trPr>
          <w:trHeight w:val="229"/>
        </w:trPr>
        <w:tc>
          <w:tcPr>
            <w:tcW w:w="2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Navigation, Targeting &amp;</w:t>
            </w:r>
          </w:p>
        </w:tc>
        <w:tc>
          <w:tcPr>
            <w:tcW w:w="262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Survivability</w:t>
            </w:r>
          </w:p>
        </w:tc>
        <w:tc>
          <w:tcPr>
            <w:tcW w:w="2620" w:type="dxa"/>
            <w:vAlign w:val="bottom"/>
          </w:tcPr>
          <w:p>
            <w:pPr>
              <w:spacing w:after="0"/>
              <w:rPr>
                <w:sz w:val="20"/>
                <w:szCs w:val="20"/>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we have recognized under the Federal Acquisition Regulation (FAR) and the related U.S. Government Cost Accounting Standards (CAS), and excluding FAS pension expense and unallocated corporate items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right"/>
              <w:ind w:right="30"/>
              <w:spacing w:after="0"/>
              <w:rPr>
                <w:sz w:val="20"/>
                <w:szCs w:val="20"/>
                <w:color w:val="auto"/>
              </w:rPr>
            </w:pPr>
            <w:r>
              <w:rPr>
                <w:rFonts w:ascii="Arial" w:cs="Arial" w:eastAsia="Arial" w:hAnsi="Arial"/>
                <w:sz w:val="18"/>
                <w:szCs w:val="18"/>
                <w:color w:val="auto"/>
                <w:w w:val="90"/>
              </w:rPr>
              <w:t>Three Months Ended March</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31</w:t>
            </w:r>
          </w:p>
        </w:tc>
        <w:tc>
          <w:tcPr>
            <w:tcW w:w="8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953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11.1%</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11.8%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 pension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207</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43"/>
        </w:trPr>
        <w:tc>
          <w:tcPr>
            <w:tcW w:w="7700" w:type="dxa"/>
            <w:vAlign w:val="bottom"/>
          </w:tcPr>
          <w:p>
            <w:pPr>
              <w:ind w:left="280"/>
              <w:spacing w:after="0"/>
              <w:rPr>
                <w:sz w:val="20"/>
                <w:szCs w:val="20"/>
                <w:color w:val="auto"/>
              </w:rPr>
            </w:pPr>
            <w:r>
              <w:rPr>
                <w:rFonts w:ascii="Arial" w:cs="Arial" w:eastAsia="Arial" w:hAnsi="Arial"/>
                <w:sz w:val="18"/>
                <w:szCs w:val="18"/>
                <w:color w:val="auto"/>
              </w:rPr>
              <w:t>Less: FAS (service) pension expense</w:t>
            </w:r>
          </w:p>
        </w:tc>
        <w:tc>
          <w:tcPr>
            <w:tcW w:w="1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(102)</w:t>
            </w:r>
          </w:p>
        </w:tc>
        <w:tc>
          <w:tcPr>
            <w:tcW w:w="3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7"/>
        </w:trPr>
        <w:tc>
          <w:tcPr>
            <w:tcW w:w="7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FAS (service)/CAS pension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7700" w:type="dxa"/>
            <w:vAlign w:val="bottom"/>
          </w:tcPr>
          <w:p>
            <w:pPr>
              <w:ind w:left="280"/>
              <w:spacing w:after="0"/>
              <w:rPr>
                <w:sz w:val="20"/>
                <w:szCs w:val="20"/>
                <w:color w:val="auto"/>
              </w:rPr>
            </w:pPr>
            <w:r>
              <w:rPr>
                <w:rFonts w:ascii="Arial" w:cs="Arial" w:eastAsia="Arial" w:hAnsi="Arial"/>
                <w:sz w:val="18"/>
                <w:szCs w:val="18"/>
                <w:color w:val="auto"/>
              </w:rPr>
              <w:t>Intangible asset amortization and PP&amp;E step-up depreciation</w:t>
            </w:r>
          </w:p>
        </w:tc>
        <w:tc>
          <w:tcPr>
            <w:tcW w:w="1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3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unallocated corporate expense</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Unallocated corporate expense</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w:t>
            </w: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(139)</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7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934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7"/>
        </w:trPr>
        <w:tc>
          <w:tcPr>
            <w:tcW w:w="7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First quarter 2020 segment operating income decreased $14 million, or 1 percent, and reflects lower segment operating income at Aeronautics Systems, partially offset by higher segment operating income at Mission Systems and Space Systems. Segment operating margin rate decreased to 11.1 percent primarily due to lower segment operating margins at Aeronautics Systems and Defense Systems.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FAS (service)/CAS Pension Adjustment</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first quarter 2020 net FAS (service)/CAS pension adjustment is comparable to the prior year period and reflects changes in actuarial assumptions as of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 Income</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decrease in first quarter 2020 unallocated corporate expense is primarily due to $14 million of lower intangible asset amortization and PP&amp;E step-up depreciation.</w:t>
      </w:r>
    </w:p>
    <w:p>
      <w:pPr>
        <w:spacing w:after="0" w:line="5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Net EAC Adjustments </w:t>
      </w:r>
      <w:r>
        <w:rPr>
          <w:rFonts w:ascii="Arial" w:cs="Arial" w:eastAsia="Arial" w:hAnsi="Arial"/>
          <w:sz w:val="18"/>
          <w:szCs w:val="18"/>
          <w:color w:val="auto"/>
        </w:rPr>
        <w:t>- We record changes in estimated contract earnings at completion (net EAC adjustments) using the cumulative catch-up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Net EAC adjustments can have a significant effect on reported sales and operating income and the aggregate amounts are presented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w:t>
            </w:r>
          </w:p>
        </w:tc>
      </w:tr>
      <w:tr>
        <w:trPr>
          <w:trHeight w:val="230"/>
        </w:trPr>
        <w:tc>
          <w:tcPr>
            <w:tcW w:w="38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31</w:t>
            </w:r>
          </w:p>
        </w:tc>
        <w:tc>
          <w:tcPr>
            <w:tcW w:w="80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3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386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5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386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5"/>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5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513"/>
        </w:trPr>
        <w:tc>
          <w:tcPr>
            <w:tcW w:w="3860" w:type="dxa"/>
            <w:vAlign w:val="bottom"/>
            <w:tcBorders>
              <w:top w:val="single" w:sz="8" w:color="auto"/>
            </w:tcBorders>
          </w:tcPr>
          <w:p>
            <w:pPr>
              <w:spacing w:after="0"/>
              <w:rPr>
                <w:sz w:val="24"/>
                <w:szCs w:val="24"/>
                <w:color w:val="auto"/>
              </w:rPr>
            </w:pPr>
          </w:p>
        </w:tc>
        <w:tc>
          <w:tcPr>
            <w:tcW w:w="5240" w:type="dxa"/>
            <w:vAlign w:val="bottom"/>
            <w:tcBorders>
              <w:top w:val="single" w:sz="8" w:color="auto"/>
            </w:tcBorders>
          </w:tcPr>
          <w:p>
            <w:pPr>
              <w:jc w:val="right"/>
              <w:ind w:right="3230"/>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910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w:t>
            </w:r>
          </w:p>
        </w:tc>
      </w:tr>
      <w:tr>
        <w:trPr>
          <w:trHeight w:val="230"/>
        </w:trPr>
        <w:tc>
          <w:tcPr>
            <w:tcW w:w="9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31</w:t>
            </w:r>
          </w:p>
        </w:tc>
        <w:tc>
          <w:tcPr>
            <w:tcW w:w="800" w:type="dxa"/>
            <w:vAlign w:val="bottom"/>
          </w:tcPr>
          <w:p>
            <w:pPr>
              <w:spacing w:after="0"/>
              <w:rPr>
                <w:sz w:val="20"/>
                <w:szCs w:val="20"/>
                <w:color w:val="auto"/>
              </w:rPr>
            </w:pPr>
          </w:p>
        </w:tc>
      </w:tr>
      <w:tr>
        <w:trPr>
          <w:trHeight w:val="27"/>
        </w:trPr>
        <w:tc>
          <w:tcPr>
            <w:tcW w:w="9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1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9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9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9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EAC adjustments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34"/>
        </w:trPr>
        <w:tc>
          <w:tcPr>
            <w:tcW w:w="9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120" w:type="dxa"/>
            <w:vAlign w:val="bottom"/>
          </w:tcPr>
          <w:p>
            <w:pPr>
              <w:spacing w:after="0"/>
              <w:rPr>
                <w:sz w:val="19"/>
                <w:szCs w:val="19"/>
                <w:color w:val="auto"/>
              </w:rPr>
            </w:pPr>
          </w:p>
        </w:tc>
        <w:tc>
          <w:tcPr>
            <w:tcW w:w="2160" w:type="dxa"/>
            <w:vAlign w:val="bottom"/>
            <w:gridSpan w:val="3"/>
          </w:tcPr>
          <w:p>
            <w:pPr>
              <w:jc w:val="center"/>
              <w:ind w:right="10"/>
              <w:spacing w:after="0"/>
              <w:rPr>
                <w:sz w:val="20"/>
                <w:szCs w:val="20"/>
                <w:color w:val="auto"/>
              </w:rPr>
            </w:pPr>
            <w:r>
              <w:rPr>
                <w:rFonts w:ascii="Arial" w:cs="Arial" w:eastAsia="Arial" w:hAnsi="Arial"/>
                <w:sz w:val="18"/>
                <w:szCs w:val="18"/>
                <w:color w:val="auto"/>
                <w:w w:val="90"/>
              </w:rPr>
              <w:t>Three Months Ended March</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31</w:t>
            </w:r>
          </w:p>
        </w:tc>
        <w:tc>
          <w:tcPr>
            <w:tcW w:w="8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2,843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2,818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259</w:t>
            </w:r>
          </w:p>
        </w:tc>
        <w:tc>
          <w:tcPr>
            <w:tcW w:w="3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308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9.1%</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10.9%</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First quarter 2020 sales increased $25 million, or 1 percent, due to higher sales in both Autonomous Systems and Manned Aircraft. Higher volume on restricted programs and Global Hawk were partially offset by lower volume on the B-2 Defensive Management System Modernization program and NATO AGS, which are both nearing completion.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First quarter 2020 operating income decreased $49 million, or 16 percent, principally due to a lower operating margin rate. Operating margin rate decreased to 9.1 percent from 10.9 percent, due to lower net EAC adjustments at Autonomous Systems as well as the timing of F-35 risk retirements and contract mix at Manned Aircraft.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DEFENSE SYSTEMS</w:t>
            </w:r>
          </w:p>
        </w:tc>
        <w:tc>
          <w:tcPr>
            <w:tcW w:w="120" w:type="dxa"/>
            <w:vAlign w:val="bottom"/>
          </w:tcPr>
          <w:p>
            <w:pPr>
              <w:spacing w:after="0"/>
              <w:rPr>
                <w:sz w:val="19"/>
                <w:szCs w:val="19"/>
                <w:color w:val="auto"/>
              </w:rPr>
            </w:pPr>
          </w:p>
        </w:tc>
        <w:tc>
          <w:tcPr>
            <w:tcW w:w="2160" w:type="dxa"/>
            <w:vAlign w:val="bottom"/>
            <w:gridSpan w:val="3"/>
          </w:tcPr>
          <w:p>
            <w:pPr>
              <w:jc w:val="center"/>
              <w:ind w:right="10"/>
              <w:spacing w:after="0"/>
              <w:rPr>
                <w:sz w:val="20"/>
                <w:szCs w:val="20"/>
                <w:color w:val="auto"/>
              </w:rPr>
            </w:pPr>
            <w:r>
              <w:rPr>
                <w:rFonts w:ascii="Arial" w:cs="Arial" w:eastAsia="Arial" w:hAnsi="Arial"/>
                <w:sz w:val="18"/>
                <w:szCs w:val="18"/>
                <w:color w:val="auto"/>
                <w:w w:val="90"/>
              </w:rPr>
              <w:t>Three Months Ended March</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31</w:t>
            </w:r>
          </w:p>
        </w:tc>
        <w:tc>
          <w:tcPr>
            <w:tcW w:w="8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1,881</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1,768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196</w:t>
            </w:r>
          </w:p>
        </w:tc>
        <w:tc>
          <w:tcPr>
            <w:tcW w:w="36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202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10.4%</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11.4%</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First quarter 2020 sales increased $113 million or 6 percent, due to higher sales in both Battle Management &amp; Missile Systems and Mission Readiness. Battle Management &amp; Missile Systems sales increased primarily due to higher volume on the Guided Multiple Launch Rocket System (GMLRS), Advanced Anti-Radiation Guided Missile (AARGM) program and other missile products. Mission Readiness sales increased principally due to higher volume on an international training program and the Special Electronic Mission Aircraft program.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First quarter 2020 operating income decreased $6 million, or 3 percent, primarily due to a lower operating margin rate, partially offset by higher sales. Operating margin rate decreased to 10.4 percent from 11.4 percent primarily due to favorable adjustments on certain small caliber ammunition programs in the first quarter of 2019.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MISSION SYSTEMS</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auto"/>
                <w:w w:val="90"/>
              </w:rPr>
              <w:t>Three Months Ended March 31</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772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2,347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348</w:t>
            </w:r>
          </w:p>
        </w:tc>
        <w:tc>
          <w:tcPr>
            <w:tcW w:w="3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319</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14.8%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14.4%</w:t>
            </w: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First quarter 2020 sales increased $137 million, or 6 percent, primarily due to higher volume on Airborne Sensors &amp; Networks and Maritime/Land Systems</w:t>
      </w:r>
    </w:p>
    <w:p>
      <w:pPr>
        <w:spacing w:after="0" w:line="32" w:lineRule="exact"/>
        <w:rPr>
          <w:sz w:val="20"/>
          <w:szCs w:val="20"/>
          <w:color w:val="auto"/>
        </w:rPr>
      </w:pPr>
    </w:p>
    <w:p>
      <w:pPr>
        <w:ind w:right="440" w:firstLine="8"/>
        <w:spacing w:after="0" w:line="322" w:lineRule="auto"/>
        <w:tabs>
          <w:tab w:leader="none" w:pos="1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Sensors programs. Airborne Sensors &amp; Networks sales increased principally due to higher airborne radar volume, including on the F-35 and SABR programs. Maritime/Land Systems &amp; Sensors sales increased primarily due to higher volume on marine systems and restricted programs.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First quarter 2020 operating income increased $29 million, or 9 percent, due to higher sales and a higher operating margin rate. Operating margin rate increased to 14.8 percent from 14.4 percent primarily due to improved performance on Airborne Sensors &amp; Networks programs, partially offset by changes in contract mix at Maritime/Land Systems &amp; Sensors and the timing of risk retirements at Navigation, Targeting &amp; Survivability.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SPACE SYSTEMS</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auto"/>
                <w:w w:val="90"/>
              </w:rPr>
              <w:t>Three Months Ended March 31</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1"/>
        </w:trPr>
        <w:tc>
          <w:tcPr>
            <w:tcW w:w="772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1,948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199</w:t>
            </w:r>
          </w:p>
        </w:tc>
        <w:tc>
          <w:tcPr>
            <w:tcW w:w="3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188</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10.2%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10.4%</w:t>
            </w: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First quarter 2020 sales increased $147 million, or 8 percent, primarily due to higher sales in Space, partially offset by lower sales in Launch &amp; Strategic Missiles. Space sales were driven by higher volume on restricted programs, Next Generation Overhead Persistent Infrared Radar (Next Gen OPIR) and the Arctic Satellite Broadband Mission (ASBM) program. Launch &amp; Strategic Missiles sales reflect lower volume on the Ground-based Midcourse Defense (GMD) program and Space Launch System (SLS) Booster, partially offset by higher volume on hypersonic programs and the Ground Based Strategic Deterrent (GBSD) Technology Maturation Risk Reduction (TMRR) program.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First quarter 2020 operating income increased $11 million, or 6 percent, primarily due to higher sales, partially offset by a lower operating margin rate. Operating margin rate decreased to 10.2 percent from 10.4 percent principally due to the timing of favorable negotiations on certain commercial contracts recognized in the first quarter of 2019.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gridSpan w:val="5"/>
          </w:tcPr>
          <w:p>
            <w:pPr>
              <w:ind w:left="160"/>
              <w:spacing w:after="0"/>
              <w:rPr>
                <w:sz w:val="20"/>
                <w:szCs w:val="20"/>
                <w:color w:val="auto"/>
              </w:rPr>
            </w:pPr>
            <w:r>
              <w:rPr>
                <w:rFonts w:ascii="Arial" w:cs="Arial" w:eastAsia="Arial" w:hAnsi="Arial"/>
                <w:sz w:val="18"/>
                <w:szCs w:val="18"/>
                <w:color w:val="auto"/>
              </w:rPr>
              <w:t>Three Months Ended March 31</w:t>
            </w:r>
          </w:p>
        </w:tc>
        <w:tc>
          <w:tcPr>
            <w:tcW w:w="68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6"/>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8"/>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Costs and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0"/>
              </w:rPr>
              <w:t>Operating Costs</w:t>
            </w:r>
          </w:p>
        </w:tc>
      </w:tr>
      <w:tr>
        <w:trPr>
          <w:trHeight w:val="23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1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Sales</w:t>
            </w:r>
          </w:p>
        </w:tc>
        <w:tc>
          <w:tcPr>
            <w:tcW w:w="2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Expenses</w:t>
            </w:r>
          </w:p>
        </w:tc>
        <w:tc>
          <w:tcPr>
            <w:tcW w:w="2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Sales</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and Expenses</w:t>
            </w:r>
          </w:p>
        </w:tc>
      </w:tr>
      <w:tr>
        <w:trPr>
          <w:trHeight w:val="27"/>
        </w:trPr>
        <w:tc>
          <w:tcPr>
            <w:tcW w:w="6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2,409</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2,405</w:t>
            </w:r>
          </w:p>
        </w:tc>
        <w:tc>
          <w:tcPr>
            <w:tcW w:w="60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2,144</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Aeronautics Systems</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2,843</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2,584</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6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Defense Systems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940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827</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w:t>
            </w:r>
          </w:p>
        </w:tc>
        <w:tc>
          <w:tcPr>
            <w:tcW w:w="6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859</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Defense Systems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1,881</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1,685</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6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1,566</w:t>
            </w:r>
          </w:p>
        </w:tc>
      </w:tr>
      <w:tr>
        <w:trPr>
          <w:trHeight w:val="27"/>
        </w:trPr>
        <w:tc>
          <w:tcPr>
            <w:tcW w:w="6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1,508</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1,277</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1,382</w:t>
            </w:r>
          </w:p>
        </w:tc>
        <w:tc>
          <w:tcPr>
            <w:tcW w:w="6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w:t>
            </w:r>
          </w:p>
        </w:tc>
        <w:tc>
          <w:tcPr>
            <w:tcW w:w="6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Mission Systems</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2,347</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1,999</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6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Space Systems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1,489</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1,327</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w:t>
            </w:r>
          </w:p>
        </w:tc>
        <w:tc>
          <w:tcPr>
            <w:tcW w:w="6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426</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Space Systems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1,948</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1,749</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6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1,613</w:t>
            </w:r>
          </w:p>
        </w:tc>
      </w:tr>
      <w:tr>
        <w:trPr>
          <w:trHeight w:val="27"/>
        </w:trPr>
        <w:tc>
          <w:tcPr>
            <w:tcW w:w="6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Totals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Total Product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6,176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5,728</w:t>
            </w:r>
          </w:p>
        </w:tc>
        <w:tc>
          <w:tcPr>
            <w:tcW w:w="600" w:type="dxa"/>
            <w:vAlign w:val="bottom"/>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5,034</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Service</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2,444</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2,156</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6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2,188</w:t>
            </w:r>
          </w:p>
        </w:tc>
      </w:tr>
      <w:tr>
        <w:trPr>
          <w:trHeight w:val="270"/>
        </w:trPr>
        <w:tc>
          <w:tcPr>
            <w:tcW w:w="6980" w:type="dxa"/>
            <w:vAlign w:val="bottom"/>
            <w:tcBorders>
              <w:top w:val="single" w:sz="8" w:color="auto"/>
              <w:bottom w:val="single" w:sz="8" w:color="auto"/>
            </w:tcBorders>
          </w:tcPr>
          <w:p>
            <w:pPr>
              <w:ind w:left="40"/>
              <w:spacing w:after="0" w:line="26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5"/>
                <w:szCs w:val="25"/>
                <w:b w:val="1"/>
                <w:bCs w:val="1"/>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8,620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7,222</w:t>
            </w:r>
          </w:p>
        </w:tc>
      </w:tr>
    </w:tbl>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First quarter 2020 product sales increased $448 million, or 8 percent. The increase was primarily due to higher volume on restricted and Next Gen OPIR programs at Space Systems, higher sales on missile products at Defense Systems and higher airborne radar and F-35 volume at Mission Systems.</w:t>
      </w:r>
    </w:p>
    <w:p>
      <w:pPr>
        <w:spacing w:after="0" w:line="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First quarter 2020 product costs increased $477 million, or 9 percent, consistent with the higher product sales described above and principally reflects a lower product margin at Aeronautics Systems due to lower net favorable EAC adjustments.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First quarter 2020 service sales decreased $17 million, or 1 percent, due to lower service sales at Defense Systems and Space Systems, partially offset by higher service sales at Mission Systems.</w:t>
      </w:r>
    </w:p>
    <w:p>
      <w:pPr>
        <w:spacing w:after="0" w:line="5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First quarter 2020 service costs decreased $32 million, or 1 percent, consistent with the lower service sales described above and reflects higher service margin rates at Mission Systems.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March 31, 2020 and December 31,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March 31, 2020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Total</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34"/>
        </w:trPr>
        <w:tc>
          <w:tcPr>
            <w:tcW w:w="47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Funded</w:t>
            </w:r>
          </w:p>
        </w:tc>
        <w:tc>
          <w:tcPr>
            <w:tcW w:w="28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Unfunded</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Backlog</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13,544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6,462</w:t>
            </w: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1,719</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8,181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9,336</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4,840</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5,082</w:t>
            </w:r>
          </w:p>
        </w:tc>
        <w:tc>
          <w:tcPr>
            <w:tcW w:w="2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11,542</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16,624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16,112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32,522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31,645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64,167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4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First quarter 2020 net awards totaled $7.9 billion and backlog totaled $64.2 billion. Significant first quarter new awards include restricted competitive prime space contracts totaling multiple billions of dollars in the aggregate; $339 million for the Scalable Agile Beam Radar (SABR) program, $281 million for the Triton program, $165 million for the Advanced Anti-Radiation Guided Missile (AARGM) program and $160 million for the Ground-based Midcourse Defense (GMD) program.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endeavor to ensure efficient conversion of operating income into cash and to increase shareholder value through cash deployment activities. In addition to our cash position, we use various financial measures to assist in capital deployment decision-making, including cash used in operating activities and free cash flow, a non-GAAP measure described in more detail below.</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March 31, 2020, we had $3.3 billion in cash and cash equivalents. In March 2020, we issued $2.25 billion of unsecured senior notes to help preserve financial flexibility in light of uncertainty resulting from the COVID-19 pandemic. We intend to use those proceeds for general corporate purposes, which may include debt repayment and working capital. In April 2020, we entered into a one-year $500 million uncommitted credit facility to provide an additional source of potential financing.</w:t>
      </w:r>
    </w:p>
    <w:p>
      <w:pPr>
        <w:spacing w:after="0" w:line="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In addition, the U.S. Department of Defense (DoD) has, to date, taken steps to increase the rate for certain progress payments from 80 percent to 90 percent for costs incurred and work performed on relevant contracts. We expect both of these actions should help to mitigate COVID-19 related negative impacts to our operating cash flows for the remainder of the year.</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78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4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The table below summarizes key components of cash flow used in operating activities: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84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31</w:t>
            </w:r>
          </w:p>
        </w:tc>
        <w:tc>
          <w:tcPr>
            <w:tcW w:w="8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70"/>
        </w:trPr>
        <w:tc>
          <w:tcPr>
            <w:tcW w:w="7840" w:type="dxa"/>
            <w:vAlign w:val="bottom"/>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30 %</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Trade working capital</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(2,163)</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(1,964)</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67 %</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7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Includes depreciation and amortization, non-cash lease expense, stock based compensation expense and deferred income taxes.</w:t>
      </w:r>
    </w:p>
    <w:p>
      <w:pPr>
        <w:spacing w:after="0" w:line="74" w:lineRule="exact"/>
        <w:rPr>
          <w:sz w:val="20"/>
          <w:szCs w:val="20"/>
          <w:color w:val="auto"/>
        </w:rPr>
      </w:pPr>
    </w:p>
    <w:p>
      <w:pPr>
        <w:jc w:val="both"/>
        <w:ind w:left="60" w:right="80"/>
        <w:spacing w:after="0" w:line="255" w:lineRule="auto"/>
        <w:rPr>
          <w:sz w:val="20"/>
          <w:szCs w:val="20"/>
          <w:color w:val="auto"/>
        </w:rPr>
      </w:pPr>
      <w:r>
        <w:rPr>
          <w:rFonts w:ascii="Arial" w:cs="Arial" w:eastAsia="Arial" w:hAnsi="Arial"/>
          <w:sz w:val="18"/>
          <w:szCs w:val="18"/>
          <w:color w:val="auto"/>
        </w:rPr>
        <w:t>First quarter 2020 cash used in operating activities increased $80 million principally due to the timing of trade working capital. The net use of cash during the first quarter is consistent with the company’s historical timing of operating cash flows, which are generally more heavily weighted toward the second half of the 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Free cash flow, as reconciled in the table below, is a non-GAAP measure defined as net cash used in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used in operating activities to 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79"/>
              </w:rPr>
              <w:t>31</w:t>
            </w:r>
          </w:p>
        </w:tc>
        <w:tc>
          <w:tcPr>
            <w:tcW w:w="8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(1,265)</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7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2020 free cash flow decreased $68 million principally due to the increase in net cash used in operating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780"/>
        <w:spacing w:after="0" w:line="297" w:lineRule="auto"/>
        <w:rPr>
          <w:sz w:val="20"/>
          <w:szCs w:val="20"/>
          <w:color w:val="auto"/>
        </w:rPr>
      </w:pPr>
      <w:r>
        <w:rPr>
          <w:rFonts w:ascii="Arial" w:cs="Arial" w:eastAsia="Arial" w:hAnsi="Arial"/>
          <w:sz w:val="18"/>
          <w:szCs w:val="18"/>
          <w:color w:val="auto"/>
        </w:rPr>
        <w:t xml:space="preserve">First quarter 2020 net cash used in investing activities decreased to $270 million from $280 million principally due to lower capital expenditures. </w:t>
      </w:r>
      <w:r>
        <w:rPr>
          <w:rFonts w:ascii="Arial" w:cs="Arial" w:eastAsia="Arial" w:hAnsi="Arial"/>
          <w:sz w:val="18"/>
          <w:szCs w:val="18"/>
          <w:b w:val="1"/>
          <w:bCs w:val="1"/>
          <w:color w:val="auto"/>
        </w:rPr>
        <w:t>Financing Cash Flow</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First quarter 2020 net cash provided by financing activities increased to $2.3 billion from $462 million principally due to $2.2 billion of net proceeds from the issuance of long-term debt in the first quarter of 2020, partially offset by share repurchases in the quarter.</w:t>
      </w:r>
    </w:p>
    <w:p>
      <w:pPr>
        <w:spacing w:after="0" w:line="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2019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2019 Annual Report on Form 10-K, this Form 10-Q and from time to time in our other filings with the Securities and Exchange Commission (SEC). These risks and uncertainties are amplified by the global COVID-19 pandemic, which has caused and will continue to cause significant challenges, instability and uncertainty. They include:</w:t>
      </w:r>
    </w:p>
    <w:p>
      <w:pPr>
        <w:spacing w:after="0" w:line="33" w:lineRule="exact"/>
        <w:rPr>
          <w:sz w:val="20"/>
          <w:szCs w:val="20"/>
          <w:color w:val="auto"/>
        </w:rPr>
      </w:pPr>
    </w:p>
    <w:p>
      <w:pPr>
        <w:jc w:val="both"/>
        <w:ind w:left="660" w:right="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COVID-19 outbreak or future epidemics on our business, including the potential for worker absenteeism, facility closures, work slowdowns or stoppages, supply chain disruptions, program delays, our ability to recover costs under contracts, changing government funding and acquisition priorities and processes, changing government payment rules and practices, and potential impacts on access to capital, the markets and the fair value of our assets;</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and/or changes in estimated contract revenues and costs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01"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90" w:lineRule="exact"/>
        <w:rPr>
          <w:rFonts w:ascii="Arial" w:cs="Arial" w:eastAsia="Arial" w:hAnsi="Arial"/>
          <w:sz w:val="18"/>
          <w:szCs w:val="18"/>
          <w:color w:val="auto"/>
        </w:rPr>
      </w:pPr>
    </w:p>
    <w:p>
      <w:pPr>
        <w:ind w:left="660" w:right="1060" w:hanging="328"/>
        <w:spacing w:after="0" w:line="33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 epidemics, pandemics and similar outbreaks, including the global COVID-19 pandemic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35"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business conditions that could impact business investments and/or recorded goodwill or the value of other long-lived assets</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than the debt issuance, including associated interest, described in Note 4 of Part I, Item 1, there have been no material changes to our contractual obligations from those discussed in our 2019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2019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March 31, 2020,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During the three months ended March 31, 2020, no changes occurred in our internal control over financial reporting that materially affected, or are reasonably likely to materially affect, our internal control over financial reporting.</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118" w:right="39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2019 Annual Report on Form 10-K.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 Involving Potential Monetary Damages in Excess of $100,000</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environmental matter is reported pursuant to SEC Regulation S-K Item 103 because it involves potential monetary damages in excess of $100,000. In June 2016, the U.S. Environmental Protection Agency (EPA) conducted an environmental inspection at the Allegheny Ballistics Laboratory in Rocket Center, WV, which was then and is now operated by Alliant Techsystems Operations LLC (“ATO”). ATO became an indirect subsidiary of the Company approximately 2 years later, in June 2018. On March 3, 2020, EPA notified ATO of a proposed penalty for alleged noncompliance with certain air emission, water discharge and waste management permitting and regulatory requirements. EPA proposed a civil penalty totaling $497,635 and certain non-monetary actions. The Company disputes the allegations and is in discussions with the government.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following updates and supplements the risk factors described in the section entitled “Risk Factors” in our 2019 Annual Report on Form 10-K, as updated by the Current Report on Form 8-K filed on March 19, 2020. It should be read in conjunction with the risk factors in the 2019 Annual Report on Form 10-K. In addition to the other information set forth in this Quarterly Report on Form 10-Q, you should carefully consider the factors discussed in Part I, Item 1A Risk Factors in the 2019 Form 10-K which could materially affect our business, financial condition or future results. The COVID-19 pandemic has heightened, and in some cases manifested, certain of the risks we normally face in operating our business, including those disclosed in the 2019 Form 10-K, and the risk factor disclosure in the 2019 Form 10-K is qualified by the information relating to COVID-19 that is described in this Quarterly Report on Form 10-Q, including the updated risk factor set forth below. Except as otherwise described herein, there have been no other material changes from the risk factors previously disclosed in the 2019 Form 10-K.</w:t>
      </w:r>
    </w:p>
    <w:p>
      <w:pPr>
        <w:spacing w:after="0" w:line="43" w:lineRule="exact"/>
        <w:rPr>
          <w:sz w:val="20"/>
          <w:szCs w:val="20"/>
          <w:color w:val="auto"/>
        </w:rPr>
      </w:pPr>
    </w:p>
    <w:p>
      <w:pPr>
        <w:ind w:left="80" w:right="680" w:hanging="6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face various risks related to health epidemics, pandemics and similar outbreaks, which may have material adverse effects on our 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financial position, results of operations and/or cash flows.</w:t>
      </w:r>
    </w:p>
    <w:p>
      <w:pPr>
        <w:spacing w:after="0" w:line="3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face various risks related to health epidemics, pandemics and similar outbreaks, including the global outbreak of coronavirus disease 2019 (“COVID-19”). Since first reported in late 2019, the COVID-19 pandemic has dramatically impacted the global health and economic environment, including millions of confirmed cases, business slowdowns or shutdowns, government challenges and market volatility of an unprecedented nature. Although we have, to date, managed to continue most of our operations, we cannot predict the future course of events nor can we assure that this global pandemic, including its economic impact, will not have a material adverse impact on our business, financial position, results of operations and/or cash flows. (For further information relating to our company’s experience to date, and certain steps taken to approach the risks presented by the COVID-19 pandemic, see Management’s Discussion and Analysis of Financial Condition and Results of Operations).</w:t>
      </w:r>
    </w:p>
    <w:p>
      <w:pPr>
        <w:spacing w:after="0" w:line="4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If significant portions of our workforce are unable to work effectively, including because of illness, quarantines or absenteeism; steps the company has taken to protect health and challenges with additional steps (such as securing personal protective equipment and testing); government actions; facility closures; work slowdowns or stoppages; limited supplies or resources; or other circumstances related to COVID-19, our operations will be further impacted. We may be unable to perform fully on our contracts and we may incur liabilities and suffer losses as a result. In addition, we will continue to incur additional costs as a result of the COVID-19 outbreak, including to protect the well-being of our employees, which will likely not be fully recoverable. The continued spread of COVID-19 may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also affect our ability to hire, develop and retain our talented and diverse workforce, and to maintain our corporate culture.</w:t>
      </w:r>
    </w:p>
    <w:p>
      <w:pPr>
        <w:spacing w:after="0" w:line="9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continued spread of COVID-19, including the global pandemic and the economic impact, are likely also to cause further disruption in our supply chain. If our suppliers have increased challenges with their workforce (including as a result of illness, absenteeism or government orders), access to necessary components and supplies, access to capital, and access to fundamental support services (such as shipping and transportation), they may be unable to provide the agreed-upon goods and services in a timely, compliant and cost-effective manner. We may incur additional costs and delays in our business, including as a result of higher prices, schedule delays or the need to identify and develop alternative suppliers, and we may need to provide additional resources to support our suppliers or otherwise continue performance under our contracts. In some instances, we may be unable to do that, incurring additional liabilities under our current contracts and hampering new ones.</w:t>
      </w:r>
    </w:p>
    <w:p>
      <w:pPr>
        <w:spacing w:after="0" w:line="4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global COVID-19 crisis is putting extraordinary pressures on the U.S. government and governments around the world. It could cause delays or limits in the ability of the government and other customers to perform, including making timely payments and awards to us, negotiating contracts and agreeing appropriate costs for recovery, performing quality inspections, supporting testing, accepting delivery, approving security clearances (for individuals and facilities), and providing necessary personnel, equipment and facilities. In addition, as a result of the COVID-19 crisis, there may be changes in our customers’ priorities and practices, as our customers in both the United States and globally confront competing budget priorities and more limited resources. These changes may impact current and future programs, government payments and other practices, procurements, and funding decisions.</w:t>
      </w:r>
    </w:p>
    <w:p>
      <w:pPr>
        <w:spacing w:after="0" w:line="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we have significant sources of cash and liquidity and access to committed and uncommitted credit lines, a prolonged period of generating lower cash from operations could adversely affect both our financial condition and the achievement of our strategic objectives. Additionally, there can be no assurance that we will not face credit rating downgrades, and such downgrades could adversely affect our cost of funds, liquidity and access to capital markets. The current market volatility will likely also impact investment performance and our expected asset valuations and returns, which can materially impact the calculation of long-term liabilities such as our pension obligations.</w:t>
      </w:r>
    </w:p>
    <w:p>
      <w:pPr>
        <w:spacing w:after="0" w:line="53"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We continue to work with our stakeholders (including customers, employees, suppliers and local communities) in an effort to address responsibly this global pandemic. We continue to monitor the situation, to assess further possible implications to our business, supply chain and customers, and to take certain actions in an effort to mitigate various adverse consequences.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that the longer the COVID-19 pandemic, including its economic disruption, continues, the greater the adverse impact on our business operations, financial performance and results of operations will be. Given the tremendous uncertainties and variables, we cannot at this time predict the impact of the global COVID-19 pandemic, but it could have a material adverse impact on our business, financial position, results of operations and/or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Purchases of Equity Securities </w:t>
      </w:r>
      <w:r>
        <w:rPr>
          <w:rFonts w:ascii="Arial" w:cs="Arial" w:eastAsia="Arial" w:hAnsi="Arial"/>
          <w:sz w:val="18"/>
          <w:szCs w:val="18"/>
          <w:color w:val="auto"/>
        </w:rPr>
        <w:t>– The table below summarizes our repurchases of common stock during the first quarter of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Number</w:t>
            </w:r>
          </w:p>
        </w:tc>
        <w:tc>
          <w:tcPr>
            <w:tcW w:w="154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Approximate</w:t>
            </w:r>
          </w:p>
        </w:tc>
        <w:tc>
          <w:tcPr>
            <w:tcW w:w="52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of Shares</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Purchased as</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37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Part of Publicly</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3740" w:type="dxa"/>
            <w:vAlign w:val="bottom"/>
          </w:tcPr>
          <w:p>
            <w:pPr>
              <w:spacing w:after="0"/>
              <w:rPr>
                <w:sz w:val="18"/>
                <w:szCs w:val="18"/>
                <w:color w:val="auto"/>
              </w:rPr>
            </w:pPr>
          </w:p>
        </w:tc>
        <w:tc>
          <w:tcPr>
            <w:tcW w:w="2140" w:type="dxa"/>
            <w:vAlign w:val="bottom"/>
          </w:tcPr>
          <w:p>
            <w:pPr>
              <w:jc w:val="center"/>
              <w:ind w:left="570"/>
              <w:spacing w:after="0"/>
              <w:rPr>
                <w:sz w:val="20"/>
                <w:szCs w:val="20"/>
                <w:color w:val="auto"/>
              </w:rPr>
            </w:pPr>
            <w:r>
              <w:rPr>
                <w:rFonts w:ascii="Arial" w:cs="Arial" w:eastAsia="Arial" w:hAnsi="Arial"/>
                <w:sz w:val="18"/>
                <w:szCs w:val="18"/>
                <w:b w:val="1"/>
                <w:bCs w:val="1"/>
                <w:color w:val="auto"/>
                <w:w w:val="94"/>
              </w:rPr>
              <w:t>Number</w:t>
            </w: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Price</w:t>
            </w:r>
          </w:p>
        </w:tc>
        <w:tc>
          <w:tcPr>
            <w:tcW w:w="18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Announced</w:t>
            </w:r>
          </w:p>
        </w:tc>
        <w:tc>
          <w:tcPr>
            <w:tcW w:w="15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under the</w:t>
            </w:r>
          </w:p>
        </w:tc>
        <w:tc>
          <w:tcPr>
            <w:tcW w:w="52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140" w:type="dxa"/>
            <w:vAlign w:val="bottom"/>
          </w:tcPr>
          <w:p>
            <w:pPr>
              <w:jc w:val="center"/>
              <w:ind w:left="550"/>
              <w:spacing w:after="0"/>
              <w:rPr>
                <w:sz w:val="20"/>
                <w:szCs w:val="20"/>
                <w:color w:val="auto"/>
              </w:rPr>
            </w:pPr>
            <w:r>
              <w:rPr>
                <w:rFonts w:ascii="Arial" w:cs="Arial" w:eastAsia="Arial" w:hAnsi="Arial"/>
                <w:sz w:val="18"/>
                <w:szCs w:val="18"/>
                <w:b w:val="1"/>
                <w:bCs w:val="1"/>
                <w:color w:val="auto"/>
                <w:w w:val="85"/>
              </w:rPr>
              <w:t>of Shares</w:t>
            </w:r>
          </w:p>
        </w:tc>
        <w:tc>
          <w:tcPr>
            <w:tcW w:w="28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w w:val="95"/>
              </w:rPr>
              <w:t>Paid per</w:t>
            </w:r>
          </w:p>
        </w:tc>
        <w:tc>
          <w:tcPr>
            <w:tcW w:w="18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Plans or</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or Programs</w:t>
            </w:r>
          </w:p>
        </w:tc>
      </w:tr>
      <w:tr>
        <w:trPr>
          <w:trHeight w:val="261"/>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1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line="262" w:lineRule="exact"/>
              <w:rPr>
                <w:sz w:val="20"/>
                <w:szCs w:val="20"/>
                <w:color w:val="auto"/>
              </w:rPr>
            </w:pPr>
            <w:r>
              <w:rPr>
                <w:rFonts w:ascii="Arial" w:cs="Arial" w:eastAsia="Arial" w:hAnsi="Arial"/>
                <w:sz w:val="18"/>
                <w:szCs w:val="18"/>
                <w:b w:val="1"/>
                <w:bCs w:val="1"/>
                <w:color w:val="auto"/>
                <w:w w:val="93"/>
              </w:rPr>
              <w:t>Share</w:t>
            </w:r>
            <w:r>
              <w:rPr>
                <w:rFonts w:ascii="Arial" w:cs="Arial" w:eastAsia="Arial" w:hAnsi="Arial"/>
                <w:sz w:val="25"/>
                <w:szCs w:val="25"/>
                <w:b w:val="1"/>
                <w:bCs w:val="1"/>
                <w:color w:val="auto"/>
                <w:w w:val="93"/>
                <w:vertAlign w:val="superscript"/>
              </w:rPr>
              <w:t>(1)</w:t>
            </w:r>
          </w:p>
        </w:tc>
        <w:tc>
          <w:tcPr>
            <w:tcW w:w="18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Programs</w:t>
            </w:r>
          </w:p>
        </w:tc>
        <w:tc>
          <w:tcPr>
            <w:tcW w:w="15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 in millions)</w:t>
            </w:r>
          </w:p>
        </w:tc>
        <w:tc>
          <w:tcPr>
            <w:tcW w:w="520" w:type="dxa"/>
            <w:vAlign w:val="bottom"/>
            <w:tcBorders>
              <w:bottom w:val="single" w:sz="8" w:color="auto"/>
            </w:tcBorders>
          </w:tcPr>
          <w:p>
            <w:pPr>
              <w:spacing w:after="0"/>
              <w:rPr>
                <w:sz w:val="22"/>
                <w:szCs w:val="22"/>
                <w:color w:val="auto"/>
              </w:rPr>
            </w:pPr>
          </w:p>
        </w:tc>
      </w:tr>
      <w:tr>
        <w:trPr>
          <w:trHeight w:val="243"/>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2020 - January 24, 2020</w:t>
            </w:r>
          </w:p>
        </w:tc>
        <w:tc>
          <w:tcPr>
            <w:tcW w:w="2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204,200</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374.96</w:t>
            </w: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204,200</w:t>
            </w:r>
          </w:p>
        </w:tc>
        <w:tc>
          <w:tcPr>
            <w:tcW w:w="15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3,253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January 25, 2020 - February 21, 2020</w:t>
            </w: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207,300</w:t>
            </w:r>
          </w:p>
        </w:tc>
        <w:tc>
          <w:tcPr>
            <w:tcW w:w="28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369.78</w:t>
            </w:r>
          </w:p>
        </w:tc>
        <w:tc>
          <w:tcPr>
            <w:tcW w:w="1880" w:type="dxa"/>
            <w:vAlign w:val="bottom"/>
          </w:tcPr>
          <w:p>
            <w:pPr>
              <w:jc w:val="right"/>
              <w:ind w:right="190"/>
              <w:spacing w:after="0"/>
              <w:rPr>
                <w:sz w:val="20"/>
                <w:szCs w:val="20"/>
                <w:color w:val="auto"/>
              </w:rPr>
            </w:pPr>
            <w:r>
              <w:rPr>
                <w:rFonts w:ascii="Arial" w:cs="Arial" w:eastAsia="Arial" w:hAnsi="Arial"/>
                <w:sz w:val="18"/>
                <w:szCs w:val="18"/>
                <w:color w:val="auto"/>
              </w:rPr>
              <w:t>207,300</w:t>
            </w:r>
          </w:p>
        </w:tc>
        <w:tc>
          <w:tcPr>
            <w:tcW w:w="15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3,176</w:t>
            </w:r>
          </w:p>
        </w:tc>
      </w:tr>
      <w:tr>
        <w:trPr>
          <w:trHeight w:val="27"/>
        </w:trPr>
        <w:tc>
          <w:tcPr>
            <w:tcW w:w="3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22, 2020 - March 27, 2020</w:t>
            </w:r>
          </w:p>
        </w:tc>
        <w:tc>
          <w:tcPr>
            <w:tcW w:w="2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625,975</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313.11</w:t>
            </w:r>
          </w:p>
        </w:tc>
        <w:tc>
          <w:tcPr>
            <w:tcW w:w="18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625,975</w:t>
            </w:r>
          </w:p>
        </w:tc>
        <w:tc>
          <w:tcPr>
            <w:tcW w:w="15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2,980</w:t>
            </w:r>
          </w:p>
        </w:tc>
      </w:tr>
      <w:tr>
        <w:trPr>
          <w:trHeight w:val="237"/>
        </w:trPr>
        <w:tc>
          <w:tcPr>
            <w:tcW w:w="3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1,037,475</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336.61</w:t>
            </w:r>
          </w:p>
        </w:tc>
        <w:tc>
          <w:tcPr>
            <w:tcW w:w="1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1,037,475</w:t>
            </w:r>
          </w:p>
        </w:tc>
        <w:tc>
          <w:tcPr>
            <w:tcW w:w="15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2,980</w:t>
            </w:r>
          </w:p>
        </w:tc>
      </w:tr>
      <w:tr>
        <w:trPr>
          <w:trHeight w:val="34"/>
        </w:trPr>
        <w:tc>
          <w:tcPr>
            <w:tcW w:w="37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periods presented, has not made any purchases of common stock other than in connection with these publicly announced repurchase programs.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38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320" w:top="118" w:right="10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040" w:right="80" w:hanging="278"/>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3">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FF"/>
          </w:rPr>
          <w:t>New P, Inc.) and Titan Merger Sub Inc., dated March 30, 2011 (incorporated by reference to Exhibit 10.1 to Form 8-K filed April 4, 2011,</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File No. 001-16411)</w:t>
        </w:r>
      </w:hyperlink>
    </w:p>
    <w:p>
      <w:pPr>
        <w:spacing w:after="0" w:line="143" w:lineRule="exact"/>
        <w:rPr>
          <w:rFonts w:ascii="Arial" w:cs="Arial" w:eastAsia="Arial" w:hAnsi="Arial"/>
          <w:sz w:val="18"/>
          <w:szCs w:val="18"/>
          <w:color w:val="auto"/>
        </w:rPr>
      </w:pPr>
    </w:p>
    <w:p>
      <w:pPr>
        <w:ind w:left="1040" w:right="200" w:hanging="278"/>
        <w:spacing w:after="0" w:line="31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2.2 </w:t>
      </w:r>
      <w:hyperlink r:id="rId14">
        <w:r>
          <w:rPr>
            <w:rFonts w:ascii="Arial" w:cs="Arial" w:eastAsia="Arial" w:hAnsi="Arial"/>
            <w:sz w:val="16"/>
            <w:szCs w:val="16"/>
            <w:u w:val="single" w:color="auto"/>
            <w:color w:val="0000FF"/>
          </w:rPr>
          <w:t>Separation and Distribution Agreement dated as of March 29, 2011, among Titan II, Inc. (formerly Northrop Grumman Corporation),</w:t>
        </w:r>
      </w:hyperlink>
      <w:r>
        <w:rPr>
          <w:rFonts w:ascii="Arial" w:cs="Arial" w:eastAsia="Arial" w:hAnsi="Arial"/>
          <w:sz w:val="16"/>
          <w:szCs w:val="16"/>
          <w:color w:val="auto"/>
        </w:rPr>
        <w:t xml:space="preserve"> </w:t>
      </w:r>
      <w:hyperlink r:id="rId14">
        <w:r>
          <w:rPr>
            <w:rFonts w:ascii="Arial" w:cs="Arial" w:eastAsia="Arial" w:hAnsi="Arial"/>
            <w:sz w:val="16"/>
            <w:szCs w:val="16"/>
            <w:u w:val="single" w:color="auto"/>
            <w:color w:val="0000FF"/>
          </w:rPr>
          <w:t>Northrop Grumman Corporation (formerly New P, Inc.), Huntington Ingalls Industries, Inc., Northrop Grumman Shipbuilding, Inc. and</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Northrop Grumman Systems Corporation (incorporated by reference to Exhibit 10.2 to Form 8-K filed April 4, 2011, File No. 001-16411)</w:t>
        </w:r>
      </w:hyperlink>
    </w:p>
    <w:p>
      <w:pPr>
        <w:spacing w:after="0" w:line="108" w:lineRule="exact"/>
        <w:rPr>
          <w:rFonts w:ascii="Arial" w:cs="Arial" w:eastAsia="Arial" w:hAnsi="Arial"/>
          <w:sz w:val="16"/>
          <w:szCs w:val="16"/>
          <w:color w:val="auto"/>
        </w:rPr>
      </w:pPr>
    </w:p>
    <w:p>
      <w:pPr>
        <w:ind w:left="1040" w:right="100" w:hanging="278"/>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15">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FF"/>
          </w:rPr>
          <w:t>ATK, Inc. (incorporated by reference to Exhibit 2.1 to Form 8-K filed September 18, 2017)</w:t>
        </w:r>
      </w:hyperlink>
    </w:p>
    <w:p>
      <w:pPr>
        <w:spacing w:after="0" w:line="130" w:lineRule="exact"/>
        <w:rPr>
          <w:sz w:val="20"/>
          <w:szCs w:val="20"/>
          <w:color w:val="auto"/>
        </w:rPr>
      </w:pPr>
    </w:p>
    <w:p>
      <w:pPr>
        <w:jc w:val="both"/>
        <w:ind w:left="1040" w:right="160" w:hanging="278"/>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16">
        <w:r>
          <w:rPr>
            <w:rFonts w:ascii="Arial" w:cs="Arial" w:eastAsia="Arial" w:hAnsi="Arial"/>
            <w:sz w:val="18"/>
            <w:szCs w:val="18"/>
            <w:u w:val="single" w:color="auto"/>
            <w:color w:val="0000FF"/>
          </w:rPr>
          <w:t>Transaction Agreement, dated as of April 28, 2014, among Alliant Techsystems Inc., Vista Spinco Inc., Vista Merger Sub Inc. and Orbital</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FF"/>
          </w:rPr>
          <w:t>Sciences Corporation (incorporated by reference to Exhibit 2.1 to Alliant Techsystems Inc. (now known as Northrop Grumman Innovation</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Systems, Inc.) Form 8-K filed May 2, 2014)</w:t>
        </w:r>
      </w:hyperlink>
    </w:p>
    <w:p>
      <w:pPr>
        <w:spacing w:after="0" w:line="143" w:lineRule="exact"/>
        <w:rPr>
          <w:rFonts w:ascii="Arial" w:cs="Arial" w:eastAsia="Arial" w:hAnsi="Arial"/>
          <w:sz w:val="18"/>
          <w:szCs w:val="18"/>
          <w:color w:val="auto"/>
        </w:rPr>
      </w:pPr>
    </w:p>
    <w:p>
      <w:pPr>
        <w:ind w:left="1040" w:hanging="278"/>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17">
        <w:r>
          <w:rPr>
            <w:rFonts w:ascii="Arial" w:cs="Arial" w:eastAsia="Arial" w:hAnsi="Arial"/>
            <w:sz w:val="18"/>
            <w:szCs w:val="18"/>
            <w:u w:val="single" w:color="auto"/>
            <w:color w:val="0000FF"/>
          </w:rPr>
          <w:t>Ninth Supplemental Indenture, dated as of March 23, 3030, between Northrop Grumman Corporation and The Bank of New York Mellon, as</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FF"/>
          </w:rPr>
          <w:t>successor to JPMorgan Chase, Trustee, to Indenture dated as of November 21, 2001 (Incorporated by reference to Exhibit 4.1 to Form 8-K</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filed March 24, 2020, File No. 001-16411)</w:t>
        </w:r>
      </w:hyperlink>
    </w:p>
    <w:p>
      <w:pPr>
        <w:spacing w:after="0" w:line="143" w:lineRule="exact"/>
        <w:rPr>
          <w:rFonts w:ascii="Arial" w:cs="Arial" w:eastAsia="Arial" w:hAnsi="Arial"/>
          <w:sz w:val="18"/>
          <w:szCs w:val="18"/>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 xml:space="preserve">4.2 </w:t>
      </w:r>
      <w:hyperlink r:id="rId17">
        <w:r>
          <w:rPr>
            <w:rFonts w:ascii="Arial" w:cs="Arial" w:eastAsia="Arial" w:hAnsi="Arial"/>
            <w:sz w:val="17"/>
            <w:szCs w:val="17"/>
            <w:u w:val="single" w:color="auto"/>
            <w:color w:val="0000FF"/>
          </w:rPr>
          <w:t>Form of 4.400% Senior Note due 2030 (incorporated by reference to Exhibit 4.2 to Form 8-K filed March 24, 2020, File No. 001-16411)</w:t>
        </w:r>
      </w:hyperlink>
    </w:p>
    <w:p>
      <w:pPr>
        <w:spacing w:after="0" w:line="196" w:lineRule="exact"/>
        <w:rPr>
          <w:rFonts w:ascii="Arial" w:cs="Arial" w:eastAsia="Arial" w:hAnsi="Arial"/>
          <w:sz w:val="18"/>
          <w:szCs w:val="18"/>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 xml:space="preserve">4.3 </w:t>
      </w:r>
      <w:hyperlink r:id="rId17">
        <w:r>
          <w:rPr>
            <w:rFonts w:ascii="Arial" w:cs="Arial" w:eastAsia="Arial" w:hAnsi="Arial"/>
            <w:sz w:val="17"/>
            <w:szCs w:val="17"/>
            <w:u w:val="single" w:color="auto"/>
            <w:color w:val="0000FF"/>
          </w:rPr>
          <w:t>Form of 5.150% Senior Note due 2040 (incorporated by reference to Exhibit 4.3 to Form 8-K filed March 24, 2020, File No. 001-16411)</w:t>
        </w:r>
      </w:hyperlink>
    </w:p>
    <w:p>
      <w:pPr>
        <w:spacing w:after="0" w:line="196" w:lineRule="exact"/>
        <w:rPr>
          <w:rFonts w:ascii="Arial" w:cs="Arial" w:eastAsia="Arial" w:hAnsi="Arial"/>
          <w:sz w:val="18"/>
          <w:szCs w:val="18"/>
          <w:color w:val="auto"/>
        </w:rPr>
      </w:pPr>
    </w:p>
    <w:p>
      <w:pPr>
        <w:ind w:left="760"/>
        <w:spacing w:after="0"/>
        <w:rPr>
          <w:rFonts w:ascii="Arial" w:cs="Arial" w:eastAsia="Arial" w:hAnsi="Arial"/>
          <w:sz w:val="17"/>
          <w:szCs w:val="17"/>
          <w:color w:val="auto"/>
        </w:rPr>
      </w:pPr>
      <w:r>
        <w:rPr>
          <w:rFonts w:ascii="Arial" w:cs="Arial" w:eastAsia="Arial" w:hAnsi="Arial"/>
          <w:sz w:val="17"/>
          <w:szCs w:val="17"/>
          <w:color w:val="auto"/>
        </w:rPr>
        <w:t xml:space="preserve">4.4 </w:t>
      </w:r>
      <w:hyperlink r:id="rId17">
        <w:r>
          <w:rPr>
            <w:rFonts w:ascii="Arial" w:cs="Arial" w:eastAsia="Arial" w:hAnsi="Arial"/>
            <w:sz w:val="17"/>
            <w:szCs w:val="17"/>
            <w:u w:val="single" w:color="auto"/>
            <w:color w:val="0000FF"/>
          </w:rPr>
          <w:t>Form of 5.250% Senior Note due 2050 (incorporated by reference to Exhibit 4.4 to Form 8-K filed March 24, 2020, File No. 001-16411)</w:t>
        </w:r>
      </w:hyperlink>
    </w:p>
    <w:p>
      <w:pPr>
        <w:spacing w:after="0" w:line="196" w:lineRule="exact"/>
        <w:rPr>
          <w:rFonts w:ascii="Arial" w:cs="Arial" w:eastAsia="Arial" w:hAnsi="Arial"/>
          <w:sz w:val="18"/>
          <w:szCs w:val="18"/>
          <w:color w:val="auto"/>
        </w:rPr>
      </w:pPr>
    </w:p>
    <w:p>
      <w:pPr>
        <w:ind w:left="1040" w:right="440" w:hanging="5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w:anchor="page37">
        <w:r>
          <w:rPr>
            <w:rFonts w:ascii="Arial" w:cs="Arial" w:eastAsia="Arial" w:hAnsi="Arial"/>
            <w:sz w:val="18"/>
            <w:szCs w:val="18"/>
            <w:u w:val="single" w:color="auto"/>
            <w:color w:val="0000FF"/>
          </w:rPr>
          <w:t>Grant Certificate Specifying the Terms and Conditions Applicable to 2020 Restricted Stock Rights Granted under the 2011 Long-Term</w:t>
        </w:r>
      </w:hyperlink>
      <w:r>
        <w:rPr>
          <w:rFonts w:ascii="Arial" w:cs="Arial" w:eastAsia="Arial" w:hAnsi="Arial"/>
          <w:sz w:val="18"/>
          <w:szCs w:val="18"/>
          <w:color w:val="auto"/>
        </w:rPr>
        <w:t xml:space="preserve"> </w:t>
      </w:r>
      <w:hyperlink w:anchor="page37">
        <w:r>
          <w:rPr>
            <w:rFonts w:ascii="Arial" w:cs="Arial" w:eastAsia="Arial" w:hAnsi="Arial"/>
            <w:sz w:val="18"/>
            <w:szCs w:val="18"/>
            <w:u w:val="single" w:color="auto"/>
            <w:color w:val="0000FF"/>
          </w:rPr>
          <w:t>Incentive Stock Plan</w:t>
        </w:r>
      </w:hyperlink>
    </w:p>
    <w:p>
      <w:pPr>
        <w:spacing w:after="0" w:line="130" w:lineRule="exact"/>
        <w:rPr>
          <w:sz w:val="20"/>
          <w:szCs w:val="20"/>
          <w:color w:val="auto"/>
        </w:rPr>
      </w:pPr>
    </w:p>
    <w:p>
      <w:pPr>
        <w:ind w:left="1040" w:right="340" w:hanging="5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w:anchor="page47">
        <w:r>
          <w:rPr>
            <w:rFonts w:ascii="Arial" w:cs="Arial" w:eastAsia="Arial" w:hAnsi="Arial"/>
            <w:sz w:val="18"/>
            <w:szCs w:val="18"/>
            <w:u w:val="single" w:color="auto"/>
            <w:color w:val="0000FF"/>
          </w:rPr>
          <w:t>Grant Certificate Specifying the Terms and Conditions Applicable to 2020 Restricted Stock Performance Rights Granted under the 2011</w:t>
        </w:r>
      </w:hyperlink>
      <w:r>
        <w:rPr>
          <w:rFonts w:ascii="Arial" w:cs="Arial" w:eastAsia="Arial" w:hAnsi="Arial"/>
          <w:sz w:val="18"/>
          <w:szCs w:val="18"/>
          <w:color w:val="auto"/>
        </w:rPr>
        <w:t xml:space="preserve"> </w:t>
      </w:r>
      <w:hyperlink w:anchor="page47">
        <w:r>
          <w:rPr>
            <w:rFonts w:ascii="Arial" w:cs="Arial" w:eastAsia="Arial" w:hAnsi="Arial"/>
            <w:sz w:val="18"/>
            <w:szCs w:val="18"/>
            <w:u w:val="single" w:color="auto"/>
            <w:color w:val="0000FF"/>
          </w:rPr>
          <w:t>Long-Term Incentive Stock Plan</w:t>
        </w:r>
      </w:hyperlink>
    </w:p>
    <w:p>
      <w:pPr>
        <w:spacing w:after="0" w:line="130" w:lineRule="exact"/>
        <w:rPr>
          <w:sz w:val="20"/>
          <w:szCs w:val="20"/>
          <w:color w:val="auto"/>
        </w:rPr>
      </w:pPr>
    </w:p>
    <w:p>
      <w:pPr>
        <w:ind w:left="1040" w:right="360" w:hanging="55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w:anchor="page57">
        <w:r>
          <w:rPr>
            <w:rFonts w:ascii="Arial" w:cs="Arial" w:eastAsia="Arial" w:hAnsi="Arial"/>
            <w:sz w:val="18"/>
            <w:szCs w:val="18"/>
            <w:u w:val="single" w:color="auto"/>
            <w:color w:val="0000FF"/>
          </w:rPr>
          <w:t>Grant Certificate Specifying the Terms and Conditions Applicable to Special 2020 Restricted Stock Rights Granted to Blake Larson and</w:t>
        </w:r>
      </w:hyperlink>
      <w:r>
        <w:rPr>
          <w:rFonts w:ascii="Arial" w:cs="Arial" w:eastAsia="Arial" w:hAnsi="Arial"/>
          <w:sz w:val="18"/>
          <w:szCs w:val="18"/>
          <w:color w:val="auto"/>
        </w:rPr>
        <w:t xml:space="preserve"> </w:t>
      </w:r>
      <w:hyperlink w:anchor="page57">
        <w:r>
          <w:rPr>
            <w:rFonts w:ascii="Arial" w:cs="Arial" w:eastAsia="Arial" w:hAnsi="Arial"/>
            <w:sz w:val="18"/>
            <w:szCs w:val="18"/>
            <w:u w:val="single" w:color="auto"/>
            <w:color w:val="0000FF"/>
          </w:rPr>
          <w:t>Janis Pamiljans under the 2011 Long-Term Incentive Stock Plan</w:t>
        </w:r>
      </w:hyperlink>
    </w:p>
    <w:p>
      <w:pPr>
        <w:spacing w:after="0" w:line="130" w:lineRule="exact"/>
        <w:rPr>
          <w:sz w:val="20"/>
          <w:szCs w:val="20"/>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 xml:space="preserve">+*10.4 </w:t>
      </w:r>
      <w:hyperlink w:anchor="page65">
        <w:r>
          <w:rPr>
            <w:rFonts w:ascii="Arial" w:cs="Arial" w:eastAsia="Arial" w:hAnsi="Arial"/>
            <w:sz w:val="16"/>
            <w:szCs w:val="16"/>
            <w:u w:val="single" w:color="auto"/>
            <w:color w:val="0000FF"/>
          </w:rPr>
          <w:t>Letter dated February 3, 2020 from Northrop Grumman Corporation to David Keffer regarding compensation effective February 17, 2020</w:t>
        </w:r>
      </w:hyperlink>
    </w:p>
    <w:p>
      <w:pPr>
        <w:spacing w:after="0" w:line="208" w:lineRule="exact"/>
        <w:rPr>
          <w:sz w:val="20"/>
          <w:szCs w:val="20"/>
          <w:color w:val="auto"/>
        </w:rPr>
      </w:pPr>
    </w:p>
    <w:p>
      <w:pPr>
        <w:ind w:left="1040" w:right="780" w:hanging="469"/>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18">
        <w:r>
          <w:rPr>
            <w:rFonts w:ascii="Arial" w:cs="Arial" w:eastAsia="Arial" w:hAnsi="Arial"/>
            <w:sz w:val="18"/>
            <w:szCs w:val="18"/>
            <w:u w:val="single" w:color="auto"/>
            <w:color w:val="0000FF"/>
          </w:rPr>
          <w:t>Separation Agreement and General Release dated February 5, 2020 from Northrop Grumman Corporation to Kenneth Bedingfield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(incorporated by reference to Exhibit 10.1 to Form 8-K filed February 6, File No. 001-16411)</w:t>
        </w:r>
      </w:hyperlink>
    </w:p>
    <w:p>
      <w:pPr>
        <w:spacing w:after="0" w:line="130"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69">
        <w:r>
          <w:rPr>
            <w:rFonts w:ascii="Arial" w:cs="Arial" w:eastAsia="Arial" w:hAnsi="Arial"/>
            <w:sz w:val="18"/>
            <w:szCs w:val="18"/>
            <w:u w:val="single" w:color="auto"/>
            <w:color w:val="0000FF"/>
          </w:rPr>
          <w:t>Letter from Independent Registered Public Accounting Firm</w:t>
        </w:r>
      </w:hyperlink>
    </w:p>
    <w:p>
      <w:pPr>
        <w:spacing w:after="0" w:line="185" w:lineRule="exact"/>
        <w:rPr>
          <w:sz w:val="20"/>
          <w:szCs w:val="20"/>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0">
        <w:r>
          <w:rPr>
            <w:rFonts w:ascii="Arial" w:cs="Arial" w:eastAsia="Arial" w:hAnsi="Arial"/>
            <w:sz w:val="18"/>
            <w:szCs w:val="18"/>
            <w:u w:val="single" w:color="auto"/>
            <w:color w:val="0000FF"/>
          </w:rPr>
          <w:t>Certification of Kathy J. Warden pursuant to Section 302 of the Sarbanes-Oxley Act of 2002</w:t>
        </w:r>
      </w:hyperlink>
    </w:p>
    <w:p>
      <w:pPr>
        <w:spacing w:after="0" w:line="185" w:lineRule="exact"/>
        <w:rPr>
          <w:sz w:val="20"/>
          <w:szCs w:val="20"/>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71">
        <w:r>
          <w:rPr>
            <w:rFonts w:ascii="Arial" w:cs="Arial" w:eastAsia="Arial" w:hAnsi="Arial"/>
            <w:sz w:val="18"/>
            <w:szCs w:val="18"/>
            <w:u w:val="single" w:color="auto"/>
            <w:color w:val="0000FF"/>
          </w:rPr>
          <w:t>Certification of David F. Keffer pursuant to Section 302 of the Sarbanes-Oxley Act of 2002</w:t>
        </w:r>
      </w:hyperlink>
    </w:p>
    <w:p>
      <w:pPr>
        <w:spacing w:after="0" w:line="185" w:lineRule="exact"/>
        <w:rPr>
          <w:sz w:val="20"/>
          <w:szCs w:val="20"/>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72">
        <w:r>
          <w:rPr>
            <w:rFonts w:ascii="Arial" w:cs="Arial" w:eastAsia="Arial" w:hAnsi="Arial"/>
            <w:sz w:val="18"/>
            <w:szCs w:val="18"/>
            <w:u w:val="single" w:color="auto"/>
            <w:color w:val="0000FF"/>
          </w:rPr>
          <w:t>Certification of Kathy J. Warden pursuant to Section 906 of the Sarbanes-Oxley Act of 2002</w:t>
        </w:r>
      </w:hyperlink>
    </w:p>
    <w:p>
      <w:pPr>
        <w:spacing w:after="0" w:line="185" w:lineRule="exact"/>
        <w:rPr>
          <w:sz w:val="20"/>
          <w:szCs w:val="20"/>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73">
        <w:r>
          <w:rPr>
            <w:rFonts w:ascii="Arial" w:cs="Arial" w:eastAsia="Arial" w:hAnsi="Arial"/>
            <w:sz w:val="18"/>
            <w:szCs w:val="18"/>
            <w:u w:val="single" w:color="auto"/>
            <w:color w:val="0000FF"/>
          </w:rPr>
          <w:t>Certification of David F. Keffer pursuant to Section 906 of the Sarbanes-Oxley Act of 2002</w:t>
        </w:r>
      </w:hyperlink>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18" w:right="3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91" w:lineRule="exact"/>
        <w:rPr>
          <w:sz w:val="20"/>
          <w:szCs w:val="20"/>
          <w:color w:val="auto"/>
        </w:rPr>
      </w:pPr>
    </w:p>
    <w:p>
      <w:pPr>
        <w:ind w:left="1040" w:hanging="413"/>
        <w:spacing w:after="0" w:line="296" w:lineRule="auto"/>
        <w:rPr>
          <w:sz w:val="20"/>
          <w:szCs w:val="20"/>
          <w:color w:val="auto"/>
        </w:rPr>
      </w:pPr>
      <w:r>
        <w:rPr>
          <w:rFonts w:ascii="Arial" w:cs="Arial" w:eastAsia="Arial" w:hAnsi="Arial"/>
          <w:sz w:val="16"/>
          <w:szCs w:val="16"/>
          <w:color w:val="auto"/>
        </w:rPr>
        <w:t>*101 Northrop Grumman Corporation Quarterly Report on Form 10-Q for the quarter ended March 31, 2020, formatted in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76" w:lineRule="exact"/>
        <w:rPr>
          <w:sz w:val="20"/>
          <w:szCs w:val="20"/>
          <w:color w:val="auto"/>
        </w:rPr>
      </w:pPr>
    </w:p>
    <w:p>
      <w:pPr>
        <w:ind w:left="1040" w:hanging="654"/>
        <w:spacing w:after="0"/>
        <w:tabs>
          <w:tab w:leader="none" w:pos="104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spacing w:after="0" w:line="58" w:lineRule="exact"/>
        <w:rPr>
          <w:sz w:val="20"/>
          <w:szCs w:val="20"/>
          <w:color w:val="auto"/>
        </w:rPr>
      </w:pPr>
    </w:p>
    <w:p>
      <w:pPr>
        <w:ind w:left="1040" w:hanging="654"/>
        <w:spacing w:after="0"/>
        <w:tabs>
          <w:tab w:leader="none" w:pos="10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spacing w:after="0" w:line="58" w:lineRule="exact"/>
        <w:rPr>
          <w:sz w:val="20"/>
          <w:szCs w:val="20"/>
          <w:color w:val="auto"/>
        </w:rPr>
      </w:pPr>
    </w:p>
    <w:p>
      <w:pPr>
        <w:ind w:left="1040" w:hanging="654"/>
        <w:spacing w:after="0"/>
        <w:tabs>
          <w:tab w:leader="none" w:pos="104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118" w:right="4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(Registrant)</w:t>
      </w:r>
    </w:p>
    <w:p>
      <w:pPr>
        <w:spacing w:after="0" w:line="12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ind w:left="734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21590</wp:posOffset>
            </wp:positionV>
            <wp:extent cx="3814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Michael A. Hardesty</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Corporate Vice President, Controller and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18" w:right="37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32"/>
          <w:szCs w:val="32"/>
          <w:b w:val="1"/>
          <w:bCs w:val="1"/>
          <w:color w:val="auto"/>
        </w:rPr>
        <w:t>NORTHROP GRUMMAN CORPORATION</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2020 RESTRICTED STOCK RIGHTS GRANT AGREEMENT</w:t>
      </w:r>
    </w:p>
    <w:p>
      <w:pPr>
        <w:spacing w:after="0" w:line="27"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This 2020 Restricted Stock Rights Grant Agreement (“Agreement”) applies to certain “Restricted Stock Rights” (“RSRs”) granted by Northrop Grumman Corporation (the “Company”) in 2020 under its 2011 Long-Term Incentive Stock Plan. If you were granted an RSR award by the Company in 2020,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the 2020 RSR award, and you are subject to this Agreement upon accepting your grant. If you were granted an RSR award, you are referred to as the “Grantee” with respect to your award. Capitalized terms are generally defined in Section 12 below if not otherwise defined herein.</w:t>
      </w:r>
    </w:p>
    <w:p>
      <w:pPr>
        <w:spacing w:after="0" w:line="13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ELT (Annual)</w:t>
      </w:r>
      <w:r>
        <w:rPr>
          <w:sz w:val="20"/>
          <w:szCs w:val="20"/>
          <w:color w:val="auto"/>
        </w:rPr>
        <w:tab/>
      </w:r>
      <w:r>
        <w:rPr>
          <w:rFonts w:ascii="Arial" w:cs="Arial" w:eastAsia="Arial" w:hAnsi="Arial"/>
          <w:sz w:val="17"/>
          <w:szCs w:val="17"/>
          <w:color w:val="auto"/>
        </w:rPr>
        <w:t>1</w:t>
      </w:r>
    </w:p>
    <w:p>
      <w:pPr>
        <w:sectPr>
          <w:pgSz w:w="11900" w:h="16838" w:orient="portrait"/>
          <w:cols w:equalWidth="0" w:num="1">
            <w:col w:w="11160"/>
          </w:cols>
          <w:pgMar w:left="320" w:top="328" w:right="419" w:bottom="1440" w:gutter="0" w:footer="0" w:header="0"/>
        </w:sectPr>
      </w:pPr>
    </w:p>
    <w:bookmarkStart w:id="37" w:name="page38"/>
    <w:bookmarkEnd w:id="37"/>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8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spacing w:after="0" w:line="12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Payment of RSRs</w:t>
      </w:r>
      <w:r>
        <w:rPr>
          <w:rFonts w:ascii="Arial" w:cs="Arial" w:eastAsia="Arial" w:hAnsi="Arial"/>
          <w:sz w:val="16"/>
          <w:szCs w:val="16"/>
          <w:color w:val="auto"/>
        </w:rPr>
        <w:t>. Except as otherwise provided 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pay an RSR subject to the award that vests (“Vested RSR”) (and related Dividend Equivalents) within 60 days following the vesting of the RSR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20"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Grantee shall be entitled to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Dividend Equivalents (if any) with respect to any Vested RSRs. For purposes of this Agreement, “Dividend Equivalents” means the aggregate amount of dividends paid by the Company on a number of shares of Common Stock equivalent to the number of Vested RSRs during the period from the Grant date until the date the Vested RSRs are paid (without interest or other adjustments to reflect the time value of money). Dividend Equivalents (if any) will be paid at the same time as the Vested RSRs to which they relate are paid. Dividend Equivalents will be paid in cash.</w:t>
      </w:r>
    </w:p>
    <w:p>
      <w:pPr>
        <w:spacing w:after="0" w:line="13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185" w:lineRule="exact"/>
        <w:rPr>
          <w:sz w:val="20"/>
          <w:szCs w:val="20"/>
          <w:color w:val="auto"/>
        </w:rPr>
      </w:pPr>
    </w:p>
    <w:p>
      <w:pPr>
        <w:ind w:right="40" w:firstLine="405"/>
        <w:spacing w:after="0" w:line="294"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RSRs (and related Dividend Equivalents)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award, to the extent not previously vested, shall terminate and become null and void if and when (a) the award terminates in connection with a Change in Control pursuant to Section 6 below, or (b) except as provided in Sections 2.6 and 2.7, and in Section 6, the Grantee ceases for any reason to be an employee of the Company or one of its subsidiaries.</w:t>
      </w:r>
    </w:p>
    <w:p>
      <w:pPr>
        <w:spacing w:after="0" w:line="11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i w:val="1"/>
          <w:iCs w:val="1"/>
          <w:color w:val="auto"/>
        </w:rPr>
        <w:t>Leave of Absence</w:t>
      </w:r>
      <w:r>
        <w:rPr>
          <w:rFonts w:ascii="Arial" w:cs="Arial" w:eastAsia="Arial" w:hAnsi="Arial"/>
          <w:sz w:val="17"/>
          <w:szCs w:val="17"/>
          <w:color w:val="auto"/>
        </w:rPr>
        <w:t>. Unless the Committee otherwise provides</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the leave or otherwise), if the Grantee is granted a leave of absence by the Company, the Grantee (a) shall not be deemed to have incurred a termination of employment at the time such leave commences for purposes of the award, and (b)</w:t>
      </w:r>
    </w:p>
    <w:p>
      <w:pPr>
        <w:spacing w:after="0" w:line="200" w:lineRule="exact"/>
        <w:rPr>
          <w:sz w:val="20"/>
          <w:szCs w:val="20"/>
          <w:color w:val="auto"/>
        </w:rPr>
      </w:pPr>
    </w:p>
    <w:p>
      <w:pPr>
        <w:spacing w:after="0" w:line="26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48"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2.2 above,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as used herein means active employment by the Company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2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an Early Retirement unless the Grantee was otherwise eligible at the time of termination for Normal Retirement (in which case, the termination shall be considered a Normal Retirement) treated as provided for in Section 2.7 (subject to Section 6).</w:t>
      </w:r>
    </w:p>
    <w:p>
      <w:pPr>
        <w:spacing w:after="0" w:line="130"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2.6, Section 2.7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w:t>
      </w:r>
    </w:p>
    <w:p>
      <w:pPr>
        <w:sectPr>
          <w:pgSz w:w="11900" w:h="16838" w:orient="portrait"/>
          <w:cols w:equalWidth="0" w:num="2">
            <w:col w:w="5400" w:space="440"/>
            <w:col w:w="5360"/>
          </w:cols>
          <w:pgMar w:left="320" w:top="337" w:right="379" w:bottom="1440" w:gutter="0" w:footer="0" w:header="0"/>
        </w:sectPr>
      </w:pPr>
    </w:p>
    <w:bookmarkStart w:id="38" w:name="page39"/>
    <w:bookmarkEnd w:id="38"/>
    <w:p>
      <w:pPr>
        <w:ind w:right="140"/>
        <w:spacing w:after="0" w:line="301" w:lineRule="auto"/>
        <w:rPr>
          <w:sz w:val="20"/>
          <w:szCs w:val="20"/>
          <w:color w:val="auto"/>
        </w:rPr>
      </w:pPr>
      <w:r>
        <w:rPr>
          <w:rFonts w:ascii="Arial" w:cs="Arial" w:eastAsia="Arial" w:hAnsi="Arial"/>
          <w:sz w:val="16"/>
          <w:szCs w:val="16"/>
          <w:color w:val="auto"/>
        </w:rPr>
        <w:t>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1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Death or Disability</w:t>
      </w:r>
      <w:r>
        <w:rPr>
          <w:rFonts w:ascii="Arial" w:cs="Arial" w:eastAsia="Arial" w:hAnsi="Arial"/>
          <w:sz w:val="18"/>
          <w:szCs w:val="18"/>
          <w:color w:val="auto"/>
        </w:rPr>
        <w:t>. If the Grantee dies or incurs a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57"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Termination of Employment Due to Retirement</w:t>
      </w:r>
      <w:r>
        <w:rPr>
          <w:rFonts w:ascii="Arial" w:cs="Arial" w:eastAsia="Arial" w:hAnsi="Arial"/>
          <w:sz w:val="16"/>
          <w:szCs w:val="16"/>
          <w:color w:val="auto"/>
        </w:rPr>
        <w:t>. If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ceases to be employed by the Company or one of its subsidiaries due to the Grantee’s Early Retirement and such Early Retirement occurs more than six months after the Grant Date, the RSRs (and related Dividend Equivalents) subject to the award shall vest on a prorated basis. Such prorating of RSRs (and related Dividend Equivalents) shall be determined based on the number of days the Grantee was employed by the Company or a subsidiary in the period commencing with the Grant Date through and including the date on which the Grantee is last employed by the Company or a subsidiary, over the number of calendar days in the period commencing with the Grant Date through and including the third anniversary of the Grant Date. Any remaining unvested RSRs (and related Dividend Equivalents), after giving effect to the foregoing acceleration of vesting, shall terminate immediately upon the Grantee’s Early Retirement. If the Grantee ceases to be employed by the Company or one of its subsidiaries due to the Grantee’s Normal Retirement and such Normal Retirement occurs more than six months after the Grant Date, the RSRs (and related Dividend Equivalents) subject to the award shall vest in full.</w:t>
      </w:r>
    </w:p>
    <w:p>
      <w:pPr>
        <w:spacing w:after="0" w:line="13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Subject to the following provisions of this paragraph, RSRs (and related Dividend Equivalents) vesting under this Section shall be paid within 60 days following the Grantee’s Separation from Service. However, in the case of a Governmental Service Retirement by the Grantee, payment of the vested RSRs (and related Dividend Equivalents) will be made within</w:t>
      </w:r>
    </w:p>
    <w:p>
      <w:pPr>
        <w:spacing w:after="0" w:line="3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20 days after the Grantee’s Early or Normal Retirement. If the Grantee is a Key Employee as of the date of the Grantee’s Separation from Service, the Grantee shall not be entitled to payment of his or her vested RSRs (and related Dividend Equivalents) pursuant to this Section until the earlier of (and payment shall be made upon or promptly after, and in all events within thirty (30) days after, the first to occur of) (a) the date which is six</w:t>
      </w:r>
    </w:p>
    <w:p>
      <w:pPr>
        <w:spacing w:after="0" w:line="4" w:lineRule="exact"/>
        <w:rPr>
          <w:sz w:val="20"/>
          <w:szCs w:val="20"/>
          <w:color w:val="auto"/>
        </w:rPr>
      </w:pPr>
    </w:p>
    <w:p>
      <w:pPr>
        <w:ind w:right="20" w:firstLine="9"/>
        <w:spacing w:after="0" w:line="295"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months and one day after the Grantee’s Separation from Service, or (b) the date of the Grantee’s death. The provisions of the preceding sentence shall only apply if, and to the extent, required to avoid the imputation of any tax, penalty or interest pursuant to Section 409A of the Code.</w:t>
      </w:r>
    </w:p>
    <w:p>
      <w:pPr>
        <w:spacing w:after="0" w:line="121" w:lineRule="exact"/>
        <w:rPr>
          <w:sz w:val="20"/>
          <w:szCs w:val="20"/>
          <w:color w:val="auto"/>
        </w:rPr>
      </w:pPr>
    </w:p>
    <w:p>
      <w:pPr>
        <w:ind w:right="80" w:firstLine="392"/>
        <w:spacing w:after="0" w:line="284" w:lineRule="auto"/>
        <w:rPr>
          <w:sz w:val="20"/>
          <w:szCs w:val="20"/>
          <w:color w:val="auto"/>
        </w:rPr>
      </w:pPr>
      <w:r>
        <w:rPr>
          <w:rFonts w:ascii="Arial" w:cs="Arial" w:eastAsia="Arial" w:hAnsi="Arial"/>
          <w:sz w:val="16"/>
          <w:szCs w:val="16"/>
          <w:color w:val="auto"/>
        </w:rPr>
        <w:t>In determining the Grantee’s eligibility for Early or Normal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Early Retirement, Normal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34" w:lineRule="exact"/>
        <w:rPr>
          <w:sz w:val="20"/>
          <w:szCs w:val="20"/>
          <w:color w:val="auto"/>
        </w:rPr>
      </w:pPr>
    </w:p>
    <w:p>
      <w:pPr>
        <w:ind w:left="340" w:hanging="331"/>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Non-Transferability</w:t>
      </w:r>
      <w:r>
        <w:rPr>
          <w:rFonts w:ascii="Arial" w:cs="Arial" w:eastAsia="Arial" w:hAnsi="Arial"/>
          <w:sz w:val="16"/>
          <w:szCs w:val="16"/>
          <w:color w:val="auto"/>
        </w:rPr>
        <w:t>. The award, as well as the RSRs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w:t>
      </w:r>
    </w:p>
    <w:p>
      <w:pPr>
        <w:sectPr>
          <w:pgSz w:w="11900" w:h="16838" w:orient="portrait"/>
          <w:cols w:equalWidth="0" w:num="2">
            <w:col w:w="5400" w:space="440"/>
            <w:col w:w="5380"/>
          </w:cols>
          <w:pgMar w:left="320" w:top="341" w:right="359" w:bottom="1440" w:gutter="0" w:footer="0" w:header="0"/>
        </w:sectPr>
      </w:pPr>
    </w:p>
    <w:bookmarkStart w:id="39" w:name="page40"/>
    <w:bookmarkEnd w:id="39"/>
    <w:p>
      <w:pPr>
        <w:ind w:right="240"/>
        <w:spacing w:after="0" w:line="279" w:lineRule="auto"/>
        <w:rPr>
          <w:sz w:val="20"/>
          <w:szCs w:val="20"/>
          <w:color w:val="auto"/>
        </w:rPr>
      </w:pPr>
      <w:r>
        <w:rPr>
          <w:rFonts w:ascii="Arial" w:cs="Arial" w:eastAsia="Arial" w:hAnsi="Arial"/>
          <w:sz w:val="17"/>
          <w:szCs w:val="17"/>
          <w:color w:val="auto"/>
        </w:rPr>
        <w:t>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27"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i w:val="1"/>
          <w:iCs w:val="1"/>
          <w:color w:val="auto"/>
        </w:rPr>
        <w:t>Forfeiture or Recoupment of Awards</w:t>
      </w:r>
      <w:r>
        <w:rPr>
          <w:rFonts w:ascii="Arial" w:cs="Arial" w:eastAsia="Arial" w:hAnsi="Arial"/>
          <w:sz w:val="17"/>
          <w:szCs w:val="17"/>
          <w:color w:val="auto"/>
        </w:rPr>
        <w:t>. If, prior to payment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3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18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Executive Leadership Team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w:t>
      </w:r>
    </w:p>
    <w:p>
      <w:pPr>
        <w:spacing w:after="0" w:line="17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w:t>
      </w:r>
    </w:p>
    <w:p>
      <w:pPr>
        <w:spacing w:after="0" w:line="18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twelve (12) months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spacing w:after="0" w:line="16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i w:val="1"/>
          <w:iCs w:val="1"/>
          <w:color w:val="auto"/>
        </w:rPr>
        <w:t>Non-Solicitation of Employees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of twenty-four</w:t>
      </w:r>
    </w:p>
    <w:p>
      <w:pPr>
        <w:spacing w:after="0" w:line="27" w:lineRule="exact"/>
        <w:rPr>
          <w:sz w:val="20"/>
          <w:szCs w:val="20"/>
          <w:color w:val="auto"/>
        </w:rPr>
      </w:pPr>
    </w:p>
    <w:p>
      <w:pPr>
        <w:ind w:firstLine="9"/>
        <w:spacing w:after="0" w:line="271" w:lineRule="auto"/>
        <w:tabs>
          <w:tab w:leader="none" w:pos="3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201"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issue or communicate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w:t>
      </w:r>
    </w:p>
    <w:p>
      <w:pPr>
        <w:sectPr>
          <w:pgSz w:w="11900" w:h="16838" w:orient="portrait"/>
          <w:cols w:equalWidth="0" w:num="2">
            <w:col w:w="5400" w:space="440"/>
            <w:col w:w="540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government investigation, or as otherwise provided by law.</w:t>
      </w:r>
    </w:p>
    <w:p>
      <w:pPr>
        <w:spacing w:after="0" w:line="221"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i w:val="1"/>
          <w:iCs w:val="1"/>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request an exception to the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Sections 4.2, 4.3, or 4.4 by making a written request to the Company’s Chief Human Resources Officer, with such exceptions being considered at the sole discretion of the Company and communicated in writing to you.</w:t>
      </w:r>
    </w:p>
    <w:p>
      <w:pPr>
        <w:spacing w:after="0" w:line="178"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i w:val="1"/>
          <w:iCs w:val="1"/>
          <w:color w:val="auto"/>
        </w:rPr>
        <w:t>Reasonableness.</w:t>
      </w:r>
      <w:r>
        <w:rPr>
          <w:rFonts w:ascii="Arial" w:cs="Arial" w:eastAsia="Arial" w:hAnsi="Arial"/>
          <w:sz w:val="17"/>
          <w:szCs w:val="17"/>
          <w:b w:val="1"/>
          <w:bCs w:val="1"/>
          <w:color w:val="auto"/>
        </w:rPr>
        <w:t xml:space="preserve"> </w:t>
      </w:r>
      <w:r>
        <w:rPr>
          <w:rFonts w:ascii="Arial" w:cs="Arial" w:eastAsia="Arial" w:hAnsi="Arial"/>
          <w:sz w:val="17"/>
          <w:szCs w:val="17"/>
          <w:color w:val="auto"/>
        </w:rPr>
        <w:t>You agree that the restrictions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Sections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Remedies</w:t>
      </w:r>
      <w:r>
        <w:rPr>
          <w:rFonts w:ascii="Arial" w:cs="Arial" w:eastAsia="Arial" w:hAnsi="Arial"/>
          <w:sz w:val="16"/>
          <w:szCs w:val="16"/>
          <w:color w:val="auto"/>
        </w:rPr>
        <w:t>. If you violate any provision in Section 4.2, 4.3,</w:t>
      </w:r>
      <w:r>
        <w:rPr>
          <w:rFonts w:ascii="Arial" w:cs="Arial" w:eastAsia="Arial" w:hAnsi="Arial"/>
          <w:sz w:val="16"/>
          <w:szCs w:val="16"/>
          <w:b w:val="1"/>
          <w:bCs w:val="1"/>
          <w:color w:val="auto"/>
        </w:rPr>
        <w:t xml:space="preserve"> </w:t>
      </w:r>
      <w:r>
        <w:rPr>
          <w:rFonts w:ascii="Arial" w:cs="Arial" w:eastAsia="Arial" w:hAnsi="Arial"/>
          <w:sz w:val="16"/>
          <w:szCs w:val="16"/>
          <w:color w:val="auto"/>
        </w:rPr>
        <w:t>4.4 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6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No Stockholder Rights Prior to Issuance</w:t>
      </w:r>
      <w:r>
        <w:rPr>
          <w:rFonts w:ascii="Arial" w:cs="Arial" w:eastAsia="Arial" w:hAnsi="Arial"/>
          <w:sz w:val="16"/>
          <w:szCs w:val="16"/>
          <w:color w:val="auto"/>
        </w:rPr>
        <w:t>.</w:t>
      </w:r>
    </w:p>
    <w:p>
      <w:pPr>
        <w:spacing w:after="0" w:line="21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36" w:lineRule="exact"/>
        <w:rPr>
          <w:sz w:val="20"/>
          <w:szCs w:val="20"/>
          <w:color w:val="auto"/>
        </w:rPr>
      </w:pPr>
    </w:p>
    <w:p>
      <w:pPr>
        <w:ind w:left="340" w:hanging="331"/>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95" w:lineRule="exact"/>
        <w:rPr>
          <w:sz w:val="20"/>
          <w:szCs w:val="20"/>
          <w:color w:val="auto"/>
        </w:rPr>
      </w:pPr>
    </w:p>
    <w:p>
      <w:pPr>
        <w:ind w:right="60" w:firstLine="324"/>
        <w:spacing w:after="0" w:line="28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RSRs, Dividend Equivalents, and the shares</w:t>
      </w:r>
      <w:r>
        <w:rPr>
          <w:rFonts w:ascii="Arial" w:cs="Arial" w:eastAsia="Arial" w:hAnsi="Arial"/>
          <w:sz w:val="22"/>
          <w:szCs w:val="22"/>
          <w:color w:val="auto"/>
        </w:rPr>
        <w:t xml:space="preserve"> </w:t>
      </w:r>
      <w:r>
        <w:rPr>
          <w:rFonts w:ascii="Arial" w:cs="Arial" w:eastAsia="Arial" w:hAnsi="Arial"/>
          <w:sz w:val="17"/>
          <w:szCs w:val="17"/>
          <w:color w:val="auto"/>
        </w:rPr>
        <w:t>subject to the award are subject to adjustment upon the occurrence of events such as stock splits, stock dividends and other changes in capitalization in accordance with Section 6(a) of the Plan.</w:t>
      </w:r>
    </w:p>
    <w:p>
      <w:pPr>
        <w:spacing w:after="0" w:line="146" w:lineRule="exact"/>
        <w:rPr>
          <w:sz w:val="20"/>
          <w:szCs w:val="20"/>
          <w:color w:val="auto"/>
        </w:rPr>
      </w:pPr>
    </w:p>
    <w:p>
      <w:pPr>
        <w:ind w:firstLine="324"/>
        <w:spacing w:after="0" w:line="30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17"/>
          <w:szCs w:val="17"/>
          <w:b w:val="1"/>
          <w:bCs w:val="1"/>
          <w:i w:val="1"/>
          <w:iCs w:val="1"/>
          <w:color w:val="auto"/>
        </w:rPr>
        <w:t>Possible Acceleration on Change in Control</w:t>
      </w:r>
      <w:r>
        <w:rPr>
          <w:rFonts w:ascii="Arial" w:cs="Arial" w:eastAsia="Arial" w:hAnsi="Arial"/>
          <w:sz w:val="17"/>
          <w:szCs w:val="17"/>
          <w:color w:val="auto"/>
        </w:rPr>
        <w:t>. Notwithstanding</w:t>
      </w:r>
      <w:r>
        <w:rPr>
          <w:rFonts w:ascii="Arial" w:cs="Arial" w:eastAsia="Arial" w:hAnsi="Arial"/>
          <w:sz w:val="22"/>
          <w:szCs w:val="22"/>
          <w:color w:val="auto"/>
        </w:rPr>
        <w:t xml:space="preserve"> </w:t>
      </w:r>
      <w:r>
        <w:rPr>
          <w:rFonts w:ascii="Arial" w:cs="Arial" w:eastAsia="Arial" w:hAnsi="Arial"/>
          <w:sz w:val="17"/>
          <w:szCs w:val="17"/>
          <w:color w:val="auto"/>
        </w:rPr>
        <w:t>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23"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6"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Payment of any RSRs (and related Dividend Equivalents) that vest under this Section will be made at the time provided for in Section 2.7 as though the termination of the Grantee’s employment was due to a Normal Retirement.</w:t>
      </w:r>
    </w:p>
    <w:p>
      <w:pPr>
        <w:sectPr>
          <w:pgSz w:w="11900" w:h="16838" w:orient="portrait"/>
          <w:cols w:equalWidth="0" w:num="2">
            <w:col w:w="5400" w:space="440"/>
            <w:col w:w="5400"/>
          </w:cols>
          <w:pgMar w:left="320" w:top="341" w:right="339" w:bottom="1440" w:gutter="0" w:footer="0" w:header="0"/>
        </w:sectPr>
      </w:pPr>
    </w:p>
    <w:bookmarkStart w:id="41" w:name="page42"/>
    <w:bookmarkEnd w:id="41"/>
    <w:p>
      <w:pPr>
        <w:spacing w:after="0" w:line="6" w:lineRule="exact"/>
        <w:rPr>
          <w:sz w:val="20"/>
          <w:szCs w:val="20"/>
          <w:color w:val="auto"/>
        </w:rPr>
      </w:pPr>
    </w:p>
    <w:p>
      <w:pPr>
        <w:ind w:firstLine="324"/>
        <w:spacing w:after="0" w:line="329" w:lineRule="auto"/>
        <w:rPr>
          <w:sz w:val="20"/>
          <w:szCs w:val="20"/>
          <w:color w:val="auto"/>
        </w:rPr>
      </w:pPr>
      <w:r>
        <w:rPr>
          <w:rFonts w:ascii="Arial" w:cs="Arial" w:eastAsia="Arial" w:hAnsi="Arial"/>
          <w:sz w:val="21"/>
          <w:szCs w:val="21"/>
          <w:color w:val="auto"/>
        </w:rPr>
        <w:t xml:space="preserve">6.3.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color w:val="auto"/>
        </w:rPr>
        <w:t>If the Company</w:t>
      </w:r>
      <w:r>
        <w:rPr>
          <w:rFonts w:ascii="Arial" w:cs="Arial" w:eastAsia="Arial" w:hAnsi="Arial"/>
          <w:sz w:val="21"/>
          <w:szCs w:val="21"/>
          <w:color w:val="auto"/>
        </w:rPr>
        <w:t xml:space="preserve"> </w:t>
      </w:r>
      <w:r>
        <w:rPr>
          <w:rFonts w:ascii="Arial" w:cs="Arial" w:eastAsia="Arial" w:hAnsi="Arial"/>
          <w:sz w:val="16"/>
          <w:szCs w:val="16"/>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11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Payment of any RSRs (and related Dividend Equivalents) that vest under this Section 6.3 will be made within 60 days of the third anniversary of the Grant Date unless, prior to such date: (i) the Grantee dies or has a Disability, in which case such payment will be made within 60 days of the Grantee’s death or Disability, as the case may be, or (ii) the Grantee has a Separation from Service, in which case such payment will be made at the time provided for in Section 2.7 as though the termination of the Grantee’s employment was due to a Normal Retirement.</w:t>
      </w:r>
    </w:p>
    <w:p>
      <w:pPr>
        <w:spacing w:after="0" w:line="12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9" w:lineRule="exact"/>
        <w:rPr>
          <w:sz w:val="20"/>
          <w:szCs w:val="20"/>
          <w:color w:val="auto"/>
        </w:rPr>
      </w:pPr>
    </w:p>
    <w:p>
      <w:pPr>
        <w:ind w:right="40" w:firstLine="324"/>
        <w:spacing w:after="0" w:line="305" w:lineRule="auto"/>
        <w:rPr>
          <w:sz w:val="20"/>
          <w:szCs w:val="20"/>
          <w:color w:val="auto"/>
        </w:rPr>
      </w:pPr>
      <w:r>
        <w:rPr>
          <w:rFonts w:ascii="Arial" w:cs="Arial" w:eastAsia="Arial" w:hAnsi="Arial"/>
          <w:sz w:val="22"/>
          <w:szCs w:val="22"/>
          <w:b w:val="1"/>
          <w:bCs w:val="1"/>
          <w:color w:val="auto"/>
        </w:rPr>
        <w:t xml:space="preserve">7.1. </w:t>
      </w:r>
      <w:r>
        <w:rPr>
          <w:rFonts w:ascii="Arial" w:cs="Arial" w:eastAsia="Arial" w:hAnsi="Arial"/>
          <w:sz w:val="17"/>
          <w:szCs w:val="17"/>
          <w:b w:val="1"/>
          <w:bCs w:val="1"/>
          <w:i w:val="1"/>
          <w:iCs w:val="1"/>
          <w:color w:val="auto"/>
        </w:rPr>
        <w:t>Tax Withholding</w:t>
      </w:r>
      <w:r>
        <w:rPr>
          <w:rFonts w:ascii="Arial" w:cs="Arial" w:eastAsia="Arial" w:hAnsi="Arial"/>
          <w:sz w:val="17"/>
          <w:szCs w:val="17"/>
          <w:color w:val="auto"/>
        </w:rPr>
        <w:t>. The Company or the subsidiary which</w:t>
      </w:r>
      <w:r>
        <w:rPr>
          <w:rFonts w:ascii="Arial" w:cs="Arial" w:eastAsia="Arial" w:hAnsi="Arial"/>
          <w:sz w:val="22"/>
          <w:szCs w:val="22"/>
          <w:b w:val="1"/>
          <w:bCs w:val="1"/>
          <w:color w:val="auto"/>
        </w:rPr>
        <w:t xml:space="preserve"> </w:t>
      </w:r>
      <w:r>
        <w:rPr>
          <w:rFonts w:ascii="Arial" w:cs="Arial" w:eastAsia="Arial" w:hAnsi="Arial"/>
          <w:sz w:val="17"/>
          <w:szCs w:val="17"/>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right="100"/>
        <w:spacing w:after="0" w:line="279" w:lineRule="auto"/>
        <w:rPr>
          <w:sz w:val="20"/>
          <w:szCs w:val="20"/>
          <w:color w:val="auto"/>
        </w:rPr>
      </w:pPr>
      <w:r>
        <w:rPr>
          <w:rFonts w:ascii="Arial" w:cs="Arial" w:eastAsia="Arial" w:hAnsi="Arial"/>
          <w:sz w:val="17"/>
          <w:szCs w:val="17"/>
          <w:color w:val="auto"/>
        </w:rPr>
        <w:t>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37" w:lineRule="exact"/>
        <w:rPr>
          <w:sz w:val="20"/>
          <w:szCs w:val="20"/>
          <w:color w:val="auto"/>
        </w:rPr>
      </w:pPr>
    </w:p>
    <w:p>
      <w:pPr>
        <w:jc w:val="both"/>
        <w:ind w:right="160" w:firstLine="324"/>
        <w:spacing w:after="0" w:line="302" w:lineRule="auto"/>
        <w:rPr>
          <w:sz w:val="20"/>
          <w:szCs w:val="20"/>
          <w:color w:val="auto"/>
        </w:rPr>
      </w:pPr>
      <w:r>
        <w:rPr>
          <w:rFonts w:ascii="Arial" w:cs="Arial" w:eastAsia="Arial" w:hAnsi="Arial"/>
          <w:sz w:val="21"/>
          <w:szCs w:val="21"/>
          <w:color w:val="auto"/>
        </w:rPr>
        <w:t xml:space="preserve">7.2. </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The Company will pay all federal and state</w:t>
      </w:r>
      <w:r>
        <w:rPr>
          <w:rFonts w:ascii="Arial" w:cs="Arial" w:eastAsia="Arial" w:hAnsi="Arial"/>
          <w:sz w:val="21"/>
          <w:szCs w:val="21"/>
          <w:color w:val="auto"/>
        </w:rPr>
        <w:t xml:space="preserve"> </w:t>
      </w:r>
      <w:r>
        <w:rPr>
          <w:rFonts w:ascii="Arial" w:cs="Arial" w:eastAsia="Arial" w:hAnsi="Arial"/>
          <w:sz w:val="16"/>
          <w:szCs w:val="16"/>
          <w:color w:val="auto"/>
        </w:rPr>
        <w:t>transfer taxes, if any, and other fees and expenses in connection with the issuance of shares in connection with the vesting of the RSRs.</w:t>
      </w:r>
    </w:p>
    <w:p>
      <w:pPr>
        <w:spacing w:after="0" w:line="119"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21"/>
          <w:szCs w:val="21"/>
          <w:color w:val="auto"/>
        </w:rPr>
        <w:t xml:space="preserve">7.3. </w:t>
      </w:r>
      <w:r>
        <w:rPr>
          <w:rFonts w:ascii="Arial" w:cs="Arial" w:eastAsia="Arial" w:hAnsi="Arial"/>
          <w:sz w:val="16"/>
          <w:szCs w:val="16"/>
          <w:b w:val="1"/>
          <w:bCs w:val="1"/>
          <w:i w:val="1"/>
          <w:iCs w:val="1"/>
          <w:color w:val="auto"/>
        </w:rPr>
        <w:t>Compliance with Code</w:t>
      </w:r>
      <w:r>
        <w:rPr>
          <w:rFonts w:ascii="Arial" w:cs="Arial" w:eastAsia="Arial" w:hAnsi="Arial"/>
          <w:sz w:val="16"/>
          <w:szCs w:val="16"/>
          <w:color w:val="auto"/>
        </w:rPr>
        <w:t>. The Committee shall administer and</w:t>
      </w:r>
      <w:r>
        <w:rPr>
          <w:rFonts w:ascii="Arial" w:cs="Arial" w:eastAsia="Arial" w:hAnsi="Arial"/>
          <w:sz w:val="21"/>
          <w:szCs w:val="21"/>
          <w:color w:val="auto"/>
        </w:rPr>
        <w:t xml:space="preserve"> </w:t>
      </w:r>
      <w:r>
        <w:rPr>
          <w:rFonts w:ascii="Arial" w:cs="Arial" w:eastAsia="Arial" w:hAnsi="Arial"/>
          <w:sz w:val="16"/>
          <w:szCs w:val="16"/>
          <w:color w:val="auto"/>
        </w:rPr>
        <w:t>construe the award in a manner designed to comply with the Code and to avoid adverse tax consequences under Code Section 409A.</w:t>
      </w:r>
    </w:p>
    <w:p>
      <w:pPr>
        <w:spacing w:after="0" w:line="119" w:lineRule="exact"/>
        <w:rPr>
          <w:sz w:val="20"/>
          <w:szCs w:val="20"/>
          <w:color w:val="auto"/>
        </w:rPr>
      </w:pPr>
    </w:p>
    <w:p>
      <w:pPr>
        <w:jc w:val="both"/>
        <w:ind w:right="120" w:firstLine="324"/>
        <w:spacing w:after="0" w:line="29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17"/>
          <w:szCs w:val="17"/>
          <w:b w:val="1"/>
          <w:bCs w:val="1"/>
          <w:i w:val="1"/>
          <w:iCs w:val="1"/>
          <w:color w:val="auto"/>
        </w:rPr>
        <w:t>Unfunded Arrangement</w:t>
      </w:r>
      <w:r>
        <w:rPr>
          <w:rFonts w:ascii="Arial" w:cs="Arial" w:eastAsia="Arial" w:hAnsi="Arial"/>
          <w:sz w:val="17"/>
          <w:szCs w:val="17"/>
          <w:color w:val="auto"/>
        </w:rPr>
        <w:t>. The right of the Grantee to receive</w:t>
      </w:r>
      <w:r>
        <w:rPr>
          <w:rFonts w:ascii="Arial" w:cs="Arial" w:eastAsia="Arial" w:hAnsi="Arial"/>
          <w:sz w:val="22"/>
          <w:szCs w:val="22"/>
          <w:color w:val="auto"/>
        </w:rPr>
        <w:t xml:space="preserve"> </w:t>
      </w:r>
      <w:r>
        <w:rPr>
          <w:rFonts w:ascii="Arial" w:cs="Arial" w:eastAsia="Arial" w:hAnsi="Arial"/>
          <w:sz w:val="17"/>
          <w:szCs w:val="17"/>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0" w:lineRule="exact"/>
        <w:rPr>
          <w:sz w:val="20"/>
          <w:szCs w:val="20"/>
          <w:color w:val="auto"/>
        </w:rPr>
      </w:pPr>
    </w:p>
    <w:p>
      <w:pPr>
        <w:ind w:firstLine="324"/>
        <w:spacing w:after="0" w:line="334" w:lineRule="auto"/>
        <w:rPr>
          <w:sz w:val="20"/>
          <w:szCs w:val="20"/>
          <w:color w:val="auto"/>
        </w:rPr>
      </w:pPr>
      <w:r>
        <w:rPr>
          <w:rFonts w:ascii="Arial" w:cs="Arial" w:eastAsia="Arial" w:hAnsi="Arial"/>
          <w:sz w:val="21"/>
          <w:szCs w:val="21"/>
          <w:b w:val="1"/>
          <w:bCs w:val="1"/>
          <w:i w:val="1"/>
          <w:iCs w:val="1"/>
          <w:color w:val="auto"/>
        </w:rPr>
        <w:t xml:space="preserve">7.5 </w:t>
      </w: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16"/>
          <w:szCs w:val="16"/>
          <w:color w:val="auto"/>
        </w:rPr>
        <w:t>Notwithstanding any other provision of</w:t>
      </w:r>
      <w:r>
        <w:rPr>
          <w:rFonts w:ascii="Arial" w:cs="Arial" w:eastAsia="Arial" w:hAnsi="Arial"/>
          <w:sz w:val="21"/>
          <w:szCs w:val="21"/>
          <w:b w:val="1"/>
          <w:bCs w:val="1"/>
          <w:i w:val="1"/>
          <w:iCs w:val="1"/>
          <w:color w:val="auto"/>
        </w:rPr>
        <w:t xml:space="preserve"> </w:t>
      </w:r>
      <w:r>
        <w:rPr>
          <w:rFonts w:ascii="Arial" w:cs="Arial" w:eastAsia="Arial" w:hAnsi="Arial"/>
          <w:sz w:val="16"/>
          <w:szCs w:val="16"/>
          <w:color w:val="auto"/>
        </w:rPr>
        <w:t>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w:t>
      </w:r>
    </w:p>
    <w:p>
      <w:pPr>
        <w:sectPr>
          <w:pgSz w:w="11900" w:h="16838" w:orient="portrait"/>
          <w:cols w:equalWidth="0" w:num="2">
            <w:col w:w="5380" w:space="460"/>
            <w:col w:w="5380"/>
          </w:cols>
          <w:pgMar w:left="320" w:top="341" w:right="359" w:bottom="1440" w:gutter="0" w:footer="0" w:header="0"/>
        </w:sectPr>
      </w:pPr>
    </w:p>
    <w:bookmarkStart w:id="42" w:name="page43"/>
    <w:bookmarkEnd w:id="42"/>
    <w:p>
      <w:pPr>
        <w:ind w:right="40"/>
        <w:spacing w:after="0" w:line="263" w:lineRule="auto"/>
        <w:rPr>
          <w:sz w:val="20"/>
          <w:szCs w:val="20"/>
          <w:color w:val="auto"/>
        </w:rPr>
      </w:pPr>
      <w:r>
        <w:rPr>
          <w:rFonts w:ascii="Arial" w:cs="Arial" w:eastAsia="Arial" w:hAnsi="Arial"/>
          <w:sz w:val="18"/>
          <w:szCs w:val="18"/>
          <w:color w:val="auto"/>
        </w:rPr>
        <w:t>and where two economically equivalent amounts are subject to reduction but payable at different times, such amounts shall be reduced on a pro rata basis but not below zero.</w:t>
      </w:r>
    </w:p>
    <w:p>
      <w:pPr>
        <w:spacing w:after="0" w:line="13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18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CTM H200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4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5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w:t>
      </w:r>
    </w:p>
    <w:p>
      <w:pPr>
        <w:spacing w:after="0" w:line="35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Stock Plan System and the provisions of this Agreement and/or the Plan, the provisions of this Agreement and/or the Plan, as applicable, shall control.</w:t>
      </w:r>
    </w:p>
    <w:p>
      <w:pPr>
        <w:spacing w:after="0" w:line="139" w:lineRule="exact"/>
        <w:rPr>
          <w:sz w:val="20"/>
          <w:szCs w:val="20"/>
          <w:color w:val="auto"/>
        </w:rPr>
      </w:pPr>
    </w:p>
    <w:p>
      <w:pPr>
        <w:ind w:left="340" w:hanging="331"/>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firstLine="392"/>
        <w:spacing w:after="0" w:line="284"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341" w:lineRule="exact"/>
        <w:rPr>
          <w:sz w:val="20"/>
          <w:szCs w:val="20"/>
          <w:color w:val="auto"/>
        </w:rPr>
      </w:pPr>
    </w:p>
    <w:p>
      <w:pPr>
        <w:ind w:left="340" w:hanging="331"/>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ectPr>
          <w:pgSz w:w="11900" w:h="16838" w:orient="portrait"/>
          <w:cols w:equalWidth="0" w:num="2">
            <w:col w:w="5400" w:space="440"/>
            <w:col w:w="5400"/>
          </w:cols>
          <w:pgMar w:left="320" w:top="341" w:right="339" w:bottom="1440" w:gutter="0" w:footer="0" w:header="0"/>
        </w:sectPr>
      </w:pPr>
    </w:p>
    <w:bookmarkStart w:id="43" w:name="page44"/>
    <w:bookmarkEnd w:id="43"/>
    <w:p>
      <w:pPr>
        <w:ind w:left="580" w:right="80" w:hanging="329"/>
        <w:spacing w:after="0" w:line="301" w:lineRule="auto"/>
        <w:tabs>
          <w:tab w:leader="none" w:pos="5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6" w:lineRule="exact"/>
        <w:rPr>
          <w:rFonts w:ascii="Arial" w:cs="Arial" w:eastAsia="Arial" w:hAnsi="Arial"/>
          <w:sz w:val="16"/>
          <w:szCs w:val="16"/>
          <w:color w:val="auto"/>
        </w:rPr>
      </w:pPr>
    </w:p>
    <w:p>
      <w:pPr>
        <w:ind w:left="580" w:right="60" w:hanging="329"/>
        <w:spacing w:after="0" w:line="273" w:lineRule="auto"/>
        <w:tabs>
          <w:tab w:leader="none" w:pos="562"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8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right="18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 all construed and interpreted consistent with the definition of “Disability” set forth in Code Section 409A(a)(2)(C).</w:t>
      </w:r>
    </w:p>
    <w:p>
      <w:pPr>
        <w:spacing w:after="0" w:line="138"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Retirement</w:t>
      </w:r>
      <w:r>
        <w:rPr>
          <w:rFonts w:ascii="Arial" w:cs="Arial" w:eastAsia="Arial" w:hAnsi="Arial"/>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187" w:lineRule="exact"/>
        <w:rPr>
          <w:sz w:val="20"/>
          <w:szCs w:val="20"/>
          <w:color w:val="auto"/>
        </w:rPr>
      </w:pPr>
    </w:p>
    <w:p>
      <w:pPr>
        <w:ind w:left="580" w:right="140" w:hanging="329"/>
        <w:spacing w:after="0" w:line="324"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termination of employment after the Grantee has attained age 55 with at least 10 years of service.</w:t>
      </w:r>
    </w:p>
    <w:p>
      <w:pPr>
        <w:spacing w:after="0" w:line="200" w:lineRule="exact"/>
        <w:rPr>
          <w:sz w:val="20"/>
          <w:szCs w:val="20"/>
          <w:color w:val="auto"/>
        </w:rPr>
      </w:pPr>
    </w:p>
    <w:p>
      <w:pPr>
        <w:spacing w:after="0" w:line="36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jc w:val="both"/>
        <w:ind w:left="580" w:right="180" w:hanging="328"/>
        <w:spacing w:after="0" w:line="311" w:lineRule="auto"/>
        <w:tabs>
          <w:tab w:leader="none" w:pos="5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termination of employment by the Company or a subsidiary as part of a reduction in force and, at the time of such termination, the Grantee has attained age 53 with at least 10 years of service.</w:t>
      </w:r>
    </w:p>
    <w:p>
      <w:pPr>
        <w:spacing w:after="0" w:line="108" w:lineRule="exact"/>
        <w:rPr>
          <w:rFonts w:ascii="Arial" w:cs="Arial" w:eastAsia="Arial" w:hAnsi="Arial"/>
          <w:sz w:val="16"/>
          <w:szCs w:val="16"/>
          <w:color w:val="auto"/>
        </w:rPr>
      </w:pPr>
    </w:p>
    <w:p>
      <w:pPr>
        <w:jc w:val="both"/>
        <w:ind w:left="580" w:right="200" w:hanging="328"/>
        <w:spacing w:after="0" w:line="311" w:lineRule="auto"/>
        <w:tabs>
          <w:tab w:leader="none" w:pos="5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termination of employment by the Company or a subsidiary as part of a reduction in force and, at the time of such termination, the sum of the Grantee’s age and years of service is at least 75.</w:t>
      </w:r>
    </w:p>
    <w:p>
      <w:pPr>
        <w:spacing w:after="0" w:line="104"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9" w:lineRule="exact"/>
        <w:rPr>
          <w:sz w:val="20"/>
          <w:szCs w:val="20"/>
          <w:color w:val="auto"/>
        </w:rPr>
      </w:pPr>
    </w:p>
    <w:p>
      <w:pPr>
        <w:ind w:right="50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79" w:lineRule="exact"/>
        <w:rPr>
          <w:sz w:val="20"/>
          <w:szCs w:val="20"/>
          <w:color w:val="auto"/>
        </w:rPr>
      </w:pPr>
    </w:p>
    <w:p>
      <w:pPr>
        <w:ind w:left="580" w:hanging="328"/>
        <w:spacing w:after="0" w:line="285" w:lineRule="auto"/>
        <w:tabs>
          <w:tab w:leader="none" w:pos="56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1" w:lineRule="exact"/>
        <w:rPr>
          <w:sz w:val="20"/>
          <w:szCs w:val="20"/>
          <w:color w:val="auto"/>
        </w:rPr>
      </w:pPr>
    </w:p>
    <w:p>
      <w:pPr>
        <w:ind w:left="580" w:firstLine="554"/>
        <w:spacing w:after="0" w:line="270" w:lineRule="auto"/>
        <w:rPr>
          <w:sz w:val="20"/>
          <w:szCs w:val="20"/>
          <w:color w:val="auto"/>
        </w:rPr>
      </w:pPr>
      <w:r>
        <w:rPr>
          <w:rFonts w:ascii="Arial" w:cs="Arial" w:eastAsia="Arial" w:hAnsi="Arial"/>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w:t>
      </w:r>
    </w:p>
    <w:p>
      <w:pPr>
        <w:sectPr>
          <w:pgSz w:w="11900" w:h="16838" w:orient="portrait"/>
          <w:cols w:equalWidth="0" w:num="2">
            <w:col w:w="5380" w:space="460"/>
            <w:col w:w="5380"/>
          </w:cols>
          <w:pgMar w:left="320" w:top="341" w:right="359" w:bottom="1440" w:gutter="0" w:footer="0" w:header="0"/>
        </w:sectPr>
      </w:pPr>
    </w:p>
    <w:bookmarkStart w:id="44" w:name="page45"/>
    <w:bookmarkEnd w:id="44"/>
    <w:p>
      <w:pPr>
        <w:ind w:left="329" w:right="120"/>
        <w:spacing w:after="0" w:line="255" w:lineRule="auto"/>
        <w:rPr>
          <w:sz w:val="20"/>
          <w:szCs w:val="20"/>
          <w:color w:val="auto"/>
        </w:rPr>
      </w:pPr>
      <w:r>
        <w:rPr>
          <w:rFonts w:ascii="Arial" w:cs="Arial" w:eastAsia="Arial" w:hAnsi="Arial"/>
          <w:sz w:val="18"/>
          <w:szCs w:val="18"/>
          <w:color w:val="auto"/>
        </w:rPr>
        <w:t>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52" w:lineRule="exact"/>
        <w:rPr>
          <w:sz w:val="20"/>
          <w:szCs w:val="20"/>
          <w:color w:val="auto"/>
        </w:rPr>
      </w:pPr>
    </w:p>
    <w:p>
      <w:pPr>
        <w:jc w:val="both"/>
        <w:ind w:left="329" w:hanging="329"/>
        <w:spacing w:after="0" w:line="311" w:lineRule="auto"/>
        <w:tabs>
          <w:tab w:leader="none" w:pos="3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material reduction by the Company in the Grantee’s annualized rate of base salary as in effect at the start of the Protected Period, or as the same shall be increased from time to time.</w:t>
      </w:r>
    </w:p>
    <w:p>
      <w:pPr>
        <w:spacing w:after="0" w:line="108" w:lineRule="exact"/>
        <w:rPr>
          <w:rFonts w:ascii="Arial" w:cs="Arial" w:eastAsia="Arial" w:hAnsi="Arial"/>
          <w:sz w:val="16"/>
          <w:szCs w:val="16"/>
          <w:color w:val="auto"/>
        </w:rPr>
      </w:pPr>
    </w:p>
    <w:p>
      <w:pPr>
        <w:ind w:left="329" w:hanging="329"/>
        <w:spacing w:after="0" w:line="287" w:lineRule="auto"/>
        <w:tabs>
          <w:tab w:leader="none" w:pos="311"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31" w:lineRule="exact"/>
        <w:rPr>
          <w:rFonts w:ascii="Arial" w:cs="Arial" w:eastAsia="Arial" w:hAnsi="Arial"/>
          <w:sz w:val="16"/>
          <w:szCs w:val="16"/>
          <w:color w:val="auto"/>
        </w:rPr>
      </w:pPr>
    </w:p>
    <w:p>
      <w:pPr>
        <w:ind w:left="329" w:hanging="329"/>
        <w:spacing w:after="0" w:line="269" w:lineRule="auto"/>
        <w:tabs>
          <w:tab w:leader="none" w:pos="3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44" w:lineRule="exact"/>
        <w:rPr>
          <w:rFonts w:ascii="Arial" w:cs="Arial" w:eastAsia="Arial" w:hAnsi="Arial"/>
          <w:sz w:val="17"/>
          <w:szCs w:val="17"/>
          <w:color w:val="auto"/>
        </w:rPr>
      </w:pPr>
    </w:p>
    <w:p>
      <w:pPr>
        <w:ind w:left="329" w:right="20" w:hanging="329"/>
        <w:spacing w:after="0" w:line="253" w:lineRule="auto"/>
        <w:tabs>
          <w:tab w:leader="none" w:pos="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2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3" w:lineRule="exact"/>
        <w:rPr>
          <w:sz w:val="20"/>
          <w:szCs w:val="20"/>
          <w:color w:val="auto"/>
        </w:rPr>
      </w:pPr>
    </w:p>
    <w:p>
      <w:pPr>
        <w:ind w:right="100" w:firstLine="40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Service Retirement</w:t>
      </w:r>
      <w:r>
        <w:rPr>
          <w:rFonts w:ascii="Arial" w:cs="Arial" w:eastAsia="Arial" w:hAnsi="Arial"/>
          <w:sz w:val="16"/>
          <w:szCs w:val="16"/>
          <w:color w:val="auto"/>
        </w:rPr>
        <w:t>” means an Early or Normal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13"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Key 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means a</w:t>
      </w:r>
      <w:r>
        <w:rPr>
          <w:rFonts w:ascii="Arial" w:cs="Arial" w:eastAsia="Arial" w:hAnsi="Arial"/>
          <w:sz w:val="16"/>
          <w:szCs w:val="16"/>
          <w:color w:val="auto"/>
        </w:rPr>
        <w:t>n employee treated as a “specified employee” under Code section 409A(a)(2)(B)(i) of the Company or an Affiliated Company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spacing w:after="0" w:line="16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Normal Retirement</w:t>
      </w:r>
      <w:r>
        <w:rPr>
          <w:rFonts w:ascii="Arial" w:cs="Arial" w:eastAsia="Arial" w:hAnsi="Arial"/>
          <w:sz w:val="17"/>
          <w:szCs w:val="17"/>
          <w:color w:val="auto"/>
        </w:rPr>
        <w:t>” means that the Grantee terminates 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26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21" w:lineRule="exact"/>
        <w:rPr>
          <w:sz w:val="20"/>
          <w:szCs w:val="20"/>
          <w:color w:val="auto"/>
        </w:rPr>
      </w:pPr>
    </w:p>
    <w:p>
      <w:pPr>
        <w:ind w:right="120"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39" w:lineRule="exact"/>
        <w:rPr>
          <w:sz w:val="20"/>
          <w:szCs w:val="20"/>
          <w:color w:val="auto"/>
        </w:rPr>
      </w:pPr>
    </w:p>
    <w:p>
      <w:pPr>
        <w:ind w:left="580" w:right="40" w:hanging="328"/>
        <w:spacing w:after="0" w:line="277" w:lineRule="auto"/>
        <w:tabs>
          <w:tab w:leader="none" w:pos="5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w:t>
      </w:r>
    </w:p>
    <w:p>
      <w:pPr>
        <w:sectPr>
          <w:pgSz w:w="11900" w:h="16838" w:orient="portrait"/>
          <w:cols w:equalWidth="0" w:num="2">
            <w:col w:w="5049" w:space="540"/>
            <w:col w:w="5400"/>
          </w:cols>
          <w:pgMar w:left="571" w:top="341" w:right="339" w:bottom="1440" w:gutter="0" w:footer="0" w:header="0"/>
        </w:sectPr>
      </w:pPr>
    </w:p>
    <w:bookmarkStart w:id="45" w:name="page46"/>
    <w:bookmarkEnd w:id="45"/>
    <w:p>
      <w:pPr>
        <w:ind w:left="580"/>
        <w:spacing w:after="0"/>
        <w:rPr>
          <w:sz w:val="20"/>
          <w:szCs w:val="20"/>
          <w:color w:val="auto"/>
        </w:rPr>
      </w:pPr>
      <w:r>
        <w:rPr>
          <w:rFonts w:ascii="Arial" w:cs="Arial" w:eastAsia="Arial" w:hAnsi="Arial"/>
          <w:sz w:val="16"/>
          <w:szCs w:val="16"/>
          <w:color w:val="auto"/>
        </w:rPr>
        <w:t>offeror’s acquisition of shares pursuant to such a tender offer, the</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Protected Period shall commence on the date of the initial tender</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offer and shall continue through and including the date of the</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Change in Control; provided that in no case will the Protected</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Period commence earlier than the date that is six (6) months prior</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Change in Control.</w:t>
      </w:r>
    </w:p>
    <w:p>
      <w:pPr>
        <w:spacing w:after="0" w:line="170" w:lineRule="exact"/>
        <w:rPr>
          <w:sz w:val="20"/>
          <w:szCs w:val="20"/>
          <w:color w:val="auto"/>
        </w:rPr>
      </w:pPr>
    </w:p>
    <w:p>
      <w:pPr>
        <w:ind w:left="580" w:right="4739" w:hanging="329"/>
        <w:spacing w:after="0" w:line="290" w:lineRule="auto"/>
        <w:tabs>
          <w:tab w:leader="none" w:pos="56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4" w:lineRule="exact"/>
        <w:rPr>
          <w:rFonts w:ascii="Arial" w:cs="Arial" w:eastAsia="Arial" w:hAnsi="Arial"/>
          <w:sz w:val="16"/>
          <w:szCs w:val="16"/>
          <w:color w:val="auto"/>
        </w:rPr>
      </w:pPr>
    </w:p>
    <w:p>
      <w:pPr>
        <w:ind w:left="560" w:hanging="309"/>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w:t>
      </w:r>
    </w:p>
    <w:p>
      <w:pPr>
        <w:spacing w:after="0" w:line="46" w:lineRule="exact"/>
        <w:rPr>
          <w:rFonts w:ascii="Arial" w:cs="Arial" w:eastAsia="Arial" w:hAnsi="Arial"/>
          <w:sz w:val="16"/>
          <w:szCs w:val="16"/>
          <w:color w:val="auto"/>
        </w:rPr>
      </w:pPr>
    </w:p>
    <w:p>
      <w:pPr>
        <w:ind w:left="580" w:right="4799" w:hanging="1"/>
        <w:spacing w:after="0" w:line="302" w:lineRule="auto"/>
        <w:tabs>
          <w:tab w:leader="none" w:pos="845" w:val="left"/>
        </w:tabs>
        <w:numPr>
          <w:ilvl w:val="1"/>
          <w:numId w:val="47"/>
        </w:numPr>
        <w:rPr>
          <w:rFonts w:ascii="Arial" w:cs="Arial" w:eastAsia="Arial" w:hAnsi="Arial"/>
          <w:sz w:val="16"/>
          <w:szCs w:val="16"/>
          <w:color w:val="auto"/>
        </w:rPr>
      </w:pPr>
      <w:r>
        <w:rPr>
          <w:rFonts w:ascii="Arial" w:cs="Arial" w:eastAsia="Arial" w:hAnsi="Arial"/>
          <w:sz w:val="16"/>
          <w:szCs w:val="16"/>
          <w:color w:val="auto"/>
        </w:rPr>
        <w:t>above, the Protected Period shall commence on the date that is six (6) months prior to the Change in Control and shall continue through and including the date of the Change in Control.</w:t>
      </w:r>
    </w:p>
    <w:p>
      <w:pPr>
        <w:spacing w:after="0" w:line="111" w:lineRule="exact"/>
        <w:rPr>
          <w:sz w:val="20"/>
          <w:szCs w:val="20"/>
          <w:color w:val="auto"/>
        </w:rPr>
      </w:pPr>
    </w:p>
    <w:p>
      <w:pPr>
        <w:ind w:right="4759" w:firstLine="40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Separation from Service</w:t>
      </w:r>
      <w:r>
        <w:rPr>
          <w:rFonts w:ascii="Arial" w:cs="Arial" w:eastAsia="Arial" w:hAnsi="Arial"/>
          <w:sz w:val="16"/>
          <w:szCs w:val="16"/>
          <w:color w:val="auto"/>
        </w:rPr>
        <w:t>” means when the Grantee dies, retires, or otherwise has a termination of employment with the Company and its subsidiaries that constitutes a “separation from service” within the meaning of United States Treasury Regulation Section 1.409A-1(h)(1), without regard to the optional alternative definitions available thereunder.</w:t>
      </w:r>
    </w:p>
    <w:p>
      <w:pPr>
        <w:spacing w:after="0" w:line="113" w:lineRule="exact"/>
        <w:rPr>
          <w:sz w:val="20"/>
          <w:szCs w:val="20"/>
          <w:color w:val="auto"/>
        </w:rPr>
      </w:pPr>
    </w:p>
    <w:p>
      <w:pPr>
        <w:ind w:right="4759" w:firstLine="405"/>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means the person acquiring a Grantee’s rights to a grant under the Plan by will or by the laws of descent or distribution.</w:t>
      </w:r>
    </w:p>
    <w:p>
      <w:pPr>
        <w:spacing w:after="0" w:line="200" w:lineRule="exact"/>
        <w:rPr>
          <w:sz w:val="20"/>
          <w:szCs w:val="20"/>
          <w:color w:val="auto"/>
        </w:rPr>
      </w:pPr>
    </w:p>
    <w:p>
      <w:pPr>
        <w:spacing w:after="0" w:line="37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341" w:right="144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32"/>
          <w:szCs w:val="32"/>
          <w:b w:val="1"/>
          <w:bCs w:val="1"/>
          <w:color w:val="auto"/>
        </w:rPr>
        <w:t>NORTHROP GRUMMAN CORPORATION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2020 RESTRICTED PERFORMANCE STOCK RIGHTS GRANT AGREEMENT</w:t>
      </w:r>
    </w:p>
    <w:p>
      <w:pPr>
        <w:spacing w:after="0" w:line="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2020 Restricted Performance Stock Rights Grant Agreement (“Agreement”) applies to certain “Restricted Performance Stock Rights” (“RPSRs”) granted by Northrop Grumman Corporation (the “Company”) in 2020 under its 2011 Long-Term Incentive Stock Plan. If you were granted an RPSR award by the Company in 2020,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This Agreement applies only with respect to the 2020 RPSR award, and you are subject to this Agreement upon accepting your grant. If you were granted an RPSR award, you are referred to as the “Grantee” with respect to your award. Capitalized terms are generally defined in Section 12 below if not otherwise defined herein.</w:t>
      </w:r>
    </w:p>
    <w:p>
      <w:pPr>
        <w:spacing w:after="0" w:line="17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Each RPSR represents a right to receive one share of the Company’s Common Stock, or cash of equivalent value as provided herein subject to vesting as provided herein. The performance period applicable to your award is January 1, 2020 to December 31, 2022 (the “Performance Period”). The target number of RPSRs subject to your award is subject to adjustment as provided herein. The RPSR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RPSR award, by entering into this Agreement in accordance with the instructions and time limit set forth in your Grant Letter, you will be deemed to have forfeited your RPSR award.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ELT</w:t>
      </w:r>
      <w:r>
        <w:rPr>
          <w:sz w:val="20"/>
          <w:szCs w:val="20"/>
          <w:color w:val="auto"/>
        </w:rPr>
        <w:tab/>
      </w:r>
      <w:r>
        <w:rPr>
          <w:rFonts w:ascii="Arial" w:cs="Arial" w:eastAsia="Arial" w:hAnsi="Arial"/>
          <w:sz w:val="18"/>
          <w:szCs w:val="18"/>
          <w:color w:val="auto"/>
        </w:rPr>
        <w:t>1</w:t>
      </w:r>
    </w:p>
    <w:p>
      <w:pPr>
        <w:sectPr>
          <w:pgSz w:w="11900" w:h="16838" w:orient="portrait"/>
          <w:cols w:equalWidth="0" w:num="1">
            <w:col w:w="11200"/>
          </w:cols>
          <w:pgMar w:left="320" w:top="328" w:right="379" w:bottom="1440" w:gutter="0" w:footer="0" w:header="0"/>
        </w:sectPr>
      </w:pPr>
    </w:p>
    <w:bookmarkStart w:id="47" w:name="page48"/>
    <w:bookmarkEnd w:id="47"/>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Payment of RPSRs</w:t>
      </w:r>
      <w:r>
        <w:rPr>
          <w:rFonts w:ascii="Arial" w:cs="Arial" w:eastAsia="Arial" w:hAnsi="Arial"/>
          <w:sz w:val="18"/>
          <w:szCs w:val="18"/>
          <w:color w:val="auto"/>
        </w:rPr>
        <w:t>.</w:t>
      </w:r>
    </w:p>
    <w:p>
      <w:pPr>
        <w:spacing w:after="0" w:line="189"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RPSRs are subject to the vesting and payment provisions established by the Committee with respect to the Performance Period. RPSRs (and any Dividend Equivalents (as defined below)) that vest based on such provisions will be paid as provided below.</w:t>
      </w:r>
    </w:p>
    <w:p>
      <w:pPr>
        <w:spacing w:after="0" w:line="16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Performance-Based Vesting of RPSRs</w:t>
      </w:r>
      <w:r>
        <w:rPr>
          <w:rFonts w:ascii="Arial" w:cs="Arial" w:eastAsia="Arial" w:hAnsi="Arial"/>
          <w:sz w:val="16"/>
          <w:szCs w:val="16"/>
          <w:color w:val="auto"/>
        </w:rPr>
        <w:t>. Subject to Sections 2,</w:t>
      </w:r>
      <w:r>
        <w:rPr>
          <w:rFonts w:ascii="Arial" w:cs="Arial" w:eastAsia="Arial" w:hAnsi="Arial"/>
          <w:sz w:val="16"/>
          <w:szCs w:val="16"/>
          <w:b w:val="1"/>
          <w:bCs w:val="1"/>
          <w:color w:val="auto"/>
        </w:rPr>
        <w:t xml:space="preserve"> </w:t>
      </w:r>
      <w:r>
        <w:rPr>
          <w:rFonts w:ascii="Arial" w:cs="Arial" w:eastAsia="Arial" w:hAnsi="Arial"/>
          <w:sz w:val="16"/>
          <w:szCs w:val="16"/>
          <w:color w:val="auto"/>
        </w:rPr>
        <w:t>3, 4 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spacing w:after="0" w:line="12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Payment of RPSRs</w:t>
      </w:r>
      <w:r>
        <w:rPr>
          <w:rFonts w:ascii="Arial" w:cs="Arial" w:eastAsia="Arial" w:hAnsi="Arial"/>
          <w:sz w:val="16"/>
          <w:szCs w:val="16"/>
          <w:color w:val="auto"/>
        </w:rPr>
        <w:t>. The number of RPSRs payable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conclusion of the Performance Period (“Vested RPSRs”) shall be determined by multiplying the Earnout Percentage by the target number of RPSRs subject to the award. The Vested RPSRs and any 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 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spacing w:after="0" w:line="130"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Grantee shall be entitled to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Dividend Equivalents (if any) with respect to any Vested RPSRs and any RPSRs that vest and become payable pursuant to Section 2 or 6. For purposes of this Agreement, “Dividend Equivalents” means the aggregate amount of dividends paid by the Company on a number of shares of Common Stock equivalent to the number of Vested RPSRs (or the</w:t>
      </w:r>
    </w:p>
    <w:p>
      <w:pPr>
        <w:spacing w:after="0" w:line="200" w:lineRule="exact"/>
        <w:rPr>
          <w:sz w:val="20"/>
          <w:szCs w:val="20"/>
          <w:color w:val="auto"/>
        </w:rPr>
      </w:pPr>
    </w:p>
    <w:p>
      <w:pPr>
        <w:spacing w:after="0" w:line="36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ELT</w:t>
      </w:r>
      <w:r>
        <w:rPr>
          <w:sz w:val="20"/>
          <w:szCs w:val="20"/>
          <w:color w:val="auto"/>
        </w:rPr>
        <w:tab/>
      </w: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number of RPSRs that vest and become payable pursuant to Section 2 or</w:t>
      </w:r>
    </w:p>
    <w:p>
      <w:pPr>
        <w:spacing w:after="0" w:line="46" w:lineRule="exact"/>
        <w:rPr>
          <w:sz w:val="20"/>
          <w:szCs w:val="20"/>
          <w:color w:val="auto"/>
        </w:rPr>
      </w:pPr>
    </w:p>
    <w:p>
      <w:pPr>
        <w:ind w:right="40" w:firstLine="9"/>
        <w:spacing w:after="0" w:line="267" w:lineRule="auto"/>
        <w:tabs>
          <w:tab w:leader="none" w:pos="1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during the period from the beginning of the Performance Period until the date the Vested RPSRs (or the RPSRs that vest and become payable pursuant to Section 2 or 6) are paid, without interest or other adjustments to reflect the time value of money. For these purposes, any Vested RPSRs or RPSRs that vest and become payable pursuant to Section 2 or 6 in excess of the target number of RPSRs subject to the award shall be considered to have 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spacing w:after="0" w:line="141" w:lineRule="exact"/>
        <w:rPr>
          <w:sz w:val="20"/>
          <w:szCs w:val="20"/>
          <w:color w:val="auto"/>
        </w:rPr>
      </w:pPr>
    </w:p>
    <w:p>
      <w:pPr>
        <w:ind w:left="340" w:hanging="331"/>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18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i w:val="1"/>
          <w:iCs w:val="1"/>
          <w:color w:val="auto"/>
        </w:rPr>
        <w:t>General</w:t>
      </w:r>
      <w:r>
        <w:rPr>
          <w:rFonts w:ascii="Arial" w:cs="Arial" w:eastAsia="Arial" w:hAnsi="Arial"/>
          <w:sz w:val="18"/>
          <w:szCs w:val="18"/>
          <w:color w:val="auto"/>
        </w:rPr>
        <w:t>. The RPSRs (and related Dividend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spacing w:after="0" w:line="14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Termination of Employment Due to Retirement, Death or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The number of RPSRs (and related Dividend Equivalents)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the award shall vest on a prorated basis as provided herein if the Grantee’s employment by the Company and its subsidiaries terminates due to the Grantee’s Early Retirement, death, or Disability </w:t>
      </w:r>
      <w:r>
        <w:rPr>
          <w:rFonts w:ascii="Arial" w:cs="Arial" w:eastAsia="Arial" w:hAnsi="Arial"/>
          <w:sz w:val="16"/>
          <w:szCs w:val="16"/>
          <w:u w:val="single" w:color="auto"/>
          <w:color w:val="auto"/>
        </w:rPr>
        <w:t>and</w:t>
      </w:r>
      <w:r>
        <w:rPr>
          <w:rFonts w:ascii="Arial" w:cs="Arial" w:eastAsia="Arial" w:hAnsi="Arial"/>
          <w:sz w:val="16"/>
          <w:szCs w:val="16"/>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calendar days the Grantee was actually employed by the Company or one of its subsidiaries over the number of calendar days in the Performance Period (the number of prorated RPSRs, the “Prorated RPSRs”). If the Grantee ceases to be employed by the Company or one of its subsidiaries due to the Grantee’s Normal Retirement and such Normal Retirement occurs more than six (6) months after the Grant Date, the RPSRs will vest as if the employee had remained an employee for the full Performance Period. Any RPSRs (and related Dividend Equivalents) subject to the award that do not vest in accordance with this Section 2.2 upon a termination of the Grantee’s employment due to Early Retirement or Normal Retirement (collectively “Retirement”), death or</w:t>
      </w:r>
    </w:p>
    <w:p>
      <w:pPr>
        <w:sectPr>
          <w:pgSz w:w="11900" w:h="16838" w:orient="portrait"/>
          <w:cols w:equalWidth="0" w:num="2">
            <w:col w:w="5400" w:space="440"/>
            <w:col w:w="5400"/>
          </w:cols>
          <w:pgMar w:left="320" w:top="594" w:right="339" w:bottom="1440" w:gutter="0" w:footer="0" w:header="0"/>
        </w:sectPr>
      </w:pPr>
    </w:p>
    <w:bookmarkStart w:id="48" w:name="page49"/>
    <w:bookmarkEnd w:id="48"/>
    <w:p>
      <w:pPr>
        <w:ind w:right="780"/>
        <w:spacing w:after="0" w:line="277" w:lineRule="auto"/>
        <w:rPr>
          <w:sz w:val="20"/>
          <w:szCs w:val="20"/>
          <w:color w:val="auto"/>
        </w:rPr>
      </w:pPr>
      <w:r>
        <w:rPr>
          <w:rFonts w:ascii="Arial" w:cs="Arial" w:eastAsia="Arial" w:hAnsi="Arial"/>
          <w:sz w:val="18"/>
          <w:szCs w:val="18"/>
          <w:color w:val="auto"/>
        </w:rPr>
        <w:t>Disability shall terminate immediately upon such termination of employment.</w:t>
      </w:r>
    </w:p>
    <w:p>
      <w:pPr>
        <w:spacing w:after="0" w:line="130" w:lineRule="exact"/>
        <w:rPr>
          <w:sz w:val="20"/>
          <w:szCs w:val="20"/>
          <w:color w:val="auto"/>
        </w:rPr>
      </w:pPr>
    </w:p>
    <w:p>
      <w:pPr>
        <w:ind w:right="40" w:firstLine="391"/>
        <w:spacing w:after="0" w:line="291" w:lineRule="auto"/>
        <w:rPr>
          <w:sz w:val="20"/>
          <w:szCs w:val="20"/>
          <w:color w:val="auto"/>
        </w:rPr>
      </w:pPr>
      <w:r>
        <w:rPr>
          <w:rFonts w:ascii="Arial" w:cs="Arial" w:eastAsia="Arial" w:hAnsi="Arial"/>
          <w:sz w:val="16"/>
          <w:szCs w:val="16"/>
          <w:i w:val="1"/>
          <w:iCs w:val="1"/>
          <w:color w:val="auto"/>
        </w:rPr>
        <w:t>Death or Disability</w:t>
      </w:r>
      <w:r>
        <w:rPr>
          <w:rFonts w:ascii="Arial" w:cs="Arial" w:eastAsia="Arial" w:hAnsi="Arial"/>
          <w:sz w:val="16"/>
          <w:szCs w:val="16"/>
          <w:color w:val="auto"/>
        </w:rPr>
        <w:t>. In the case of death or Disability (a) the Earnout</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the Grantee’s Prorated RPSRs (and related Dividend Equivalents) will be deemed to be 100% (target), regardless of actual performance, and (b) payment of the Prorated RPSRs (and related Dividend Equivalents) that vest pursuant to this Section 2.2 will be made within 60 days of the Grantee’s death or Disability, but in no event later than March 15 of the year following the date of the death or Disability.</w:t>
      </w:r>
    </w:p>
    <w:p>
      <w:pPr>
        <w:spacing w:after="0" w:line="166" w:lineRule="exact"/>
        <w:rPr>
          <w:sz w:val="20"/>
          <w:szCs w:val="20"/>
          <w:color w:val="auto"/>
        </w:rPr>
      </w:pPr>
    </w:p>
    <w:p>
      <w:pPr>
        <w:ind w:right="20" w:firstLine="391"/>
        <w:spacing w:after="0" w:line="257" w:lineRule="auto"/>
        <w:rPr>
          <w:sz w:val="20"/>
          <w:szCs w:val="20"/>
          <w:color w:val="auto"/>
        </w:rPr>
      </w:pPr>
      <w:r>
        <w:rPr>
          <w:rFonts w:ascii="Arial" w:cs="Arial" w:eastAsia="Arial" w:hAnsi="Arial"/>
          <w:sz w:val="18"/>
          <w:szCs w:val="18"/>
          <w:i w:val="1"/>
          <w:iCs w:val="1"/>
          <w:color w:val="auto"/>
        </w:rPr>
        <w:t>Retirement in General</w:t>
      </w:r>
      <w:r>
        <w:rPr>
          <w:rFonts w:ascii="Arial" w:cs="Arial" w:eastAsia="Arial" w:hAnsi="Arial"/>
          <w:sz w:val="18"/>
          <w:szCs w:val="18"/>
          <w:color w:val="auto"/>
        </w:rPr>
        <w:t>. Subject to the following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 in the case of Retirement, the Earnout Percentage will be used to calculate the Grantee’s Vested RPSRs, and payment of the Vested RPSRs (and related Dividend Equivalents) will be made in accordance with Section 1.2 above.</w:t>
      </w:r>
    </w:p>
    <w:p>
      <w:pPr>
        <w:spacing w:after="0" w:line="188" w:lineRule="exact"/>
        <w:rPr>
          <w:sz w:val="20"/>
          <w:szCs w:val="20"/>
          <w:color w:val="auto"/>
        </w:rPr>
      </w:pPr>
    </w:p>
    <w:p>
      <w:pPr>
        <w:ind w:firstLine="391"/>
        <w:spacing w:after="0" w:line="284" w:lineRule="auto"/>
        <w:rPr>
          <w:sz w:val="20"/>
          <w:szCs w:val="20"/>
          <w:color w:val="auto"/>
        </w:rPr>
      </w:pPr>
      <w:r>
        <w:rPr>
          <w:rFonts w:ascii="Arial" w:cs="Arial" w:eastAsia="Arial" w:hAnsi="Arial"/>
          <w:sz w:val="16"/>
          <w:szCs w:val="16"/>
          <w:color w:val="auto"/>
        </w:rPr>
        <w:t>In determining the Grantee’s eligibility for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80" w:lineRule="exact"/>
        <w:rPr>
          <w:sz w:val="20"/>
          <w:szCs w:val="20"/>
          <w:color w:val="auto"/>
        </w:rPr>
      </w:pPr>
    </w:p>
    <w:p>
      <w:pPr>
        <w:ind w:right="20" w:firstLine="391"/>
        <w:spacing w:after="0" w:line="257" w:lineRule="auto"/>
        <w:rPr>
          <w:sz w:val="20"/>
          <w:szCs w:val="20"/>
          <w:color w:val="auto"/>
        </w:rPr>
      </w:pPr>
      <w:r>
        <w:rPr>
          <w:rFonts w:ascii="Arial" w:cs="Arial" w:eastAsia="Arial" w:hAnsi="Arial"/>
          <w:sz w:val="18"/>
          <w:szCs w:val="18"/>
          <w:i w:val="1"/>
          <w:iCs w:val="1"/>
          <w:color w:val="auto"/>
        </w:rPr>
        <w:t xml:space="preserve">Retirement Due to Government Service. </w:t>
      </w:r>
      <w:r>
        <w:rPr>
          <w:rFonts w:ascii="Arial" w:cs="Arial" w:eastAsia="Arial" w:hAnsi="Arial"/>
          <w:sz w:val="18"/>
          <w:szCs w:val="18"/>
          <w:color w:val="auto"/>
        </w:rPr>
        <w:t>In the case of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Service Retirement by the Grantee (a) the Performance Period used to calculate the Grantee’s Vested RPSRs will be deemed to have ended as of the most recent date that performance has been measured by</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the Company with respect to the RPSRs prior to the Grantee’s Retirement (but in no event shall such date be more than one year before the Grantee’s Retirement), (b) the Earnout Percentage of the Grantee’s Prorated RPSRs (and related Dividend Equivalents) will be determined based on actual performance for that short Performance Period, and (c) payment of the Prorated RPSRs that become Vested RPSRs (and Dividend Equivalents thereon) will be made within 20 days after Retirement.</w:t>
      </w:r>
    </w:p>
    <w:p>
      <w:pPr>
        <w:spacing w:after="0" w:line="162"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Other Terminations of Employment</w:t>
      </w:r>
      <w:r>
        <w:rPr>
          <w:rFonts w:ascii="Arial" w:cs="Arial" w:eastAsia="Arial" w:hAnsi="Arial"/>
          <w:sz w:val="16"/>
          <w:szCs w:val="16"/>
          <w:color w:val="auto"/>
        </w:rPr>
        <w:t>. Subject to Section 6.2,</w:t>
      </w:r>
      <w:r>
        <w:rPr>
          <w:rFonts w:ascii="Arial" w:cs="Arial" w:eastAsia="Arial" w:hAnsi="Arial"/>
          <w:sz w:val="16"/>
          <w:szCs w:val="16"/>
          <w:b w:val="1"/>
          <w:bCs w:val="1"/>
          <w:color w:val="auto"/>
        </w:rPr>
        <w:t xml:space="preserve"> </w:t>
      </w:r>
      <w:r>
        <w:rPr>
          <w:rFonts w:ascii="Arial" w:cs="Arial" w:eastAsia="Arial" w:hAnsi="Arial"/>
          <w:sz w:val="16"/>
          <w:szCs w:val="16"/>
          <w:color w:val="auto"/>
        </w:rPr>
        <w:t>all RPSRs (and related Dividend Equivalents) subject to the award shall terminate immediately upon a termination of the Grantee’s employment:</w:t>
      </w:r>
    </w:p>
    <w:p>
      <w:pPr>
        <w:spacing w:after="0" w:line="2" w:lineRule="exact"/>
        <w:rPr>
          <w:sz w:val="20"/>
          <w:szCs w:val="20"/>
          <w:color w:val="auto"/>
        </w:rPr>
      </w:pPr>
    </w:p>
    <w:p>
      <w:pPr>
        <w:ind w:right="340" w:firstLine="9"/>
        <w:spacing w:after="0" w:line="302" w:lineRule="auto"/>
        <w:tabs>
          <w:tab w:leader="none" w:pos="2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any reason other than due to the Grantee’s Retirement, death or Disability; or (b) for Retirement, death or Disability, if the six-month employment requirement under Section 2.2 above is not satisfied.</w:t>
      </w:r>
    </w:p>
    <w:p>
      <w:pPr>
        <w:spacing w:after="0" w:line="11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Leave of Absence</w:t>
      </w:r>
      <w:r>
        <w:rPr>
          <w:rFonts w:ascii="Arial" w:cs="Arial" w:eastAsia="Arial" w:hAnsi="Arial"/>
          <w:sz w:val="17"/>
          <w:szCs w:val="17"/>
          <w:color w:val="auto"/>
        </w:rPr>
        <w:t>. Unless the Committee otherwise provides</w:t>
      </w:r>
      <w:r>
        <w:rPr>
          <w:rFonts w:ascii="Arial" w:cs="Arial" w:eastAsia="Arial" w:hAnsi="Arial"/>
          <w:sz w:val="17"/>
          <w:szCs w:val="17"/>
          <w:b w:val="1"/>
          <w:bCs w:val="1"/>
          <w:color w:val="auto"/>
        </w:rPr>
        <w:t xml:space="preserve"> </w:t>
      </w:r>
      <w:r>
        <w:rPr>
          <w:rFonts w:ascii="Arial" w:cs="Arial" w:eastAsia="Arial" w:hAnsi="Arial"/>
          <w:sz w:val="17"/>
          <w:szCs w:val="17"/>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36"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2.4 above,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as used herein means active employment by the Company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120"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Sale or Spinoff of Subsidiary or Business Unit</w:t>
      </w:r>
      <w:r>
        <w:rPr>
          <w:rFonts w:ascii="Arial" w:cs="Arial" w:eastAsia="Arial" w:hAnsi="Arial"/>
          <w:sz w:val="18"/>
          <w:szCs w:val="18"/>
          <w:color w:val="auto"/>
        </w:rPr>
        <w:t>.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w:t>
      </w:r>
    </w:p>
    <w:p>
      <w:pPr>
        <w:sectPr>
          <w:pgSz w:w="11900" w:h="16838" w:orient="portrait"/>
          <w:cols w:equalWidth="0" w:num="2">
            <w:col w:w="5400" w:space="440"/>
            <w:col w:w="5400"/>
          </w:cols>
          <w:pgMar w:left="320" w:top="341" w:right="339" w:bottom="1440" w:gutter="0" w:footer="0" w:header="0"/>
        </w:sectPr>
      </w:pPr>
    </w:p>
    <w:bookmarkStart w:id="49" w:name="page50"/>
    <w:bookmarkEnd w:id="49"/>
    <w:p>
      <w:pPr>
        <w:spacing w:after="0" w:line="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one of its subsidiaries after such event, and the divested entity or business (or its successor or a parent company) does not assume the award in connection with such transaction. In the event of such a termination of employment, the termination shall be deemed to be a Retirement treated as provided for in Section 2.2 (subject to Section 6).</w:t>
      </w:r>
    </w:p>
    <w:p>
      <w:pPr>
        <w:spacing w:after="0" w:line="13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2.2, Section 2.4 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this Agreement, the Grant Letter,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25" w:lineRule="exact"/>
        <w:rPr>
          <w:sz w:val="20"/>
          <w:szCs w:val="20"/>
          <w:color w:val="auto"/>
        </w:rPr>
      </w:pPr>
    </w:p>
    <w:p>
      <w:pPr>
        <w:ind w:right="40" w:firstLine="405"/>
        <w:spacing w:after="0" w:line="298" w:lineRule="auto"/>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i w:val="1"/>
          <w:iCs w:val="1"/>
          <w:color w:val="auto"/>
        </w:rPr>
        <w:t>Death</w:t>
      </w:r>
      <w:r>
        <w:rPr>
          <w:rFonts w:ascii="Arial" w:cs="Arial" w:eastAsia="Arial" w:hAnsi="Arial"/>
          <w:sz w:val="16"/>
          <w:szCs w:val="16"/>
          <w:color w:val="auto"/>
        </w:rPr>
        <w:t>. In the event of the Grantee’s death subsequent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RPSRs but prior to the delivery of shares or other payment with respect to such RPSRs (and related Dividend Equivalents), the Grantee’s Successor shall be entitled to any payments to which the Grantee would have been entitled under this Agreement with respect to such RPSRs.</w:t>
      </w:r>
    </w:p>
    <w:p>
      <w:pPr>
        <w:spacing w:after="0" w:line="113"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i w:val="1"/>
          <w:iCs w:val="1"/>
          <w:color w:val="auto"/>
        </w:rPr>
        <w:t>Non-Transferability</w:t>
      </w:r>
      <w:r>
        <w:rPr>
          <w:rFonts w:ascii="Arial" w:cs="Arial" w:eastAsia="Arial" w:hAnsi="Arial"/>
          <w:sz w:val="17"/>
          <w:szCs w:val="17"/>
          <w:color w:val="auto"/>
        </w:rPr>
        <w:t>. The award, as well as the RPSRs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39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firstLine="405"/>
        <w:spacing w:after="0" w:line="268"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i w:val="1"/>
          <w:iCs w:val="1"/>
          <w:color w:val="auto"/>
        </w:rPr>
        <w:t>Forfeiture or Recoupment of Awards</w:t>
      </w:r>
      <w:r>
        <w:rPr>
          <w:rFonts w:ascii="Arial" w:cs="Arial" w:eastAsia="Arial" w:hAnsi="Arial"/>
          <w:sz w:val="17"/>
          <w:szCs w:val="17"/>
          <w:color w:val="auto"/>
        </w:rPr>
        <w:t>. If, prior to payment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75" w:lineRule="exact"/>
        <w:rPr>
          <w:sz w:val="20"/>
          <w:szCs w:val="20"/>
          <w:color w:val="auto"/>
        </w:rPr>
      </w:pPr>
    </w:p>
    <w:p>
      <w:pPr>
        <w:ind w:left="460" w:hanging="451"/>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18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Executive Leadership Team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w:t>
      </w:r>
    </w:p>
    <w:p>
      <w:pPr>
        <w:sectPr>
          <w:pgSz w:w="11900" w:h="16838" w:orient="portrait"/>
          <w:cols w:equalWidth="0" w:num="2">
            <w:col w:w="5400" w:space="440"/>
            <w:col w:w="5400"/>
          </w:cols>
          <w:pgMar w:left="320" w:top="337" w:right="339" w:bottom="1440" w:gutter="0" w:footer="0" w:header="0"/>
        </w:sectPr>
      </w:pPr>
    </w:p>
    <w:bookmarkStart w:id="50" w:name="page51"/>
    <w:bookmarkEnd w:id="50"/>
    <w:p>
      <w:pPr>
        <w:ind w:right="760"/>
        <w:spacing w:after="0" w:line="277" w:lineRule="auto"/>
        <w:rPr>
          <w:sz w:val="20"/>
          <w:szCs w:val="20"/>
          <w:color w:val="auto"/>
        </w:rPr>
      </w:pPr>
      <w:r>
        <w:rPr>
          <w:rFonts w:ascii="Arial" w:cs="Arial" w:eastAsia="Arial" w:hAnsi="Arial"/>
          <w:sz w:val="18"/>
          <w:szCs w:val="18"/>
          <w:color w:val="auto"/>
        </w:rPr>
        <w:t>subject to this Agreement and as consideration for the restrictive covenants set forth in this Section 4.</w:t>
      </w:r>
    </w:p>
    <w:p>
      <w:pPr>
        <w:spacing w:after="0" w:line="16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twelve (12) months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spacing w:after="0" w:line="16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9"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i w:val="1"/>
          <w:iCs w:val="1"/>
          <w:color w:val="auto"/>
        </w:rPr>
        <w:t>Non-Solicitation of Employees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of twenty-four</w:t>
      </w:r>
    </w:p>
    <w:p>
      <w:pPr>
        <w:spacing w:after="0" w:line="27" w:lineRule="exact"/>
        <w:rPr>
          <w:sz w:val="20"/>
          <w:szCs w:val="20"/>
          <w:color w:val="auto"/>
        </w:rPr>
      </w:pPr>
    </w:p>
    <w:p>
      <w:pPr>
        <w:ind w:firstLine="8"/>
        <w:spacing w:after="0" w:line="271" w:lineRule="auto"/>
        <w:tabs>
          <w:tab w:leader="none" w:pos="345" w:val="left"/>
        </w:tabs>
        <w:numPr>
          <w:ilvl w:val="0"/>
          <w:numId w:val="54"/>
        </w:numPr>
        <w:rPr>
          <w:rFonts w:ascii="Arial" w:cs="Arial" w:eastAsia="Arial" w:hAnsi="Arial"/>
          <w:sz w:val="17"/>
          <w:szCs w:val="17"/>
          <w:color w:val="auto"/>
        </w:rPr>
      </w:pPr>
      <w:r>
        <w:rPr>
          <w:rFonts w:ascii="Arial" w:cs="Arial" w:eastAsia="Arial" w:hAnsi="Arial"/>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20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issue or communicate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216" w:lineRule="exact"/>
        <w:rPr>
          <w:sz w:val="20"/>
          <w:szCs w:val="20"/>
          <w:color w:val="auto"/>
        </w:rPr>
      </w:pPr>
    </w:p>
    <w:p>
      <w:pPr>
        <w:ind w:right="140" w:firstLine="405"/>
        <w:spacing w:after="0" w:line="282"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i w:val="1"/>
          <w:iCs w:val="1"/>
          <w:color w:val="auto"/>
        </w:rPr>
        <w:t>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request an exception to the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Sections 4.2, 4.3, or 4.4 by making a</w:t>
      </w:r>
    </w:p>
    <w:p>
      <w:pPr>
        <w:spacing w:after="0" w:line="16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jc w:val="both"/>
        <w:ind w:right="240"/>
        <w:spacing w:after="0" w:line="263" w:lineRule="auto"/>
        <w:rPr>
          <w:sz w:val="20"/>
          <w:szCs w:val="20"/>
          <w:color w:val="auto"/>
        </w:rPr>
      </w:pPr>
      <w:r>
        <w:rPr>
          <w:rFonts w:ascii="Arial" w:cs="Arial" w:eastAsia="Arial" w:hAnsi="Arial"/>
          <w:sz w:val="18"/>
          <w:szCs w:val="18"/>
          <w:color w:val="auto"/>
        </w:rPr>
        <w:t>written request to the Company’s Chief Human Resources Officer, with such exceptions being considered at the sole discretion of the Company and communicated in writing to you.</w:t>
      </w:r>
    </w:p>
    <w:p>
      <w:pPr>
        <w:spacing w:after="0" w:line="207"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i w:val="1"/>
          <w:iCs w:val="1"/>
          <w:color w:val="auto"/>
        </w:rPr>
        <w:t>Reasonableness.</w:t>
      </w:r>
      <w:r>
        <w:rPr>
          <w:rFonts w:ascii="Arial" w:cs="Arial" w:eastAsia="Arial" w:hAnsi="Arial"/>
          <w:sz w:val="17"/>
          <w:szCs w:val="17"/>
          <w:b w:val="1"/>
          <w:bCs w:val="1"/>
          <w:color w:val="auto"/>
        </w:rPr>
        <w:t xml:space="preserve"> </w:t>
      </w:r>
      <w:r>
        <w:rPr>
          <w:rFonts w:ascii="Arial" w:cs="Arial" w:eastAsia="Arial" w:hAnsi="Arial"/>
          <w:sz w:val="17"/>
          <w:szCs w:val="17"/>
          <w:color w:val="auto"/>
        </w:rPr>
        <w:t>You agree that the restrictions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1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Remedies</w:t>
      </w:r>
      <w:r>
        <w:rPr>
          <w:rFonts w:ascii="Arial" w:cs="Arial" w:eastAsia="Arial" w:hAnsi="Arial"/>
          <w:sz w:val="16"/>
          <w:szCs w:val="16"/>
          <w:color w:val="auto"/>
        </w:rPr>
        <w:t>. If you violate any provision in Section 4.2, 4.3,</w:t>
      </w:r>
      <w:r>
        <w:rPr>
          <w:rFonts w:ascii="Arial" w:cs="Arial" w:eastAsia="Arial" w:hAnsi="Arial"/>
          <w:sz w:val="16"/>
          <w:szCs w:val="16"/>
          <w:b w:val="1"/>
          <w:bCs w:val="1"/>
          <w:color w:val="auto"/>
        </w:rPr>
        <w:t xml:space="preserve"> </w:t>
      </w:r>
      <w:r>
        <w:rPr>
          <w:rFonts w:ascii="Arial" w:cs="Arial" w:eastAsia="Arial" w:hAnsi="Arial"/>
          <w:sz w:val="16"/>
          <w:szCs w:val="16"/>
          <w:color w:val="auto"/>
        </w:rPr>
        <w:t>4.4, and/or 4.5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64" w:lineRule="exact"/>
        <w:rPr>
          <w:sz w:val="20"/>
          <w:szCs w:val="20"/>
          <w:color w:val="auto"/>
        </w:rPr>
      </w:pPr>
    </w:p>
    <w:p>
      <w:pPr>
        <w:ind w:left="340" w:hanging="331"/>
        <w:spacing w:after="0"/>
        <w:tabs>
          <w:tab w:leader="none" w:pos="34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No Stockholder Rights Prior to Issuance</w:t>
      </w:r>
      <w:r>
        <w:rPr>
          <w:rFonts w:ascii="Arial" w:cs="Arial" w:eastAsia="Arial" w:hAnsi="Arial"/>
          <w:sz w:val="16"/>
          <w:szCs w:val="16"/>
          <w:color w:val="auto"/>
        </w:rPr>
        <w:t>.</w:t>
      </w:r>
    </w:p>
    <w:p>
      <w:pPr>
        <w:spacing w:after="0" w:line="21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w:t>
      </w:r>
    </w:p>
    <w:p>
      <w:pPr>
        <w:sectPr>
          <w:pgSz w:w="11900" w:h="16838" w:orient="portrait"/>
          <w:cols w:equalWidth="0" w:num="2">
            <w:col w:w="5400" w:space="440"/>
            <w:col w:w="5400"/>
          </w:cols>
          <w:pgMar w:left="320" w:top="341" w:right="339" w:bottom="1440" w:gutter="0" w:footer="0" w:header="0"/>
        </w:sectPr>
      </w:pPr>
    </w:p>
    <w:bookmarkStart w:id="51" w:name="page52"/>
    <w:bookmarkEnd w:id="51"/>
    <w:p>
      <w:pPr>
        <w:ind w:right="140"/>
        <w:spacing w:after="0" w:line="255" w:lineRule="auto"/>
        <w:rPr>
          <w:sz w:val="20"/>
          <w:szCs w:val="20"/>
          <w:color w:val="auto"/>
        </w:rPr>
      </w:pPr>
      <w:r>
        <w:rPr>
          <w:rFonts w:ascii="Arial" w:cs="Arial" w:eastAsia="Arial" w:hAnsi="Arial"/>
          <w:sz w:val="18"/>
          <w:szCs w:val="18"/>
          <w:color w:val="auto"/>
        </w:rPr>
        <w:t>Agreement with respect to Dividend Equivalents), with respect to any shares which may be issued in respect of the RPSRs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88"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8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RPSRs and the shares subject to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spacing w:after="0" w:line="133"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b w:val="1"/>
          <w:bCs w:val="1"/>
          <w:i w:val="1"/>
          <w:iCs w:val="1"/>
          <w:color w:val="auto"/>
        </w:rPr>
        <w:t>Possible Acceleration on Change in Control</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42"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the event the Grantee is entitled to payment in accordance with the foregoing provisions of this Section 6.2, then the Grantee will be eligible for payment of a number of RPSRs (and related Dividend Equivalents) determined in accordance with the following formula: (a) the Earnout Percentage determined in accordance</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Arial" w:cs="Arial" w:eastAsia="Arial" w:hAnsi="Arial"/>
          <w:sz w:val="17"/>
          <w:szCs w:val="17"/>
          <w:color w:val="auto"/>
        </w:rPr>
        <w:t>with Section 1 but calculated based on performance for the portion of the three-year Performance Period ending on the last day of the month coinciding with or immediately preceding the date of the termination of the Grantee’s employment, multiplied by (b) the target number of RPSRs subject to the award. Payment of any amount due under this Section 6.2 will be made within 60 days of the date of the termination of Grantee’s employment, but in no event later than March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the year following the Grantee’s termination of employment.</w:t>
      </w:r>
    </w:p>
    <w:p>
      <w:pPr>
        <w:spacing w:after="0" w:line="146"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i w:val="1"/>
          <w:iCs w:val="1"/>
          <w:color w:val="auto"/>
        </w:rPr>
        <w:t>Automatic Acceleration; Early Termination</w:t>
      </w:r>
      <w:r>
        <w:rPr>
          <w:rFonts w:ascii="Arial" w:cs="Arial" w:eastAsia="Arial" w:hAnsi="Arial"/>
          <w:sz w:val="17"/>
          <w:szCs w:val="17"/>
          <w:color w:val="auto"/>
        </w:rPr>
        <w:t>. If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14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the event the Grantee is entitled to a payment in accordance with the foregoing provisions of this Section 6.3,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 (b) the target number of RPSRs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w:t>
      </w:r>
    </w:p>
    <w:p>
      <w:pPr>
        <w:sectPr>
          <w:pgSz w:w="11900" w:h="16838" w:orient="portrait"/>
          <w:cols w:equalWidth="0" w:num="2">
            <w:col w:w="5360" w:space="480"/>
            <w:col w:w="5380"/>
          </w:cols>
          <w:pgMar w:left="320" w:top="341" w:right="35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t>entitled to payment in accordance with the foregoing provisions of this Section 6.3, then this Section 6.3 shall control as to the amount and timing of the payment of the award notwithstanding anything in Section 2.2 or 6.2 to the contrary. In the event of the Grantee’s Retirement pursuant to Section 2.2 prior to a Change in Control described in the first paragraph of this Section 6.3 in which the award is to be terminated, the Earnout Percentage shall no longer be based on the portion of the Performance Period otherwise considered for purposes of Section 2.2 but shall instead be calculated based on performance for the portion of the three-year Performance Period ending on the date of the Change in Control of the Company.</w:t>
      </w:r>
    </w:p>
    <w:p>
      <w:pPr>
        <w:spacing w:after="0" w:line="13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23" w:lineRule="exact"/>
        <w:rPr>
          <w:sz w:val="20"/>
          <w:szCs w:val="20"/>
          <w:color w:val="auto"/>
        </w:rPr>
      </w:pPr>
    </w:p>
    <w:p>
      <w:pPr>
        <w:jc w:val="both"/>
        <w:ind w:right="120" w:firstLine="405"/>
        <w:spacing w:after="0" w:line="289"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The Company will pay all federal and state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taxes, if any, and other fees and expenses in connection with the issuance of shares in connection with the vesting of the RPSRs.</w:t>
      </w:r>
    </w:p>
    <w:p>
      <w:pPr>
        <w:spacing w:after="0" w:line="117"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i w:val="1"/>
          <w:iCs w:val="1"/>
          <w:color w:val="auto"/>
        </w:rPr>
        <w:t>Compliance</w:t>
      </w:r>
      <w:r>
        <w:rPr>
          <w:rFonts w:ascii="Arial" w:cs="Arial" w:eastAsia="Arial" w:hAnsi="Arial"/>
          <w:sz w:val="18"/>
          <w:szCs w:val="18"/>
          <w:color w:val="auto"/>
        </w:rPr>
        <w:t>. This Agreement is designed to be exempt from</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409A, and the Committee shall administer and construe the award in such a way as to be exempt from and to avoid adverse tax consequences under Code Section 409A.</w:t>
      </w:r>
    </w:p>
    <w:p>
      <w:pPr>
        <w:spacing w:after="0" w:line="139"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i w:val="1"/>
          <w:iCs w:val="1"/>
          <w:color w:val="auto"/>
        </w:rPr>
        <w:t>Unfunded Arrangement</w:t>
      </w:r>
      <w:r>
        <w:rPr>
          <w:rFonts w:ascii="Arial" w:cs="Arial" w:eastAsia="Arial" w:hAnsi="Arial"/>
          <w:sz w:val="18"/>
          <w:szCs w:val="18"/>
          <w:color w:val="auto"/>
        </w:rPr>
        <w:t>. The right of the Grantee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7" w:lineRule="exact"/>
        <w:rPr>
          <w:sz w:val="20"/>
          <w:szCs w:val="20"/>
          <w:color w:val="auto"/>
        </w:rPr>
      </w:pPr>
    </w:p>
    <w:p>
      <w:pPr>
        <w:ind w:right="80" w:firstLine="405"/>
        <w:spacing w:after="0" w:line="266" w:lineRule="auto"/>
        <w:rPr>
          <w:sz w:val="20"/>
          <w:szCs w:val="20"/>
          <w:color w:val="auto"/>
        </w:rPr>
      </w:pPr>
      <w:r>
        <w:rPr>
          <w:rFonts w:ascii="Arial" w:cs="Arial" w:eastAsia="Arial" w:hAnsi="Arial"/>
          <w:sz w:val="18"/>
          <w:szCs w:val="18"/>
          <w:b w:val="1"/>
          <w:bCs w:val="1"/>
          <w:color w:val="auto"/>
        </w:rPr>
        <w:t xml:space="preserve">7.5 </w:t>
      </w:r>
      <w:r>
        <w:rPr>
          <w:rFonts w:ascii="Arial" w:cs="Arial" w:eastAsia="Arial" w:hAnsi="Arial"/>
          <w:sz w:val="18"/>
          <w:szCs w:val="18"/>
          <w:b w:val="1"/>
          <w:bCs w:val="1"/>
          <w:i w:val="1"/>
          <w:iCs w:val="1"/>
          <w:color w:val="auto"/>
        </w:rPr>
        <w:t>Code Section 280G</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the contrary, in the event that any amounts payable to you as a result of</w:t>
      </w:r>
    </w:p>
    <w:p>
      <w:pPr>
        <w:spacing w:after="0" w:line="35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29" w:lineRule="exact"/>
        <w:rPr>
          <w:sz w:val="20"/>
          <w:szCs w:val="20"/>
          <w:color w:val="auto"/>
        </w:rPr>
      </w:pPr>
    </w:p>
    <w:p>
      <w:pPr>
        <w:ind w:left="460" w:hanging="451"/>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189" w:lineRule="exact"/>
        <w:rPr>
          <w:sz w:val="20"/>
          <w:szCs w:val="20"/>
          <w:color w:val="auto"/>
        </w:rPr>
      </w:pPr>
    </w:p>
    <w:p>
      <w:pPr>
        <w:ind w:firstLine="392"/>
        <w:spacing w:after="0" w:line="268" w:lineRule="auto"/>
        <w:rPr>
          <w:sz w:val="20"/>
          <w:szCs w:val="20"/>
          <w:color w:val="auto"/>
        </w:rPr>
      </w:pPr>
      <w:r>
        <w:rPr>
          <w:rFonts w:ascii="Arial" w:cs="Arial" w:eastAsia="Arial" w:hAnsi="Arial"/>
          <w:sz w:val="17"/>
          <w:szCs w:val="17"/>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CTM H200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w:t>
      </w:r>
    </w:p>
    <w:p>
      <w:pPr>
        <w:sectPr>
          <w:pgSz w:w="11900" w:h="16838" w:orient="portrait"/>
          <w:cols w:equalWidth="0" w:num="2">
            <w:col w:w="5380" w:space="460"/>
            <w:col w:w="5400"/>
          </w:cols>
          <w:pgMar w:left="320" w:top="341" w:right="339" w:bottom="1440" w:gutter="0" w:footer="0" w:header="0"/>
        </w:sectPr>
      </w:pPr>
    </w:p>
    <w:bookmarkStart w:id="53" w:name="page54"/>
    <w:bookmarkEnd w:id="53"/>
    <w:p>
      <w:pPr>
        <w:ind w:right="140"/>
        <w:spacing w:after="0" w:line="308" w:lineRule="auto"/>
        <w:rPr>
          <w:sz w:val="20"/>
          <w:szCs w:val="20"/>
          <w:color w:val="auto"/>
        </w:rPr>
      </w:pPr>
      <w:r>
        <w:rPr>
          <w:rFonts w:ascii="Arial" w:cs="Arial" w:eastAsia="Arial" w:hAnsi="Arial"/>
          <w:sz w:val="17"/>
          <w:szCs w:val="17"/>
          <w:color w:val="auto"/>
        </w:rPr>
        <w:t>courts in the Commonwealth of Virginia and waive any right to object to such actions on grounds of venue, jurisdiction or convenience.</w:t>
      </w:r>
    </w:p>
    <w:p>
      <w:pPr>
        <w:spacing w:after="0" w:line="102"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5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RPSRs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24"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firstLine="391"/>
        <w:spacing w:after="0" w:line="267" w:lineRule="auto"/>
        <w:rPr>
          <w:sz w:val="20"/>
          <w:szCs w:val="20"/>
          <w:color w:val="auto"/>
        </w:rPr>
      </w:pPr>
      <w:r>
        <w:rPr>
          <w:rFonts w:ascii="Arial" w:cs="Arial" w:eastAsia="Arial" w:hAnsi="Arial"/>
          <w:sz w:val="17"/>
          <w:szCs w:val="17"/>
          <w:color w:val="auto"/>
        </w:rPr>
        <w:t>The holding requirements of this Section 11 shall apply to any Grantee who is an elected or appointed officer of the Company on the date any RPSRs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RPSRs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
        <w:spacing w:after="0" w:line="338" w:lineRule="auto"/>
        <w:rPr>
          <w:sz w:val="20"/>
          <w:szCs w:val="20"/>
          <w:color w:val="auto"/>
        </w:rPr>
      </w:pPr>
      <w:r>
        <w:rPr>
          <w:rFonts w:ascii="Arial" w:cs="Arial" w:eastAsia="Arial" w:hAnsi="Arial"/>
          <w:sz w:val="16"/>
          <w:szCs w:val="16"/>
          <w:color w:val="auto"/>
        </w:rPr>
        <w:t>confirms the Grantee (for positions requiring nomination and confirmation). Should the Grantee’s employment by the Company and its subsidiaries terminate (regardless of the reason for such termination, but other than due to the Grantee’s death or Disability or a Change in Control related termination under Section 6.2 or entering a U.S. federal government position), such holding period requirement shall not apply as to any shares acquired upon payment of RPSRs to the extent such payment is made more than one year after such termination of employment. (For purposes of clarity, in such circumstances the holding period requirement will apply as to any shares acquired upon payment of RPSRs within one year after such a termination of employment.) For purposes of this Section 11, the total payout of Vested RPSRs shall be determined on a net basis after taking into account any shares otherwise deliverable with respect to the award that the Company withholds to satisfy tax obligations pursuant to Section 7.1. If Grantee is paid less than 50% of the total payout of Vested RPSRs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360" w:lineRule="exact"/>
        <w:rPr>
          <w:sz w:val="20"/>
          <w:szCs w:val="20"/>
          <w:color w:val="auto"/>
        </w:rPr>
      </w:pPr>
    </w:p>
    <w:p>
      <w:pPr>
        <w:ind w:left="340" w:hanging="331"/>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pacing w:after="0" w:line="200" w:lineRule="exact"/>
        <w:rPr>
          <w:sz w:val="20"/>
          <w:szCs w:val="20"/>
          <w:color w:val="auto"/>
        </w:rPr>
      </w:pPr>
    </w:p>
    <w:p>
      <w:pPr>
        <w:ind w:left="580" w:right="100" w:hanging="328"/>
        <w:spacing w:after="0" w:line="301" w:lineRule="auto"/>
        <w:tabs>
          <w:tab w:leader="none" w:pos="56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6" w:lineRule="exact"/>
        <w:rPr>
          <w:rFonts w:ascii="Arial" w:cs="Arial" w:eastAsia="Arial" w:hAnsi="Arial"/>
          <w:sz w:val="16"/>
          <w:szCs w:val="16"/>
          <w:color w:val="auto"/>
        </w:rPr>
      </w:pPr>
    </w:p>
    <w:p>
      <w:pPr>
        <w:ind w:left="580" w:right="80" w:hanging="328"/>
        <w:spacing w:after="0" w:line="273" w:lineRule="auto"/>
        <w:tabs>
          <w:tab w:leader="none" w:pos="562"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ectPr>
          <w:pgSz w:w="11900" w:h="16838" w:orient="portrait"/>
          <w:cols w:equalWidth="0" w:num="2">
            <w:col w:w="5380" w:space="460"/>
            <w:col w:w="5400"/>
          </w:cols>
          <w:pgMar w:left="320" w:top="341" w:right="339" w:bottom="1440" w:gutter="0" w:footer="0" w:header="0"/>
        </w:sectPr>
      </w:pPr>
    </w:p>
    <w:bookmarkStart w:id="54" w:name="page55"/>
    <w:bookmarkEnd w:id="54"/>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8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right="18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20" w:lineRule="exact"/>
        <w:rPr>
          <w:sz w:val="20"/>
          <w:szCs w:val="20"/>
          <w:color w:val="auto"/>
        </w:rPr>
      </w:pPr>
    </w:p>
    <w:p>
      <w:pPr>
        <w:ind w:firstLine="3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Retirement</w:t>
      </w:r>
      <w:r>
        <w:rPr>
          <w:rFonts w:ascii="Arial" w:cs="Arial" w:eastAsia="Arial" w:hAnsi="Arial"/>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3" w:lineRule="exact"/>
        <w:rPr>
          <w:sz w:val="20"/>
          <w:szCs w:val="20"/>
          <w:color w:val="auto"/>
        </w:rPr>
      </w:pPr>
    </w:p>
    <w:p>
      <w:pPr>
        <w:ind w:right="80" w:firstLine="656"/>
        <w:spacing w:after="0" w:line="250" w:lineRule="auto"/>
        <w:tabs>
          <w:tab w:leader="none" w:pos="104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termination of employment after the Grantee has attained age 55 with at least 10 years of service.</w:t>
      </w:r>
    </w:p>
    <w:p>
      <w:pPr>
        <w:ind w:right="440" w:firstLine="656"/>
        <w:spacing w:after="0" w:line="250" w:lineRule="auto"/>
        <w:tabs>
          <w:tab w:leader="none" w:pos="104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 w:lineRule="exact"/>
        <w:rPr>
          <w:rFonts w:ascii="Arial" w:cs="Arial" w:eastAsia="Arial" w:hAnsi="Arial"/>
          <w:sz w:val="18"/>
          <w:szCs w:val="18"/>
          <w:color w:val="auto"/>
        </w:rPr>
      </w:pPr>
    </w:p>
    <w:p>
      <w:pPr>
        <w:ind w:firstLine="413"/>
        <w:spacing w:after="0" w:line="302" w:lineRule="auto"/>
        <w:tabs>
          <w:tab w:leader="none" w:pos="8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termination of employment by the Company or a subsidiary as part of a reduction in force and, at the time of such termination, the sum of the Grantee’s age and years of service is at least 75.</w:t>
      </w:r>
    </w:p>
    <w:p>
      <w:pPr>
        <w:spacing w:after="0" w:line="111"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9" w:lineRule="exact"/>
        <w:rPr>
          <w:sz w:val="20"/>
          <w:szCs w:val="20"/>
          <w:color w:val="auto"/>
        </w:rPr>
      </w:pPr>
    </w:p>
    <w:p>
      <w:pPr>
        <w:ind w:right="50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79" w:lineRule="exact"/>
        <w:rPr>
          <w:sz w:val="20"/>
          <w:szCs w:val="20"/>
          <w:color w:val="auto"/>
        </w:rPr>
      </w:pPr>
    </w:p>
    <w:p>
      <w:pPr>
        <w:ind w:left="580" w:right="160" w:hanging="329"/>
        <w:spacing w:after="0" w:line="277" w:lineRule="auto"/>
        <w:tabs>
          <w:tab w:leader="none" w:pos="5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and substantial reduction in the nature or status of the Grantee’s authorities or</w:t>
      </w:r>
    </w:p>
    <w:p>
      <w:pPr>
        <w:spacing w:after="0" w:line="34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ind w:left="328" w:right="140"/>
        <w:spacing w:after="0" w:line="287" w:lineRule="auto"/>
        <w:rPr>
          <w:sz w:val="20"/>
          <w:szCs w:val="20"/>
          <w:color w:val="auto"/>
        </w:rPr>
      </w:pPr>
      <w:r>
        <w:rPr>
          <w:rFonts w:ascii="Arial" w:cs="Arial" w:eastAsia="Arial" w:hAnsi="Arial"/>
          <w:sz w:val="16"/>
          <w:szCs w:val="16"/>
          <w:color w:val="auto"/>
        </w:rPr>
        <w:t>responsibilities (when such authorities and/or responsibilities are viewed in the aggregate) from their level in effect on the day immediately prior to the start of the Protected Period, other than</w:t>
      </w:r>
    </w:p>
    <w:p>
      <w:pPr>
        <w:spacing w:after="0" w:line="2" w:lineRule="exact"/>
        <w:rPr>
          <w:sz w:val="20"/>
          <w:szCs w:val="20"/>
          <w:color w:val="auto"/>
        </w:rPr>
      </w:pPr>
    </w:p>
    <w:p>
      <w:pPr>
        <w:ind w:left="328" w:right="40" w:hanging="4"/>
        <w:spacing w:after="0" w:line="284" w:lineRule="auto"/>
        <w:tabs>
          <w:tab w:leader="none" w:pos="623"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7" w:lineRule="exact"/>
        <w:rPr>
          <w:sz w:val="20"/>
          <w:szCs w:val="20"/>
          <w:color w:val="auto"/>
        </w:rPr>
      </w:pPr>
    </w:p>
    <w:p>
      <w:pPr>
        <w:ind w:left="328" w:firstLine="554"/>
        <w:spacing w:after="0" w:line="268" w:lineRule="auto"/>
        <w:rPr>
          <w:sz w:val="20"/>
          <w:szCs w:val="20"/>
          <w:color w:val="auto"/>
        </w:rPr>
      </w:pPr>
      <w:r>
        <w:rPr>
          <w:rFonts w:ascii="Arial" w:cs="Arial" w:eastAsia="Arial" w:hAnsi="Arial"/>
          <w:sz w:val="17"/>
          <w:szCs w:val="17"/>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44" w:lineRule="exact"/>
        <w:rPr>
          <w:sz w:val="20"/>
          <w:szCs w:val="20"/>
          <w:color w:val="auto"/>
        </w:rPr>
      </w:pPr>
    </w:p>
    <w:p>
      <w:pPr>
        <w:ind w:left="328" w:right="80" w:hanging="328"/>
        <w:spacing w:after="0" w:line="301" w:lineRule="auto"/>
        <w:tabs>
          <w:tab w:leader="none" w:pos="3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16" w:lineRule="exact"/>
        <w:rPr>
          <w:rFonts w:ascii="Arial" w:cs="Arial" w:eastAsia="Arial" w:hAnsi="Arial"/>
          <w:sz w:val="16"/>
          <w:szCs w:val="16"/>
          <w:color w:val="auto"/>
        </w:rPr>
      </w:pPr>
    </w:p>
    <w:p>
      <w:pPr>
        <w:ind w:left="328" w:right="120" w:hanging="328"/>
        <w:spacing w:after="0" w:line="275" w:lineRule="auto"/>
        <w:tabs>
          <w:tab w:leader="none" w:pos="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w:t>
      </w:r>
    </w:p>
    <w:p>
      <w:pPr>
        <w:sectPr>
          <w:pgSz w:w="11900" w:h="16838" w:orient="portrait"/>
          <w:cols w:equalWidth="0" w:num="2">
            <w:col w:w="5380" w:space="712"/>
            <w:col w:w="5128"/>
          </w:cols>
          <w:pgMar w:left="320" w:top="337" w:right="359" w:bottom="1440" w:gutter="0" w:footer="0" w:header="0"/>
        </w:sectPr>
      </w:pPr>
    </w:p>
    <w:bookmarkStart w:id="55" w:name="page56"/>
    <w:bookmarkEnd w:id="55"/>
    <w:p>
      <w:pPr>
        <w:ind w:left="580" w:right="40"/>
        <w:spacing w:after="0" w:line="272" w:lineRule="auto"/>
        <w:rPr>
          <w:sz w:val="20"/>
          <w:szCs w:val="20"/>
          <w:color w:val="auto"/>
        </w:rPr>
      </w:pPr>
      <w:r>
        <w:rPr>
          <w:rFonts w:ascii="Arial" w:cs="Arial" w:eastAsia="Arial" w:hAnsi="Arial"/>
          <w:sz w:val="17"/>
          <w:szCs w:val="17"/>
          <w:color w:val="auto"/>
        </w:rPr>
        <w:t>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37" w:lineRule="exact"/>
        <w:rPr>
          <w:sz w:val="20"/>
          <w:szCs w:val="20"/>
          <w:color w:val="auto"/>
        </w:rPr>
      </w:pPr>
    </w:p>
    <w:p>
      <w:pPr>
        <w:ind w:left="580" w:right="100" w:hanging="329"/>
        <w:spacing w:after="0" w:line="269" w:lineRule="auto"/>
        <w:tabs>
          <w:tab w:leader="none" w:pos="562"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44" w:lineRule="exact"/>
        <w:rPr>
          <w:rFonts w:ascii="Arial" w:cs="Arial" w:eastAsia="Arial" w:hAnsi="Arial"/>
          <w:sz w:val="17"/>
          <w:szCs w:val="17"/>
          <w:color w:val="auto"/>
        </w:rPr>
      </w:pPr>
    </w:p>
    <w:p>
      <w:pPr>
        <w:ind w:left="580" w:right="120" w:hanging="329"/>
        <w:spacing w:after="0" w:line="253" w:lineRule="auto"/>
        <w:tabs>
          <w:tab w:leader="none" w:pos="5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5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3"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Service Retirement</w:t>
      </w:r>
      <w:r>
        <w:rPr>
          <w:rFonts w:ascii="Arial" w:cs="Arial" w:eastAsia="Arial" w:hAnsi="Arial"/>
          <w:sz w:val="18"/>
          <w:szCs w:val="18"/>
          <w:color w:val="auto"/>
        </w:rPr>
        <w:t>” means a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43"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b w:val="1"/>
          <w:bCs w:val="1"/>
          <w:color w:val="auto"/>
        </w:rPr>
        <w:t>“Normal Retirement</w:t>
      </w:r>
      <w:r>
        <w:rPr>
          <w:rFonts w:ascii="Arial" w:cs="Arial" w:eastAsia="Arial" w:hAnsi="Arial"/>
          <w:sz w:val="18"/>
          <w:szCs w:val="18"/>
          <w:color w:val="auto"/>
        </w:rPr>
        <w:t>” means that the Grantee terminates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after attaining age 65 with at least 10 years of service (other than in connection with a termination by the Company or a subsidiary for Cause). In the case of a Grantee who is an officer of the Company subject to the Company’s mandatory</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color w:val="auto"/>
        </w:rPr>
        <w:t>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26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21" w:lineRule="exact"/>
        <w:rPr>
          <w:sz w:val="20"/>
          <w:szCs w:val="20"/>
          <w:color w:val="auto"/>
        </w:rPr>
      </w:pPr>
    </w:p>
    <w:p>
      <w:pPr>
        <w:ind w:right="120"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39" w:lineRule="exact"/>
        <w:rPr>
          <w:sz w:val="20"/>
          <w:szCs w:val="20"/>
          <w:color w:val="auto"/>
        </w:rPr>
      </w:pPr>
    </w:p>
    <w:p>
      <w:pPr>
        <w:ind w:left="580" w:hanging="328"/>
        <w:spacing w:after="0" w:line="291" w:lineRule="auto"/>
        <w:tabs>
          <w:tab w:leader="none" w:pos="5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25" w:lineRule="exact"/>
        <w:rPr>
          <w:rFonts w:ascii="Arial" w:cs="Arial" w:eastAsia="Arial" w:hAnsi="Arial"/>
          <w:sz w:val="16"/>
          <w:szCs w:val="16"/>
          <w:color w:val="auto"/>
        </w:rPr>
      </w:pPr>
    </w:p>
    <w:p>
      <w:pPr>
        <w:ind w:left="580" w:hanging="328"/>
        <w:spacing w:after="0" w:line="290" w:lineRule="auto"/>
        <w:tabs>
          <w:tab w:leader="none" w:pos="5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4" w:lineRule="exact"/>
        <w:rPr>
          <w:rFonts w:ascii="Arial" w:cs="Arial" w:eastAsia="Arial" w:hAnsi="Arial"/>
          <w:sz w:val="16"/>
          <w:szCs w:val="16"/>
          <w:color w:val="auto"/>
        </w:rPr>
      </w:pPr>
    </w:p>
    <w:p>
      <w:pPr>
        <w:ind w:left="560" w:hanging="308"/>
        <w:spacing w:after="0"/>
        <w:tabs>
          <w:tab w:leader="none" w:pos="5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w:t>
      </w:r>
    </w:p>
    <w:p>
      <w:pPr>
        <w:spacing w:after="0" w:line="46" w:lineRule="exact"/>
        <w:rPr>
          <w:rFonts w:ascii="Arial" w:cs="Arial" w:eastAsia="Arial" w:hAnsi="Arial"/>
          <w:sz w:val="16"/>
          <w:szCs w:val="16"/>
          <w:color w:val="auto"/>
        </w:rPr>
      </w:pPr>
    </w:p>
    <w:p>
      <w:pPr>
        <w:ind w:left="580" w:right="60"/>
        <w:spacing w:after="0" w:line="302" w:lineRule="auto"/>
        <w:tabs>
          <w:tab w:leader="none" w:pos="845" w:val="left"/>
        </w:tabs>
        <w:numPr>
          <w:ilvl w:val="1"/>
          <w:numId w:val="70"/>
        </w:numPr>
        <w:rPr>
          <w:rFonts w:ascii="Arial" w:cs="Arial" w:eastAsia="Arial" w:hAnsi="Arial"/>
          <w:sz w:val="16"/>
          <w:szCs w:val="16"/>
          <w:color w:val="auto"/>
        </w:rPr>
      </w:pPr>
      <w:r>
        <w:rPr>
          <w:rFonts w:ascii="Arial" w:cs="Arial" w:eastAsia="Arial" w:hAnsi="Arial"/>
          <w:sz w:val="16"/>
          <w:szCs w:val="16"/>
          <w:color w:val="auto"/>
        </w:rPr>
        <w:t>above, the Protected Period shall commence on the date that is six (6) months prior to the Change in Control and shall continue through and include the date of the Change in Control.</w:t>
      </w:r>
    </w:p>
    <w:p>
      <w:pPr>
        <w:spacing w:after="0" w:line="111" w:lineRule="exact"/>
        <w:rPr>
          <w:sz w:val="20"/>
          <w:szCs w:val="20"/>
          <w:color w:val="auto"/>
        </w:rPr>
      </w:pPr>
    </w:p>
    <w:p>
      <w:pPr>
        <w:ind w:right="20" w:firstLine="405"/>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means the person acquiring a Grantee’s rights to a grant under the Plan by will or by the laws of descent or distribution.</w:t>
      </w:r>
    </w:p>
    <w:p>
      <w:pPr>
        <w:sectPr>
          <w:pgSz w:w="11900" w:h="16838" w:orient="portrait"/>
          <w:cols w:equalWidth="0" w:num="2">
            <w:col w:w="5400" w:space="440"/>
            <w:col w:w="5400"/>
          </w:cols>
          <w:pgMar w:left="320" w:top="341" w:right="33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32"/>
          <w:szCs w:val="32"/>
          <w:b w:val="1"/>
          <w:bCs w:val="1"/>
          <w:color w:val="auto"/>
        </w:rPr>
        <w:t>NORTHROP GRUMMAN CORPORATION</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2020 RESTRICTED STOCK RIGHTS GRANT AGREEMENT</w:t>
      </w:r>
    </w:p>
    <w:p>
      <w:pPr>
        <w:spacing w:after="0" w:line="2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This 2020 Restricted Stock Rights Grant Agreement (“Agreement”) applies to certain special retention “Restricted Stock Rights” (“RSRs”) granted by Northrop Grumman Corporation (the “Company”) in 2020 under its 2011 Long-Term Incentive Stock Plan.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this 2020 RSR award identified in your Grant Letter, and you are subject to this Agreement upon accepting your grant. You are referred to as the “Grantee” with respect to your award. Capitalized terms are generally defined in Section 12 below if not otherwise defined herein.</w:t>
      </w:r>
    </w:p>
    <w:p>
      <w:pPr>
        <w:spacing w:after="0" w:line="15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940" w:val="left"/>
        </w:tabs>
        <w:rPr>
          <w:sz w:val="20"/>
          <w:szCs w:val="20"/>
          <w:color w:val="auto"/>
        </w:rPr>
      </w:pPr>
      <w:r>
        <w:rPr>
          <w:rFonts w:ascii="Arial" w:cs="Arial" w:eastAsia="Arial" w:hAnsi="Arial"/>
          <w:sz w:val="14"/>
          <w:szCs w:val="14"/>
          <w:color w:val="auto"/>
        </w:rPr>
        <w:t>ELT – Special RSR 2.12.2020</w:t>
      </w:r>
      <w:r>
        <w:rPr>
          <w:sz w:val="20"/>
          <w:szCs w:val="20"/>
          <w:color w:val="auto"/>
        </w:rPr>
        <w:tab/>
      </w:r>
      <w:r>
        <w:rPr>
          <w:rFonts w:ascii="Arial" w:cs="Arial" w:eastAsia="Arial" w:hAnsi="Arial"/>
          <w:sz w:val="17"/>
          <w:szCs w:val="17"/>
          <w:color w:val="auto"/>
        </w:rPr>
        <w:t>1</w:t>
      </w:r>
    </w:p>
    <w:p>
      <w:pPr>
        <w:sectPr>
          <w:pgSz w:w="11900" w:h="16838" w:orient="portrait"/>
          <w:cols w:equalWidth="0" w:num="1">
            <w:col w:w="11220"/>
          </w:cols>
          <w:pgMar w:left="320" w:top="328" w:right="359" w:bottom="1440" w:gutter="0" w:footer="0" w:header="0"/>
        </w:sectPr>
      </w:pPr>
    </w:p>
    <w:bookmarkStart w:id="57" w:name="page58"/>
    <w:bookmarkEnd w:id="57"/>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8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Subject to Sections 2, 3, 4 and 6 below, one hundred percent (100%) of the number of RSRs (and any Dividend Equivalents (as defined below)) subject to your award (subject to adjustment as provided in Section 6.1) shall vest on December 31, 2021.</w:t>
      </w:r>
    </w:p>
    <w:p>
      <w:pPr>
        <w:spacing w:after="0" w:line="14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b w:val="1"/>
          <w:bCs w:val="1"/>
          <w:i w:val="1"/>
          <w:iCs w:val="1"/>
          <w:color w:val="auto"/>
        </w:rPr>
        <w:t>Payment of RSRs</w:t>
      </w:r>
      <w:r>
        <w:rPr>
          <w:rFonts w:ascii="Arial" w:cs="Arial" w:eastAsia="Arial" w:hAnsi="Arial"/>
          <w:sz w:val="17"/>
          <w:szCs w:val="17"/>
          <w:color w:val="auto"/>
        </w:rPr>
        <w:t>. Except as otherwise provided below,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pay an RSR subject to the award that vests (“Vested RSR”) (and related Dividend Equivalents) within 60 days following the vesting of the RSR on December 31, 2021.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36"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Grantee shall be entitled to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Dividend Equivalents (if any) with respect to any Vested RSRs. For purposes of this Agreement, “Dividend Equivalents” means the aggregate amount of dividends paid by the Company on a number of shares of Common Stock equivalent to the number of Vested RSRs during the period from the Grant date until the date the Vested RSRs are paid (without interest or other adjustments to reflect the time value of money). Dividend Equivalents (if any) will be paid at the same time as the Vested RSRs to which they relate are paid. Dividend Equivalents will be paid in cash.</w:t>
      </w:r>
    </w:p>
    <w:p>
      <w:pPr>
        <w:spacing w:after="0" w:line="136"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Termination of Award; Termination of Employment</w:t>
      </w:r>
      <w:r>
        <w:rPr>
          <w:rFonts w:ascii="Arial" w:cs="Arial" w:eastAsia="Arial" w:hAnsi="Arial"/>
          <w:sz w:val="18"/>
          <w:szCs w:val="18"/>
          <w:color w:val="auto"/>
        </w:rPr>
        <w:t>.</w:t>
      </w:r>
    </w:p>
    <w:p>
      <w:pPr>
        <w:spacing w:after="0" w:line="185" w:lineRule="exact"/>
        <w:rPr>
          <w:sz w:val="20"/>
          <w:szCs w:val="20"/>
          <w:color w:val="auto"/>
        </w:rPr>
      </w:pPr>
    </w:p>
    <w:p>
      <w:pPr>
        <w:ind w:right="40" w:firstLine="405"/>
        <w:spacing w:after="0" w:line="294"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i w:val="1"/>
          <w:iCs w:val="1"/>
          <w:color w:val="auto"/>
        </w:rPr>
        <w:t>General</w:t>
      </w:r>
      <w:r>
        <w:rPr>
          <w:rFonts w:ascii="Arial" w:cs="Arial" w:eastAsia="Arial" w:hAnsi="Arial"/>
          <w:sz w:val="16"/>
          <w:szCs w:val="16"/>
          <w:color w:val="auto"/>
        </w:rPr>
        <w:t>. The RSRs (and related Dividend Equivalents)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award, to the extent not previously vested, shall terminate and become null and void if and when (a) the award terminates in connection with a Change in Control pursuant to Section 6 below, or (b) except as provided in Sections 2.6 and in Section 6, the Grantee ceases for any reason to be an employee of the Company or one of its subsidiaries.</w:t>
      </w:r>
    </w:p>
    <w:p>
      <w:pPr>
        <w:spacing w:after="0" w:line="119"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Leave of Absence</w:t>
      </w:r>
      <w:r>
        <w:rPr>
          <w:rFonts w:ascii="Arial" w:cs="Arial" w:eastAsia="Arial" w:hAnsi="Arial"/>
          <w:sz w:val="16"/>
          <w:szCs w:val="16"/>
          <w:color w:val="auto"/>
        </w:rPr>
        <w:t>. Unless the Committee otherwise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return to active employment upon the expiration of such approved leave or if the Grantee commences a leave that is not approved by the Company.</w:t>
      </w:r>
    </w:p>
    <w:p>
      <w:pPr>
        <w:spacing w:after="0" w:line="79"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2.2 above,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as used herein means active employment by the Company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20"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w:t>
      </w:r>
    </w:p>
    <w:p>
      <w:pPr>
        <w:spacing w:after="0" w:line="126" w:lineRule="exact"/>
        <w:rPr>
          <w:sz w:val="20"/>
          <w:szCs w:val="20"/>
          <w:color w:val="auto"/>
        </w:rPr>
      </w:pPr>
    </w:p>
    <w:p>
      <w:pPr>
        <w:ind w:right="160" w:firstLine="405"/>
        <w:spacing w:after="0" w:line="286"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2.6 and in Section 6, the vesting of the RSRs (and related Dividend Equivalents) subject to the award requires continued employment through December 31, 2021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24"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i w:val="1"/>
          <w:iCs w:val="1"/>
          <w:color w:val="auto"/>
        </w:rPr>
        <w:t>Death or Disability</w:t>
      </w:r>
      <w:r>
        <w:rPr>
          <w:rFonts w:ascii="Arial" w:cs="Arial" w:eastAsia="Arial" w:hAnsi="Arial"/>
          <w:sz w:val="18"/>
          <w:szCs w:val="18"/>
          <w:color w:val="auto"/>
        </w:rPr>
        <w:t>. If the Grantee dies or incurs a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while employed by the Company or a subsidiary and such death or Disability occurs more than six months after the Grant Date, the outstanding and</w:t>
      </w:r>
    </w:p>
    <w:p>
      <w:pPr>
        <w:sectPr>
          <w:pgSz w:w="11900" w:h="16838" w:orient="portrait"/>
          <w:cols w:equalWidth="0" w:num="2">
            <w:col w:w="5400" w:space="440"/>
            <w:col w:w="5380"/>
          </w:cols>
          <w:pgMar w:left="320" w:top="337" w:right="359" w:bottom="1440" w:gutter="0" w:footer="0" w:header="0"/>
        </w:sectPr>
      </w:pPr>
    </w:p>
    <w:bookmarkStart w:id="58" w:name="page59"/>
    <w:bookmarkEnd w:id="58"/>
    <w:p>
      <w:pPr>
        <w:spacing w:after="0" w:line="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41"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i w:val="1"/>
          <w:iCs w:val="1"/>
          <w:color w:val="auto"/>
        </w:rPr>
        <w:t>Non-Transferability</w:t>
      </w:r>
      <w:r>
        <w:rPr>
          <w:rFonts w:ascii="Arial" w:cs="Arial" w:eastAsia="Arial" w:hAnsi="Arial"/>
          <w:sz w:val="17"/>
          <w:szCs w:val="17"/>
          <w:color w:val="auto"/>
        </w:rPr>
        <w:t>. The award, as well as the RSRs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38"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i w:val="1"/>
          <w:iCs w:val="1"/>
          <w:color w:val="auto"/>
        </w:rPr>
        <w:t>Forfeiture or Recoupment of Awards</w:t>
      </w:r>
      <w:r>
        <w:rPr>
          <w:rFonts w:ascii="Arial" w:cs="Arial" w:eastAsia="Arial" w:hAnsi="Arial"/>
          <w:sz w:val="17"/>
          <w:szCs w:val="17"/>
          <w:color w:val="auto"/>
        </w:rPr>
        <w:t>. If, prior to payment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35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460" w:hanging="451"/>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18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i w:val="1"/>
          <w:iCs w:val="1"/>
          <w:color w:val="auto"/>
        </w:rPr>
        <w:t>Executive Leadership Team Contribution.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w:t>
      </w:r>
    </w:p>
    <w:p>
      <w:pPr>
        <w:spacing w:after="0" w:line="393"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Non-Competition</w:t>
      </w:r>
      <w:r>
        <w:rPr>
          <w:rFonts w:ascii="Arial" w:cs="Arial" w:eastAsia="Arial" w:hAnsi="Arial"/>
          <w:sz w:val="16"/>
          <w:szCs w:val="16"/>
          <w:color w:val="auto"/>
        </w:rPr>
        <w:t>. For a period of twelve (12) months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spacing w:after="0" w:line="168" w:lineRule="exact"/>
        <w:rPr>
          <w:sz w:val="20"/>
          <w:szCs w:val="20"/>
          <w:color w:val="auto"/>
        </w:rPr>
      </w:pPr>
    </w:p>
    <w:p>
      <w:pPr>
        <w:ind w:right="20" w:firstLine="405"/>
        <w:spacing w:after="0" w:line="281"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engaged, or about whom you received confidential,</w:t>
      </w:r>
    </w:p>
    <w:p>
      <w:pPr>
        <w:sectPr>
          <w:pgSz w:w="11900" w:h="16838" w:orient="portrait"/>
          <w:cols w:equalWidth="0" w:num="2">
            <w:col w:w="5380" w:space="460"/>
            <w:col w:w="5400"/>
          </w:cols>
          <w:pgMar w:left="320" w:top="337" w:right="339" w:bottom="1440" w:gutter="0" w:footer="0" w:header="0"/>
        </w:sectPr>
      </w:pPr>
    </w:p>
    <w:bookmarkStart w:id="59" w:name="page60"/>
    <w:bookmarkEnd w:id="59"/>
    <w:p>
      <w:pPr>
        <w:spacing w:after="0" w:line="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20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i w:val="1"/>
          <w:iCs w:val="1"/>
          <w:color w:val="auto"/>
        </w:rPr>
        <w:t>Non-Solicitation of Employees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of twenty-four</w:t>
      </w:r>
    </w:p>
    <w:p>
      <w:pPr>
        <w:spacing w:after="0" w:line="27" w:lineRule="exact"/>
        <w:rPr>
          <w:sz w:val="20"/>
          <w:szCs w:val="20"/>
          <w:color w:val="auto"/>
        </w:rPr>
      </w:pPr>
    </w:p>
    <w:p>
      <w:pPr>
        <w:ind w:firstLine="8"/>
        <w:spacing w:after="0" w:line="271" w:lineRule="auto"/>
        <w:tabs>
          <w:tab w:leader="none" w:pos="3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20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i w:val="1"/>
          <w:iCs w:val="1"/>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not issue or communicate any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189" w:lineRule="exact"/>
        <w:rPr>
          <w:sz w:val="20"/>
          <w:szCs w:val="20"/>
          <w:color w:val="auto"/>
        </w:rPr>
      </w:pPr>
    </w:p>
    <w:p>
      <w:pPr>
        <w:ind w:right="40" w:firstLine="405"/>
        <w:spacing w:after="0" w:line="303"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i w:val="1"/>
          <w:iCs w:val="1"/>
          <w:color w:val="auto"/>
        </w:rPr>
        <w:t>Exceptions.</w:t>
      </w:r>
      <w:r>
        <w:rPr>
          <w:rFonts w:ascii="Arial" w:cs="Arial" w:eastAsia="Arial" w:hAnsi="Arial"/>
          <w:sz w:val="16"/>
          <w:szCs w:val="16"/>
          <w:b w:val="1"/>
          <w:bCs w:val="1"/>
          <w:color w:val="auto"/>
        </w:rPr>
        <w:t xml:space="preserve"> </w:t>
      </w:r>
      <w:r>
        <w:rPr>
          <w:rFonts w:ascii="Arial" w:cs="Arial" w:eastAsia="Arial" w:hAnsi="Arial"/>
          <w:sz w:val="16"/>
          <w:szCs w:val="16"/>
          <w:color w:val="auto"/>
        </w:rPr>
        <w:t>You may request an exception to the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in Sections 4.2, 4.3, or 4.4 by making a written request to the Company’s Chief Human Resources Officer, with such exceptions being considered at the sole discretion of the Company and communicated in writing to you.</w:t>
      </w:r>
    </w:p>
    <w:p>
      <w:pPr>
        <w:spacing w:after="0" w:line="178"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i w:val="1"/>
          <w:iCs w:val="1"/>
          <w:color w:val="auto"/>
        </w:rPr>
        <w:t>Reasonableness.</w:t>
      </w:r>
      <w:r>
        <w:rPr>
          <w:rFonts w:ascii="Arial" w:cs="Arial" w:eastAsia="Arial" w:hAnsi="Arial"/>
          <w:sz w:val="17"/>
          <w:szCs w:val="17"/>
          <w:b w:val="1"/>
          <w:bCs w:val="1"/>
          <w:color w:val="auto"/>
        </w:rPr>
        <w:t xml:space="preserve"> </w:t>
      </w:r>
      <w:r>
        <w:rPr>
          <w:rFonts w:ascii="Arial" w:cs="Arial" w:eastAsia="Arial" w:hAnsi="Arial"/>
          <w:sz w:val="17"/>
          <w:szCs w:val="17"/>
          <w:color w:val="auto"/>
        </w:rPr>
        <w:t>You agree that the restrictions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Sections 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firstLine="405"/>
        <w:spacing w:after="0" w:line="287" w:lineRule="auto"/>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i w:val="1"/>
          <w:iCs w:val="1"/>
          <w:color w:val="auto"/>
        </w:rPr>
        <w:t>Remedies</w:t>
      </w:r>
      <w:r>
        <w:rPr>
          <w:rFonts w:ascii="Arial" w:cs="Arial" w:eastAsia="Arial" w:hAnsi="Arial"/>
          <w:sz w:val="16"/>
          <w:szCs w:val="16"/>
          <w:color w:val="auto"/>
        </w:rPr>
        <w:t>. If you violate any provision in Section 4.2, 4.3,</w:t>
      </w:r>
      <w:r>
        <w:rPr>
          <w:rFonts w:ascii="Arial" w:cs="Arial" w:eastAsia="Arial" w:hAnsi="Arial"/>
          <w:sz w:val="16"/>
          <w:szCs w:val="16"/>
          <w:b w:val="1"/>
          <w:bCs w:val="1"/>
          <w:color w:val="auto"/>
        </w:rPr>
        <w:t xml:space="preserve"> </w:t>
      </w:r>
      <w:r>
        <w:rPr>
          <w:rFonts w:ascii="Arial" w:cs="Arial" w:eastAsia="Arial" w:hAnsi="Arial"/>
          <w:sz w:val="16"/>
          <w:szCs w:val="16"/>
          <w:color w:val="auto"/>
        </w:rPr>
        <w:t>4.4 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64" w:lineRule="exact"/>
        <w:rPr>
          <w:sz w:val="20"/>
          <w:szCs w:val="20"/>
          <w:color w:val="auto"/>
        </w:rPr>
      </w:pPr>
    </w:p>
    <w:p>
      <w:pPr>
        <w:ind w:left="340" w:hanging="331"/>
        <w:spacing w:after="0"/>
        <w:tabs>
          <w:tab w:leader="none" w:pos="34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Laws; No Stockholder Rights Prior to Issuance</w:t>
      </w:r>
      <w:r>
        <w:rPr>
          <w:rFonts w:ascii="Arial" w:cs="Arial" w:eastAsia="Arial" w:hAnsi="Arial"/>
          <w:sz w:val="16"/>
          <w:szCs w:val="16"/>
          <w:color w:val="auto"/>
        </w:rPr>
        <w:t>.</w:t>
      </w:r>
    </w:p>
    <w:p>
      <w:pPr>
        <w:spacing w:after="0" w:line="21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42" w:lineRule="exact"/>
        <w:rPr>
          <w:sz w:val="20"/>
          <w:szCs w:val="20"/>
          <w:color w:val="auto"/>
        </w:rPr>
      </w:pPr>
    </w:p>
    <w:p>
      <w:pPr>
        <w:ind w:left="340" w:hanging="331"/>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95" w:lineRule="exact"/>
        <w:rPr>
          <w:sz w:val="20"/>
          <w:szCs w:val="20"/>
          <w:color w:val="auto"/>
        </w:rPr>
      </w:pPr>
    </w:p>
    <w:p>
      <w:pPr>
        <w:ind w:right="60" w:firstLine="324"/>
        <w:spacing w:after="0" w:line="28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RSRs, Dividend Equivalents, and the shares</w:t>
      </w:r>
      <w:r>
        <w:rPr>
          <w:rFonts w:ascii="Arial" w:cs="Arial" w:eastAsia="Arial" w:hAnsi="Arial"/>
          <w:sz w:val="22"/>
          <w:szCs w:val="22"/>
          <w:color w:val="auto"/>
        </w:rPr>
        <w:t xml:space="preserve"> </w:t>
      </w:r>
      <w:r>
        <w:rPr>
          <w:rFonts w:ascii="Arial" w:cs="Arial" w:eastAsia="Arial" w:hAnsi="Arial"/>
          <w:sz w:val="17"/>
          <w:szCs w:val="17"/>
          <w:color w:val="auto"/>
        </w:rPr>
        <w:t>subject to the award are subject to adjustment upon the occurrence of events such as stock splits, stock dividends and other changes in capitalization in accordance with Section 6(a) of the Plan.</w:t>
      </w:r>
    </w:p>
    <w:p>
      <w:pPr>
        <w:spacing w:after="0" w:line="146" w:lineRule="exact"/>
        <w:rPr>
          <w:sz w:val="20"/>
          <w:szCs w:val="20"/>
          <w:color w:val="auto"/>
        </w:rPr>
      </w:pPr>
    </w:p>
    <w:p>
      <w:pPr>
        <w:ind w:firstLine="324"/>
        <w:spacing w:after="0" w:line="29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17"/>
          <w:szCs w:val="17"/>
          <w:b w:val="1"/>
          <w:bCs w:val="1"/>
          <w:i w:val="1"/>
          <w:iCs w:val="1"/>
          <w:color w:val="auto"/>
        </w:rPr>
        <w:t>Possible Acceleration on Change in Control</w:t>
      </w:r>
      <w:r>
        <w:rPr>
          <w:rFonts w:ascii="Arial" w:cs="Arial" w:eastAsia="Arial" w:hAnsi="Arial"/>
          <w:sz w:val="17"/>
          <w:szCs w:val="17"/>
          <w:color w:val="auto"/>
        </w:rPr>
        <w:t>. Notwithstanding</w:t>
      </w:r>
      <w:r>
        <w:rPr>
          <w:rFonts w:ascii="Arial" w:cs="Arial" w:eastAsia="Arial" w:hAnsi="Arial"/>
          <w:sz w:val="22"/>
          <w:szCs w:val="22"/>
          <w:color w:val="auto"/>
        </w:rPr>
        <w:t xml:space="preserve"> </w:t>
      </w:r>
      <w:r>
        <w:rPr>
          <w:rFonts w:ascii="Arial" w:cs="Arial" w:eastAsia="Arial" w:hAnsi="Arial"/>
          <w:sz w:val="17"/>
          <w:szCs w:val="17"/>
          <w:color w:val="auto"/>
        </w:rPr>
        <w:t>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w:t>
      </w:r>
    </w:p>
    <w:p>
      <w:pPr>
        <w:sectPr>
          <w:pgSz w:w="11900" w:h="16838" w:orient="portrait"/>
          <w:cols w:equalWidth="0" w:num="2">
            <w:col w:w="5400" w:space="440"/>
            <w:col w:w="5400"/>
          </w:cols>
          <w:pgMar w:left="320" w:top="337" w:right="339" w:bottom="1440" w:gutter="0" w:footer="0" w:header="0"/>
        </w:sectPr>
      </w:pPr>
    </w:p>
    <w:bookmarkStart w:id="60" w:name="page61"/>
    <w:bookmarkEnd w:id="60"/>
    <w:p>
      <w:pPr>
        <w:ind w:right="140"/>
        <w:spacing w:after="0" w:line="273" w:lineRule="auto"/>
        <w:rPr>
          <w:sz w:val="20"/>
          <w:szCs w:val="20"/>
          <w:color w:val="auto"/>
        </w:rPr>
      </w:pPr>
      <w:r>
        <w:rPr>
          <w:rFonts w:ascii="Arial" w:cs="Arial" w:eastAsia="Arial" w:hAnsi="Arial"/>
          <w:sz w:val="17"/>
          <w:szCs w:val="17"/>
          <w:color w:val="auto"/>
        </w:rPr>
        <w:t>employment if,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3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26"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Payment of any RSRs (and related Dividend Equivalents) that vest under this Section 6.2 will be made within 60 days of the termination of the Grantee’s employment.</w:t>
      </w:r>
    </w:p>
    <w:p>
      <w:pPr>
        <w:spacing w:after="0" w:line="149" w:lineRule="exact"/>
        <w:rPr>
          <w:sz w:val="20"/>
          <w:szCs w:val="20"/>
          <w:color w:val="auto"/>
        </w:rPr>
      </w:pPr>
    </w:p>
    <w:p>
      <w:pPr>
        <w:ind w:firstLine="324"/>
        <w:spacing w:after="0" w:line="329" w:lineRule="auto"/>
        <w:rPr>
          <w:sz w:val="20"/>
          <w:szCs w:val="20"/>
          <w:color w:val="auto"/>
        </w:rPr>
      </w:pPr>
      <w:r>
        <w:rPr>
          <w:rFonts w:ascii="Arial" w:cs="Arial" w:eastAsia="Arial" w:hAnsi="Arial"/>
          <w:sz w:val="21"/>
          <w:szCs w:val="21"/>
          <w:color w:val="auto"/>
        </w:rPr>
        <w:t xml:space="preserve">6.3. </w:t>
      </w: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color w:val="auto"/>
        </w:rPr>
        <w:t>If the Company</w:t>
      </w:r>
      <w:r>
        <w:rPr>
          <w:rFonts w:ascii="Arial" w:cs="Arial" w:eastAsia="Arial" w:hAnsi="Arial"/>
          <w:sz w:val="21"/>
          <w:szCs w:val="21"/>
          <w:color w:val="auto"/>
        </w:rPr>
        <w:t xml:space="preserve"> </w:t>
      </w:r>
      <w:r>
        <w:rPr>
          <w:rFonts w:ascii="Arial" w:cs="Arial" w:eastAsia="Arial" w:hAnsi="Arial"/>
          <w:sz w:val="16"/>
          <w:szCs w:val="16"/>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right="140" w:firstLine="405"/>
        <w:spacing w:after="0" w:line="263" w:lineRule="auto"/>
        <w:rPr>
          <w:sz w:val="20"/>
          <w:szCs w:val="20"/>
          <w:color w:val="auto"/>
        </w:rPr>
      </w:pPr>
      <w:r>
        <w:rPr>
          <w:rFonts w:ascii="Arial" w:cs="Arial" w:eastAsia="Arial" w:hAnsi="Arial"/>
          <w:sz w:val="18"/>
          <w:szCs w:val="18"/>
          <w:color w:val="auto"/>
        </w:rPr>
        <w:t>Payment of any RSRs (and related Dividend Equivalents) that vest under this Section 6.3 will be made within 60 days of the Change in Control.</w:t>
      </w:r>
    </w:p>
    <w:p>
      <w:pPr>
        <w:spacing w:after="0" w:line="139" w:lineRule="exact"/>
        <w:rPr>
          <w:sz w:val="20"/>
          <w:szCs w:val="20"/>
          <w:color w:val="auto"/>
        </w:rPr>
      </w:pPr>
    </w:p>
    <w:p>
      <w:pPr>
        <w:ind w:left="340" w:hanging="331"/>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9" w:lineRule="exact"/>
        <w:rPr>
          <w:sz w:val="20"/>
          <w:szCs w:val="20"/>
          <w:color w:val="auto"/>
        </w:rPr>
      </w:pPr>
    </w:p>
    <w:p>
      <w:pPr>
        <w:ind w:right="20" w:firstLine="324"/>
        <w:spacing w:after="0" w:line="326"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21"/>
          <w:szCs w:val="21"/>
          <w:b w:val="1"/>
          <w:b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24"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21"/>
          <w:szCs w:val="21"/>
          <w:color w:val="auto"/>
        </w:rPr>
        <w:t xml:space="preserve">7.2. </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The Company will pay all federal and state</w:t>
      </w:r>
      <w:r>
        <w:rPr>
          <w:rFonts w:ascii="Arial" w:cs="Arial" w:eastAsia="Arial" w:hAnsi="Arial"/>
          <w:sz w:val="21"/>
          <w:szCs w:val="21"/>
          <w:color w:val="auto"/>
        </w:rPr>
        <w:t xml:space="preserve"> </w:t>
      </w:r>
      <w:r>
        <w:rPr>
          <w:rFonts w:ascii="Arial" w:cs="Arial" w:eastAsia="Arial" w:hAnsi="Arial"/>
          <w:sz w:val="16"/>
          <w:szCs w:val="16"/>
          <w:color w:val="auto"/>
        </w:rPr>
        <w:t>transfer taxes, if any, and other fees and expenses in connection with the issuance of shares in connection with the vesting of the RSRs.</w:t>
      </w:r>
    </w:p>
    <w:p>
      <w:pPr>
        <w:spacing w:after="0" w:line="119" w:lineRule="exact"/>
        <w:rPr>
          <w:sz w:val="20"/>
          <w:szCs w:val="20"/>
          <w:color w:val="auto"/>
        </w:rPr>
      </w:pPr>
    </w:p>
    <w:p>
      <w:pPr>
        <w:ind w:right="20" w:firstLine="324"/>
        <w:spacing w:after="0" w:line="286" w:lineRule="auto"/>
        <w:rPr>
          <w:sz w:val="20"/>
          <w:szCs w:val="20"/>
          <w:color w:val="auto"/>
        </w:rPr>
      </w:pPr>
      <w:r>
        <w:rPr>
          <w:rFonts w:ascii="Arial" w:cs="Arial" w:eastAsia="Arial" w:hAnsi="Arial"/>
          <w:sz w:val="22"/>
          <w:szCs w:val="22"/>
          <w:color w:val="auto"/>
        </w:rPr>
        <w:t xml:space="preserve">7.3. </w:t>
      </w:r>
      <w:r>
        <w:rPr>
          <w:rFonts w:ascii="Arial" w:cs="Arial" w:eastAsia="Arial" w:hAnsi="Arial"/>
          <w:sz w:val="17"/>
          <w:szCs w:val="17"/>
          <w:b w:val="1"/>
          <w:bCs w:val="1"/>
          <w:i w:val="1"/>
          <w:iCs w:val="1"/>
          <w:color w:val="auto"/>
        </w:rPr>
        <w:t>Compliance with Code</w:t>
      </w:r>
      <w:r>
        <w:rPr>
          <w:rFonts w:ascii="Arial" w:cs="Arial" w:eastAsia="Arial" w:hAnsi="Arial"/>
          <w:sz w:val="17"/>
          <w:szCs w:val="17"/>
          <w:color w:val="auto"/>
        </w:rPr>
        <w:t>. This Agreement is designed to be</w:t>
      </w:r>
      <w:r>
        <w:rPr>
          <w:rFonts w:ascii="Arial" w:cs="Arial" w:eastAsia="Arial" w:hAnsi="Arial"/>
          <w:sz w:val="22"/>
          <w:szCs w:val="22"/>
          <w:color w:val="auto"/>
        </w:rPr>
        <w:t xml:space="preserve"> </w:t>
      </w:r>
      <w:r>
        <w:rPr>
          <w:rFonts w:ascii="Arial" w:cs="Arial" w:eastAsia="Arial" w:hAnsi="Arial"/>
          <w:sz w:val="17"/>
          <w:szCs w:val="17"/>
          <w:color w:val="auto"/>
        </w:rPr>
        <w:t>exempt from Code Section 409A, and the Committee shall administer and construe the award in such a way as to be exempt from and to avoid adverse tax consequences under Code Section 409A.</w:t>
      </w:r>
    </w:p>
    <w:p>
      <w:pPr>
        <w:spacing w:after="0" w:line="146" w:lineRule="exact"/>
        <w:rPr>
          <w:sz w:val="20"/>
          <w:szCs w:val="20"/>
          <w:color w:val="auto"/>
        </w:rPr>
      </w:pPr>
    </w:p>
    <w:p>
      <w:pPr>
        <w:jc w:val="both"/>
        <w:ind w:right="100" w:firstLine="324"/>
        <w:spacing w:after="0" w:line="29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17"/>
          <w:szCs w:val="17"/>
          <w:b w:val="1"/>
          <w:bCs w:val="1"/>
          <w:i w:val="1"/>
          <w:iCs w:val="1"/>
          <w:color w:val="auto"/>
        </w:rPr>
        <w:t>Unfunded Arrangement</w:t>
      </w:r>
      <w:r>
        <w:rPr>
          <w:rFonts w:ascii="Arial" w:cs="Arial" w:eastAsia="Arial" w:hAnsi="Arial"/>
          <w:sz w:val="17"/>
          <w:szCs w:val="17"/>
          <w:color w:val="auto"/>
        </w:rPr>
        <w:t>. The right of the Grantee to receive</w:t>
      </w:r>
      <w:r>
        <w:rPr>
          <w:rFonts w:ascii="Arial" w:cs="Arial" w:eastAsia="Arial" w:hAnsi="Arial"/>
          <w:sz w:val="22"/>
          <w:szCs w:val="22"/>
          <w:color w:val="auto"/>
        </w:rPr>
        <w:t xml:space="preserve"> </w:t>
      </w:r>
      <w:r>
        <w:rPr>
          <w:rFonts w:ascii="Arial" w:cs="Arial" w:eastAsia="Arial" w:hAnsi="Arial"/>
          <w:sz w:val="17"/>
          <w:szCs w:val="17"/>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0" w:lineRule="exact"/>
        <w:rPr>
          <w:sz w:val="20"/>
          <w:szCs w:val="20"/>
          <w:color w:val="auto"/>
        </w:rPr>
      </w:pPr>
    </w:p>
    <w:p>
      <w:pPr>
        <w:ind w:firstLine="324"/>
        <w:spacing w:after="0" w:line="334" w:lineRule="auto"/>
        <w:rPr>
          <w:sz w:val="20"/>
          <w:szCs w:val="20"/>
          <w:color w:val="auto"/>
        </w:rPr>
      </w:pPr>
      <w:r>
        <w:rPr>
          <w:rFonts w:ascii="Arial" w:cs="Arial" w:eastAsia="Arial" w:hAnsi="Arial"/>
          <w:sz w:val="21"/>
          <w:szCs w:val="21"/>
          <w:b w:val="1"/>
          <w:bCs w:val="1"/>
          <w:i w:val="1"/>
          <w:iCs w:val="1"/>
          <w:color w:val="auto"/>
        </w:rPr>
        <w:t xml:space="preserve">7.5 </w:t>
      </w: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16"/>
          <w:szCs w:val="16"/>
          <w:color w:val="auto"/>
        </w:rPr>
        <w:t>Notwithstanding any other provision of</w:t>
      </w:r>
      <w:r>
        <w:rPr>
          <w:rFonts w:ascii="Arial" w:cs="Arial" w:eastAsia="Arial" w:hAnsi="Arial"/>
          <w:sz w:val="21"/>
          <w:szCs w:val="21"/>
          <w:b w:val="1"/>
          <w:bCs w:val="1"/>
          <w:i w:val="1"/>
          <w:iCs w:val="1"/>
          <w:color w:val="auto"/>
        </w:rPr>
        <w:t xml:space="preserve"> </w:t>
      </w:r>
      <w:r>
        <w:rPr>
          <w:rFonts w:ascii="Arial" w:cs="Arial" w:eastAsia="Arial" w:hAnsi="Arial"/>
          <w:sz w:val="16"/>
          <w:szCs w:val="16"/>
          <w:color w:val="auto"/>
        </w:rPr>
        <w:t>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w:t>
      </w:r>
    </w:p>
    <w:p>
      <w:pPr>
        <w:sectPr>
          <w:pgSz w:w="11900" w:h="16838" w:orient="portrait"/>
          <w:cols w:equalWidth="0" w:num="2">
            <w:col w:w="5380" w:space="460"/>
            <w:col w:w="5360"/>
          </w:cols>
          <w:pgMar w:left="320" w:top="341" w:right="379" w:bottom="1440" w:gutter="0" w:footer="0" w:header="0"/>
        </w:sectPr>
      </w:pPr>
    </w:p>
    <w:bookmarkStart w:id="61" w:name="page62"/>
    <w:bookmarkEnd w:id="61"/>
    <w:p>
      <w:pPr>
        <w:spacing w:after="0" w:line="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18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CTM H200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left="340" w:hanging="331"/>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52" w:lineRule="exact"/>
        <w:rPr>
          <w:sz w:val="20"/>
          <w:szCs w:val="20"/>
          <w:color w:val="auto"/>
        </w:rPr>
      </w:pPr>
    </w:p>
    <w:p>
      <w:pPr>
        <w:ind w:left="340" w:hanging="331"/>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331"/>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firstLine="392"/>
        <w:spacing w:after="0" w:line="267" w:lineRule="auto"/>
        <w:rPr>
          <w:sz w:val="20"/>
          <w:szCs w:val="20"/>
          <w:color w:val="auto"/>
        </w:rPr>
      </w:pPr>
      <w:r>
        <w:rPr>
          <w:rFonts w:ascii="Arial" w:cs="Arial" w:eastAsia="Arial" w:hAnsi="Arial"/>
          <w:sz w:val="17"/>
          <w:szCs w:val="17"/>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w:t>
      </w:r>
    </w:p>
    <w:p>
      <w:pPr>
        <w:sectPr>
          <w:pgSz w:w="11900" w:h="16838" w:orient="portrait"/>
          <w:cols w:equalWidth="0" w:num="2">
            <w:col w:w="5400" w:space="440"/>
            <w:col w:w="5400"/>
          </w:cols>
          <w:pgMar w:left="320" w:top="337" w:right="339" w:bottom="1440" w:gutter="0" w:footer="0" w:header="0"/>
        </w:sectPr>
      </w:pPr>
    </w:p>
    <w:bookmarkStart w:id="62" w:name="page63"/>
    <w:bookmarkEnd w:id="62"/>
    <w:p>
      <w:pPr>
        <w:spacing w:after="0" w:line="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23"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occurrence of either or both of the following:</w:t>
      </w:r>
    </w:p>
    <w:p>
      <w:pPr>
        <w:spacing w:after="0" w:line="200" w:lineRule="exact"/>
        <w:rPr>
          <w:sz w:val="20"/>
          <w:szCs w:val="20"/>
          <w:color w:val="auto"/>
        </w:rPr>
      </w:pPr>
    </w:p>
    <w:p>
      <w:pPr>
        <w:ind w:left="580" w:right="100" w:hanging="329"/>
        <w:spacing w:after="0" w:line="301" w:lineRule="auto"/>
        <w:tabs>
          <w:tab w:leader="none" w:pos="5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16" w:lineRule="exact"/>
        <w:rPr>
          <w:rFonts w:ascii="Arial" w:cs="Arial" w:eastAsia="Arial" w:hAnsi="Arial"/>
          <w:sz w:val="16"/>
          <w:szCs w:val="16"/>
          <w:color w:val="auto"/>
        </w:rPr>
      </w:pPr>
    </w:p>
    <w:p>
      <w:pPr>
        <w:ind w:left="580" w:right="80" w:hanging="329"/>
        <w:spacing w:after="0" w:line="273" w:lineRule="auto"/>
        <w:tabs>
          <w:tab w:leader="none" w:pos="562" w:val="left"/>
        </w:tabs>
        <w:numPr>
          <w:ilvl w:val="0"/>
          <w:numId w:val="84"/>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10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right="20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firstLine="40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20"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9" w:lineRule="exact"/>
        <w:rPr>
          <w:sz w:val="20"/>
          <w:szCs w:val="20"/>
          <w:color w:val="auto"/>
        </w:rPr>
      </w:pPr>
    </w:p>
    <w:p>
      <w:pPr>
        <w:ind w:right="50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79" w:lineRule="exact"/>
        <w:rPr>
          <w:sz w:val="20"/>
          <w:szCs w:val="20"/>
          <w:color w:val="auto"/>
        </w:rPr>
      </w:pPr>
    </w:p>
    <w:p>
      <w:pPr>
        <w:ind w:left="580" w:hanging="328"/>
        <w:spacing w:after="0" w:line="285" w:lineRule="auto"/>
        <w:tabs>
          <w:tab w:leader="none" w:pos="5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31" w:lineRule="exact"/>
        <w:rPr>
          <w:sz w:val="20"/>
          <w:szCs w:val="20"/>
          <w:color w:val="auto"/>
        </w:rPr>
      </w:pPr>
    </w:p>
    <w:p>
      <w:pPr>
        <w:ind w:left="580" w:firstLine="554"/>
        <w:spacing w:after="0" w:line="255" w:lineRule="auto"/>
        <w:rPr>
          <w:sz w:val="20"/>
          <w:szCs w:val="20"/>
          <w:color w:val="auto"/>
        </w:rPr>
      </w:pPr>
      <w:r>
        <w:rPr>
          <w:rFonts w:ascii="Arial" w:cs="Arial" w:eastAsia="Arial" w:hAnsi="Arial"/>
          <w:sz w:val="18"/>
          <w:szCs w:val="18"/>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w:t>
      </w:r>
    </w:p>
    <w:p>
      <w:pPr>
        <w:sectPr>
          <w:pgSz w:w="11900" w:h="16838" w:orient="portrait"/>
          <w:cols w:equalWidth="0" w:num="2">
            <w:col w:w="5400" w:space="440"/>
            <w:col w:w="5380"/>
          </w:cols>
          <w:pgMar w:left="320" w:top="337" w:right="359" w:bottom="1440" w:gutter="0" w:footer="0" w:header="0"/>
        </w:sectPr>
      </w:pPr>
    </w:p>
    <w:bookmarkStart w:id="63" w:name="page64"/>
    <w:bookmarkEnd w:id="63"/>
    <w:p>
      <w:pPr>
        <w:ind w:left="329"/>
        <w:spacing w:after="0" w:line="253" w:lineRule="auto"/>
        <w:rPr>
          <w:sz w:val="20"/>
          <w:szCs w:val="20"/>
          <w:color w:val="auto"/>
        </w:rPr>
      </w:pPr>
      <w:r>
        <w:rPr>
          <w:rFonts w:ascii="Arial" w:cs="Arial" w:eastAsia="Arial" w:hAnsi="Arial"/>
          <w:sz w:val="18"/>
          <w:szCs w:val="18"/>
          <w:color w:val="auto"/>
        </w:rPr>
        <w:t>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56" w:lineRule="exact"/>
        <w:rPr>
          <w:sz w:val="20"/>
          <w:szCs w:val="20"/>
          <w:color w:val="auto"/>
        </w:rPr>
      </w:pPr>
    </w:p>
    <w:p>
      <w:pPr>
        <w:jc w:val="both"/>
        <w:ind w:left="329" w:right="60" w:hanging="329"/>
        <w:spacing w:after="0" w:line="311" w:lineRule="auto"/>
        <w:tabs>
          <w:tab w:leader="none" w:pos="311"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material reduction by the Company in the Grantee’s annualized rate of base salary as in effect at the start of the Protected Period, or as the same shall be increased from time to time.</w:t>
      </w:r>
    </w:p>
    <w:p>
      <w:pPr>
        <w:spacing w:after="0" w:line="108" w:lineRule="exact"/>
        <w:rPr>
          <w:rFonts w:ascii="Arial" w:cs="Arial" w:eastAsia="Arial" w:hAnsi="Arial"/>
          <w:sz w:val="16"/>
          <w:szCs w:val="16"/>
          <w:color w:val="auto"/>
        </w:rPr>
      </w:pPr>
    </w:p>
    <w:p>
      <w:pPr>
        <w:ind w:left="329" w:right="60" w:hanging="329"/>
        <w:spacing w:after="0" w:line="287" w:lineRule="auto"/>
        <w:tabs>
          <w:tab w:leader="none" w:pos="311"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31" w:lineRule="exact"/>
        <w:rPr>
          <w:rFonts w:ascii="Arial" w:cs="Arial" w:eastAsia="Arial" w:hAnsi="Arial"/>
          <w:sz w:val="16"/>
          <w:szCs w:val="16"/>
          <w:color w:val="auto"/>
        </w:rPr>
      </w:pPr>
    </w:p>
    <w:p>
      <w:pPr>
        <w:ind w:left="329" w:right="60" w:hanging="329"/>
        <w:spacing w:after="0" w:line="269" w:lineRule="auto"/>
        <w:tabs>
          <w:tab w:leader="none" w:pos="311"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44" w:lineRule="exact"/>
        <w:rPr>
          <w:rFonts w:ascii="Arial" w:cs="Arial" w:eastAsia="Arial" w:hAnsi="Arial"/>
          <w:sz w:val="17"/>
          <w:szCs w:val="17"/>
          <w:color w:val="auto"/>
        </w:rPr>
      </w:pPr>
    </w:p>
    <w:p>
      <w:pPr>
        <w:ind w:left="329" w:right="80" w:hanging="329"/>
        <w:spacing w:after="0" w:line="293" w:lineRule="auto"/>
        <w:tabs>
          <w:tab w:leader="none" w:pos="31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w:t>
      </w:r>
    </w:p>
    <w:p>
      <w:pPr>
        <w:spacing w:after="0" w:line="200" w:lineRule="exact"/>
        <w:rPr>
          <w:sz w:val="20"/>
          <w:szCs w:val="20"/>
          <w:color w:val="auto"/>
        </w:rPr>
      </w:pPr>
    </w:p>
    <w:p>
      <w:pPr>
        <w:spacing w:after="0" w:line="234" w:lineRule="exact"/>
        <w:rPr>
          <w:sz w:val="20"/>
          <w:szCs w:val="20"/>
          <w:color w:val="auto"/>
        </w:rPr>
      </w:pPr>
    </w:p>
    <w:p>
      <w:pPr>
        <w:ind w:left="412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jc w:val="both"/>
        <w:ind w:left="580" w:right="200"/>
        <w:spacing w:after="0" w:line="263" w:lineRule="auto"/>
        <w:rPr>
          <w:sz w:val="20"/>
          <w:szCs w:val="20"/>
          <w:color w:val="auto"/>
        </w:rPr>
      </w:pPr>
      <w:r>
        <w:rPr>
          <w:rFonts w:ascii="Arial" w:cs="Arial" w:eastAsia="Arial" w:hAnsi="Arial"/>
          <w:sz w:val="18"/>
          <w:szCs w:val="18"/>
          <w:color w:val="auto"/>
        </w:rPr>
        <w:t>such relocation, in no event shall Good Reason exist pursuant to this clause (v) more than ninety (90) days before such intended effective date.</w:t>
      </w:r>
    </w:p>
    <w:p>
      <w:pPr>
        <w:spacing w:after="0" w:line="14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26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21" w:lineRule="exact"/>
        <w:rPr>
          <w:sz w:val="20"/>
          <w:szCs w:val="20"/>
          <w:color w:val="auto"/>
        </w:rPr>
      </w:pPr>
    </w:p>
    <w:p>
      <w:pPr>
        <w:ind w:right="120"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39" w:lineRule="exact"/>
        <w:rPr>
          <w:sz w:val="20"/>
          <w:szCs w:val="20"/>
          <w:color w:val="auto"/>
        </w:rPr>
      </w:pPr>
    </w:p>
    <w:p>
      <w:pPr>
        <w:ind w:left="580" w:hanging="328"/>
        <w:spacing w:after="0" w:line="291" w:lineRule="auto"/>
        <w:tabs>
          <w:tab w:leader="none" w:pos="5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25" w:lineRule="exact"/>
        <w:rPr>
          <w:rFonts w:ascii="Arial" w:cs="Arial" w:eastAsia="Arial" w:hAnsi="Arial"/>
          <w:sz w:val="16"/>
          <w:szCs w:val="16"/>
          <w:color w:val="auto"/>
        </w:rPr>
      </w:pPr>
    </w:p>
    <w:p>
      <w:pPr>
        <w:ind w:left="580" w:hanging="328"/>
        <w:spacing w:after="0" w:line="290" w:lineRule="auto"/>
        <w:tabs>
          <w:tab w:leader="none" w:pos="5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4" w:lineRule="exact"/>
        <w:rPr>
          <w:rFonts w:ascii="Arial" w:cs="Arial" w:eastAsia="Arial" w:hAnsi="Arial"/>
          <w:sz w:val="16"/>
          <w:szCs w:val="16"/>
          <w:color w:val="auto"/>
        </w:rPr>
      </w:pPr>
    </w:p>
    <w:p>
      <w:pPr>
        <w:ind w:left="560" w:hanging="308"/>
        <w:spacing w:after="0"/>
        <w:tabs>
          <w:tab w:leader="none" w:pos="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 (i) or</w:t>
      </w:r>
    </w:p>
    <w:p>
      <w:pPr>
        <w:spacing w:after="0" w:line="46" w:lineRule="exact"/>
        <w:rPr>
          <w:rFonts w:ascii="Arial" w:cs="Arial" w:eastAsia="Arial" w:hAnsi="Arial"/>
          <w:sz w:val="16"/>
          <w:szCs w:val="16"/>
          <w:color w:val="auto"/>
        </w:rPr>
      </w:pPr>
    </w:p>
    <w:p>
      <w:pPr>
        <w:ind w:left="580" w:right="60"/>
        <w:spacing w:after="0" w:line="302" w:lineRule="auto"/>
        <w:tabs>
          <w:tab w:leader="none" w:pos="845" w:val="left"/>
        </w:tabs>
        <w:numPr>
          <w:ilvl w:val="1"/>
          <w:numId w:val="87"/>
        </w:numPr>
        <w:rPr>
          <w:rFonts w:ascii="Arial" w:cs="Arial" w:eastAsia="Arial" w:hAnsi="Arial"/>
          <w:sz w:val="16"/>
          <w:szCs w:val="16"/>
          <w:color w:val="auto"/>
        </w:rPr>
      </w:pPr>
      <w:r>
        <w:rPr>
          <w:rFonts w:ascii="Arial" w:cs="Arial" w:eastAsia="Arial" w:hAnsi="Arial"/>
          <w:sz w:val="16"/>
          <w:szCs w:val="16"/>
          <w:color w:val="auto"/>
        </w:rPr>
        <w:t>above, the Protected Period shall commence on the date that is six (6) months prior to the Change in Control and shall continue through and including the date of the Change in Control.</w:t>
      </w:r>
    </w:p>
    <w:p>
      <w:pPr>
        <w:spacing w:after="0" w:line="111" w:lineRule="exact"/>
        <w:rPr>
          <w:sz w:val="20"/>
          <w:szCs w:val="20"/>
          <w:color w:val="auto"/>
        </w:rPr>
      </w:pPr>
    </w:p>
    <w:p>
      <w:pPr>
        <w:ind w:right="20" w:firstLine="405"/>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w:t>
      </w:r>
      <w:r>
        <w:rPr>
          <w:rFonts w:ascii="Arial" w:cs="Arial" w:eastAsia="Arial" w:hAnsi="Arial"/>
          <w:sz w:val="17"/>
          <w:szCs w:val="17"/>
          <w:color w:val="auto"/>
        </w:rPr>
        <w:t>” means the person acquiring a Grantee’s rights to a grant under the Plan by will or by the laws of descent or distribution.</w:t>
      </w:r>
    </w:p>
    <w:p>
      <w:pPr>
        <w:sectPr>
          <w:pgSz w:w="11900" w:h="16838" w:orient="portrait"/>
          <w:cols w:equalWidth="0" w:num="2">
            <w:col w:w="5109" w:space="480"/>
            <w:col w:w="5400"/>
          </w:cols>
          <w:pgMar w:left="571" w:top="341"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3A3A3A"/>
        </w:rPr>
        <w:t>February 3, 2020</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3A3A3A"/>
        </w:rPr>
        <w:t>David Keffer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6307 29th St N</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Arlington, VA 22207</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3A3A3A"/>
        </w:rPr>
        <w:t>Dear David,</w:t>
      </w: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color w:val="3A3A3A"/>
        </w:rPr>
        <w:t xml:space="preserve">Northrop Grumman ("Northrop Grumman" or </w:t>
      </w:r>
      <w:r>
        <w:rPr>
          <w:rFonts w:ascii="Arial" w:cs="Arial" w:eastAsia="Arial" w:hAnsi="Arial"/>
          <w:sz w:val="21"/>
          <w:szCs w:val="21"/>
          <w:color w:val="4B4B4B"/>
        </w:rPr>
        <w:t>"the</w:t>
      </w:r>
      <w:r>
        <w:rPr>
          <w:rFonts w:ascii="Arial" w:cs="Arial" w:eastAsia="Arial" w:hAnsi="Arial"/>
          <w:sz w:val="21"/>
          <w:szCs w:val="21"/>
          <w:color w:val="3A3A3A"/>
        </w:rPr>
        <w:t xml:space="preserve"> Company") is pleased to extend to</w:t>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3A3A3A"/>
        </w:rPr>
        <w:t xml:space="preserve">you the position of Corporate Vice President &amp; Chief Financial Officer and Executive Leadership Team (ELT) member at the bi-weekly salary of $28,846.15 (which annualizes to a rate of $750,000). This position </w:t>
      </w:r>
      <w:r>
        <w:rPr>
          <w:rFonts w:ascii="Arial" w:cs="Arial" w:eastAsia="Arial" w:hAnsi="Arial"/>
          <w:sz w:val="21"/>
          <w:szCs w:val="21"/>
          <w:color w:val="4B4B4B"/>
        </w:rPr>
        <w:t>reports</w:t>
      </w:r>
      <w:r>
        <w:rPr>
          <w:rFonts w:ascii="Arial" w:cs="Arial" w:eastAsia="Arial" w:hAnsi="Arial"/>
          <w:sz w:val="21"/>
          <w:szCs w:val="21"/>
          <w:color w:val="3A3A3A"/>
        </w:rPr>
        <w:t xml:space="preserve"> directly to </w:t>
      </w:r>
      <w:r>
        <w:rPr>
          <w:rFonts w:ascii="Arial" w:cs="Arial" w:eastAsia="Arial" w:hAnsi="Arial"/>
          <w:sz w:val="21"/>
          <w:szCs w:val="21"/>
          <w:color w:val="4B4B4B"/>
        </w:rPr>
        <w:t>Kathy</w:t>
      </w:r>
      <w:r>
        <w:rPr>
          <w:rFonts w:ascii="Arial" w:cs="Arial" w:eastAsia="Arial" w:hAnsi="Arial"/>
          <w:sz w:val="21"/>
          <w:szCs w:val="21"/>
          <w:color w:val="3A3A3A"/>
        </w:rPr>
        <w:t xml:space="preserve"> Warden, Chief Executive Officer.</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3A3A3A"/>
        </w:rPr>
        <w:t>In addition to the company's regular benefits, you will be eligible for the special programs highlighted below:</w:t>
      </w:r>
    </w:p>
    <w:p>
      <w:pPr>
        <w:spacing w:after="0" w:line="219" w:lineRule="exact"/>
        <w:rPr>
          <w:sz w:val="20"/>
          <w:szCs w:val="20"/>
          <w:color w:val="auto"/>
        </w:rPr>
      </w:pPr>
    </w:p>
    <w:p>
      <w:pPr>
        <w:ind w:left="1200" w:hanging="1192"/>
        <w:spacing w:after="0"/>
        <w:tabs>
          <w:tab w:leader="none" w:pos="1200" w:val="left"/>
        </w:tabs>
        <w:numPr>
          <w:ilvl w:val="0"/>
          <w:numId w:val="8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A3A3A"/>
        </w:rPr>
        <w:t xml:space="preserve">Annual </w:t>
      </w:r>
      <w:r>
        <w:rPr>
          <w:rFonts w:ascii="Arial" w:cs="Arial" w:eastAsia="Arial" w:hAnsi="Arial"/>
          <w:sz w:val="21"/>
          <w:szCs w:val="21"/>
          <w:b w:val="1"/>
          <w:bCs w:val="1"/>
          <w:u w:val="single" w:color="auto"/>
          <w:color w:val="4B4B4B"/>
        </w:rPr>
        <w:t>Incentive</w:t>
      </w:r>
      <w:r>
        <w:rPr>
          <w:rFonts w:ascii="Arial" w:cs="Arial" w:eastAsia="Arial" w:hAnsi="Arial"/>
          <w:sz w:val="21"/>
          <w:szCs w:val="21"/>
          <w:b w:val="1"/>
          <w:bCs w:val="1"/>
          <w:u w:val="single" w:color="auto"/>
          <w:color w:val="3A3A3A"/>
        </w:rPr>
        <w:t xml:space="preserve"> Plan (AIP)</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3A3A3A"/>
        </w:rPr>
        <w:t xml:space="preserve">The AIP is an annual incentive compensation or </w:t>
      </w:r>
      <w:r>
        <w:rPr>
          <w:rFonts w:ascii="Arial" w:cs="Arial" w:eastAsia="Arial" w:hAnsi="Arial"/>
          <w:sz w:val="21"/>
          <w:szCs w:val="21"/>
          <w:color w:val="4B4B4B"/>
        </w:rPr>
        <w:t>"bonus"</w:t>
      </w:r>
      <w:r>
        <w:rPr>
          <w:rFonts w:ascii="Arial" w:cs="Arial" w:eastAsia="Arial" w:hAnsi="Arial"/>
          <w:sz w:val="21"/>
          <w:szCs w:val="21"/>
          <w:color w:val="3A3A3A"/>
        </w:rPr>
        <w:t xml:space="preserve"> program in which you will be a participant. The actual award you may receive will be dependent upon the performance of the Company. Awards under this plan are made during the March time period for the previous year's performance. Participation </w:t>
      </w:r>
      <w:r>
        <w:rPr>
          <w:rFonts w:ascii="Arial" w:cs="Arial" w:eastAsia="Arial" w:hAnsi="Arial"/>
          <w:sz w:val="21"/>
          <w:szCs w:val="21"/>
          <w:color w:val="4B4B4B"/>
        </w:rPr>
        <w:t>in</w:t>
      </w:r>
      <w:r>
        <w:rPr>
          <w:rFonts w:ascii="Arial" w:cs="Arial" w:eastAsia="Arial" w:hAnsi="Arial"/>
          <w:sz w:val="21"/>
          <w:szCs w:val="21"/>
          <w:color w:val="3A3A3A"/>
        </w:rPr>
        <w:t xml:space="preserve"> the AIP program is subject to review and approval annually</w:t>
      </w:r>
      <w:r>
        <w:rPr>
          <w:rFonts w:ascii="Arial" w:cs="Arial" w:eastAsia="Arial" w:hAnsi="Arial"/>
          <w:sz w:val="21"/>
          <w:szCs w:val="21"/>
          <w:color w:val="1A1A1A"/>
        </w:rPr>
        <w:t>.</w:t>
      </w:r>
      <w:r>
        <w:rPr>
          <w:rFonts w:ascii="Arial" w:cs="Arial" w:eastAsia="Arial" w:hAnsi="Arial"/>
          <w:sz w:val="21"/>
          <w:szCs w:val="21"/>
          <w:color w:val="3A3A3A"/>
        </w:rPr>
        <w:t xml:space="preserve"> For 2020 your target </w:t>
      </w:r>
      <w:r>
        <w:rPr>
          <w:rFonts w:ascii="Arial" w:cs="Arial" w:eastAsia="Arial" w:hAnsi="Arial"/>
          <w:sz w:val="21"/>
          <w:szCs w:val="21"/>
          <w:color w:val="4B4B4B"/>
        </w:rPr>
        <w:t>is</w:t>
      </w:r>
      <w:r>
        <w:rPr>
          <w:rFonts w:ascii="Arial" w:cs="Arial" w:eastAsia="Arial" w:hAnsi="Arial"/>
          <w:sz w:val="21"/>
          <w:szCs w:val="21"/>
          <w:color w:val="3A3A3A"/>
        </w:rPr>
        <w:t xml:space="preserve"> set at 100% of base salary. Maximum payout is 200% of the target, there is no minimum. This payment is subject to normal payroll deductions. Your participation in the plan will be pro-rated for 2020 based on your actual start date.</w:t>
      </w:r>
    </w:p>
    <w:p>
      <w:pPr>
        <w:spacing w:after="0" w:line="184" w:lineRule="exact"/>
        <w:rPr>
          <w:sz w:val="20"/>
          <w:szCs w:val="20"/>
          <w:color w:val="auto"/>
        </w:rPr>
      </w:pPr>
    </w:p>
    <w:p>
      <w:pPr>
        <w:ind w:left="1220" w:hanging="1212"/>
        <w:spacing w:after="0"/>
        <w:tabs>
          <w:tab w:leader="none" w:pos="1220" w:val="left"/>
        </w:tabs>
        <w:numPr>
          <w:ilvl w:val="0"/>
          <w:numId w:val="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A3A3A"/>
        </w:rPr>
        <w:t>Equity Grants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3A3A3A"/>
        </w:rPr>
        <w:t xml:space="preserve">You will be eligible for annual grants of equity awards under </w:t>
      </w:r>
      <w:r>
        <w:rPr>
          <w:rFonts w:ascii="Arial" w:cs="Arial" w:eastAsia="Arial" w:hAnsi="Arial"/>
          <w:sz w:val="21"/>
          <w:szCs w:val="21"/>
          <w:color w:val="4B4B4B"/>
        </w:rPr>
        <w:t>the</w:t>
      </w:r>
      <w:r>
        <w:rPr>
          <w:rFonts w:ascii="Arial" w:cs="Arial" w:eastAsia="Arial" w:hAnsi="Arial"/>
          <w:sz w:val="21"/>
          <w:szCs w:val="21"/>
          <w:color w:val="3A3A3A"/>
        </w:rPr>
        <w:t xml:space="preserve"> terms of the Company's Long-Term Incentive Stock Plan </w:t>
      </w:r>
      <w:r>
        <w:rPr>
          <w:rFonts w:ascii="Arial" w:cs="Arial" w:eastAsia="Arial" w:hAnsi="Arial"/>
          <w:sz w:val="21"/>
          <w:szCs w:val="21"/>
          <w:color w:val="4B4B4B"/>
        </w:rPr>
        <w:t xml:space="preserve">(and </w:t>
      </w:r>
      <w:r>
        <w:rPr>
          <w:rFonts w:ascii="Arial" w:cs="Arial" w:eastAsia="Arial" w:hAnsi="Arial"/>
          <w:sz w:val="21"/>
          <w:szCs w:val="21"/>
          <w:color w:val="3A3A3A"/>
        </w:rPr>
        <w:t>any successor to such plan) ("LTISP"). These grants are subject</w:t>
      </w:r>
      <w:r>
        <w:rPr>
          <w:rFonts w:ascii="Arial" w:cs="Arial" w:eastAsia="Arial" w:hAnsi="Arial"/>
          <w:sz w:val="21"/>
          <w:szCs w:val="21"/>
          <w:color w:val="4B4B4B"/>
        </w:rPr>
        <w:t xml:space="preserve"> to </w:t>
      </w:r>
      <w:r>
        <w:rPr>
          <w:rFonts w:ascii="Arial" w:cs="Arial" w:eastAsia="Arial" w:hAnsi="Arial"/>
          <w:sz w:val="21"/>
          <w:szCs w:val="21"/>
          <w:color w:val="3A3A3A"/>
        </w:rPr>
        <w:t>the LTISP and to your accepting the grant by</w:t>
      </w:r>
      <w:r>
        <w:rPr>
          <w:rFonts w:ascii="Arial" w:cs="Arial" w:eastAsia="Arial" w:hAnsi="Arial"/>
          <w:sz w:val="21"/>
          <w:szCs w:val="21"/>
          <w:color w:val="4B4B4B"/>
        </w:rPr>
        <w:t xml:space="preserve"> </w:t>
      </w:r>
      <w:r>
        <w:rPr>
          <w:rFonts w:ascii="Arial" w:cs="Arial" w:eastAsia="Arial" w:hAnsi="Arial"/>
          <w:sz w:val="21"/>
          <w:szCs w:val="21"/>
          <w:color w:val="3A3A3A"/>
        </w:rPr>
        <w:t xml:space="preserve">agreeing to the Terms and Conditions applicable thereto ("Grant Certificate"). These grants are typically made in February. Your initial grant for calendar year 2020 shall be a value of $3,000,000. The exact number of shares will be determined following the Company's next quarterly earnings release following your date of hire and will be based </w:t>
      </w:r>
      <w:r>
        <w:rPr>
          <w:rFonts w:ascii="Arial" w:cs="Arial" w:eastAsia="Arial" w:hAnsi="Arial"/>
          <w:sz w:val="21"/>
          <w:szCs w:val="21"/>
          <w:color w:val="4B4B4B"/>
        </w:rPr>
        <w:t>upon</w:t>
      </w:r>
      <w:r>
        <w:rPr>
          <w:rFonts w:ascii="Arial" w:cs="Arial" w:eastAsia="Arial" w:hAnsi="Arial"/>
          <w:sz w:val="21"/>
          <w:szCs w:val="21"/>
          <w:color w:val="3A3A3A"/>
        </w:rPr>
        <w:t xml:space="preserve"> the Company's customary award grant valuation methodologies.</w:t>
      </w:r>
    </w:p>
    <w:p>
      <w:pPr>
        <w:sectPr>
          <w:pgSz w:w="11900" w:h="16838" w:orient="portrait"/>
          <w:cols w:equalWidth="0" w:num="1">
            <w:col w:w="11240"/>
          </w:cols>
          <w:pgMar w:left="320" w:top="1440" w:right="339" w:bottom="1440" w:gutter="0" w:footer="0" w:header="0"/>
        </w:sectPr>
      </w:pPr>
    </w:p>
    <w:bookmarkStart w:id="65" w:name="page66"/>
    <w:bookmarkEnd w:id="65"/>
    <w:p>
      <w:pPr>
        <w:jc w:val="both"/>
        <w:spacing w:after="0" w:line="243" w:lineRule="auto"/>
        <w:rPr>
          <w:sz w:val="20"/>
          <w:szCs w:val="20"/>
          <w:color w:val="auto"/>
        </w:rPr>
      </w:pPr>
      <w:r>
        <w:rPr>
          <w:rFonts w:ascii="Arial" w:cs="Arial" w:eastAsia="Arial" w:hAnsi="Arial"/>
          <w:sz w:val="21"/>
          <w:szCs w:val="21"/>
          <w:color w:val="3B3B3B"/>
        </w:rPr>
        <w:t>This award will be granted in the form of 70% Restricted Performance Stock Rights (RPSRs) and 30% Restricted Stock Rights (RSRs). The RPSRs are performance based stock rights that may be paid in stock units, cash, or a combination of both in February or March following the end of a three-year perfo</w:t>
      </w:r>
      <w:r>
        <w:rPr>
          <w:rFonts w:ascii="Arial" w:cs="Arial" w:eastAsia="Arial" w:hAnsi="Arial"/>
          <w:sz w:val="21"/>
          <w:szCs w:val="21"/>
          <w:color w:val="575757"/>
        </w:rPr>
        <w:t>r</w:t>
      </w:r>
      <w:r>
        <w:rPr>
          <w:rFonts w:ascii="Arial" w:cs="Arial" w:eastAsia="Arial" w:hAnsi="Arial"/>
          <w:sz w:val="21"/>
          <w:szCs w:val="21"/>
          <w:color w:val="3B3B3B"/>
        </w:rPr>
        <w:t>mance period beginning January 1, 2020 and ending on December 31, 2022, subject to the performance and termination of employment rules set forth in the Grant Certificate. Maximum payout is 150% of the number of shares in the original grant; there is no minimum payout. The RSRs will vest three years from the date of grant subject to the termination of employment rules set forth in the Grant Certificate.</w:t>
      </w:r>
    </w:p>
    <w:p>
      <w:pPr>
        <w:spacing w:after="0" w:line="23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3B3B3B"/>
        </w:rPr>
        <w:t>In calendar years following 2020, you will be eligible for further equity grants on the same basis (including guideline amounts for awards) as other Corporate Vice Presidents who are Executive Leadership Team (ELT) members of the company.</w:t>
      </w:r>
    </w:p>
    <w:p>
      <w:pPr>
        <w:spacing w:after="0" w:line="193" w:lineRule="exact"/>
        <w:rPr>
          <w:sz w:val="20"/>
          <w:szCs w:val="20"/>
          <w:color w:val="auto"/>
        </w:rPr>
      </w:pPr>
    </w:p>
    <w:p>
      <w:pPr>
        <w:ind w:left="1200" w:hanging="1192"/>
        <w:spacing w:after="0"/>
        <w:tabs>
          <w:tab w:leader="none" w:pos="1200"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B3B3B"/>
        </w:rPr>
        <w:t>Sign-on Grant</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3B3B3B"/>
        </w:rPr>
        <w:t>The Company will provide you with a special grant with an approximate value of</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3B3B3B"/>
        </w:rPr>
        <w:t>$1,000,000</w:t>
      </w:r>
      <w:r>
        <w:rPr>
          <w:rFonts w:ascii="Arial" w:cs="Arial" w:eastAsia="Arial" w:hAnsi="Arial"/>
          <w:sz w:val="21"/>
          <w:szCs w:val="21"/>
          <w:color w:val="575757"/>
        </w:rPr>
        <w:t>.</w:t>
      </w:r>
      <w:r>
        <w:rPr>
          <w:rFonts w:ascii="Arial" w:cs="Arial" w:eastAsia="Arial" w:hAnsi="Arial"/>
          <w:sz w:val="21"/>
          <w:szCs w:val="21"/>
          <w:color w:val="3B3B3B"/>
        </w:rPr>
        <w:t xml:space="preserve"> This award will be granted in the form of 70% Restricted Performance Stock Rights (RPSRs) and 30% Restricted Stock Rights (RSRs). This Special 2020 grant shall be granted at the same time as other equity grants described in Section 2 of this letter and shall be subject to all the terms and conditions of the LTISP and the applicable Grant Certificate</w:t>
      </w:r>
      <w:r>
        <w:rPr>
          <w:rFonts w:ascii="Arial" w:cs="Arial" w:eastAsia="Arial" w:hAnsi="Arial"/>
          <w:sz w:val="21"/>
          <w:szCs w:val="21"/>
          <w:color w:val="575757"/>
        </w:rPr>
        <w:t>.</w:t>
      </w:r>
    </w:p>
    <w:p>
      <w:pPr>
        <w:spacing w:after="0" w:line="193" w:lineRule="exact"/>
        <w:rPr>
          <w:sz w:val="20"/>
          <w:szCs w:val="20"/>
          <w:color w:val="auto"/>
        </w:rPr>
      </w:pPr>
    </w:p>
    <w:p>
      <w:pPr>
        <w:ind w:left="1200" w:hanging="1192"/>
        <w:spacing w:after="0"/>
        <w:tabs>
          <w:tab w:leader="none" w:pos="1200"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B3B3B"/>
        </w:rPr>
        <w:t>Executive Perquisites</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3B3B3B"/>
        </w:rPr>
        <w:t>You will receive the same executive perquisites as other executive officers. Those perquisites currently include reimbursement of up to $18,500 annually for tax preparat</w:t>
      </w:r>
      <w:r>
        <w:rPr>
          <w:rFonts w:ascii="Arial" w:cs="Arial" w:eastAsia="Arial" w:hAnsi="Arial"/>
          <w:sz w:val="21"/>
          <w:szCs w:val="21"/>
          <w:color w:val="575757"/>
        </w:rPr>
        <w:t>i</w:t>
      </w:r>
      <w:r>
        <w:rPr>
          <w:rFonts w:ascii="Arial" w:cs="Arial" w:eastAsia="Arial" w:hAnsi="Arial"/>
          <w:sz w:val="21"/>
          <w:szCs w:val="21"/>
          <w:color w:val="3B3B3B"/>
        </w:rPr>
        <w:t>on/financial planning</w:t>
      </w:r>
      <w:r>
        <w:rPr>
          <w:rFonts w:ascii="Arial" w:cs="Arial" w:eastAsia="Arial" w:hAnsi="Arial"/>
          <w:sz w:val="21"/>
          <w:szCs w:val="21"/>
          <w:color w:val="575757"/>
        </w:rPr>
        <w:t>,</w:t>
      </w:r>
      <w:r>
        <w:rPr>
          <w:rFonts w:ascii="Arial" w:cs="Arial" w:eastAsia="Arial" w:hAnsi="Arial"/>
          <w:sz w:val="21"/>
          <w:szCs w:val="21"/>
          <w:color w:val="3B3B3B"/>
        </w:rPr>
        <w:t xml:space="preserve"> personal liability insurance, and an executive physical examination program. You will also receive the same paid time off (PTO) benefit as other executive officers, who currently receive ten holidays and accrue PTO at a rate of five weeks per calendar year. You will also be covered by the severance plan applicable to other Corporate Policy Council, which currently provides for lump sum severance equ</w:t>
      </w:r>
      <w:r>
        <w:rPr>
          <w:rFonts w:ascii="Arial" w:cs="Arial" w:eastAsia="Arial" w:hAnsi="Arial"/>
          <w:sz w:val="21"/>
          <w:szCs w:val="21"/>
          <w:color w:val="575757"/>
        </w:rPr>
        <w:t>i</w:t>
      </w:r>
      <w:r>
        <w:rPr>
          <w:rFonts w:ascii="Arial" w:cs="Arial" w:eastAsia="Arial" w:hAnsi="Arial"/>
          <w:sz w:val="21"/>
          <w:szCs w:val="21"/>
          <w:color w:val="3B3B3B"/>
        </w:rPr>
        <w:t>valent to a 1</w:t>
      </w:r>
      <w:r>
        <w:rPr>
          <w:rFonts w:ascii="Arial" w:cs="Arial" w:eastAsia="Arial" w:hAnsi="Arial"/>
          <w:sz w:val="21"/>
          <w:szCs w:val="21"/>
          <w:color w:val="696969"/>
        </w:rPr>
        <w:t>.</w:t>
      </w:r>
      <w:r>
        <w:rPr>
          <w:rFonts w:ascii="Arial" w:cs="Arial" w:eastAsia="Arial" w:hAnsi="Arial"/>
          <w:sz w:val="21"/>
          <w:szCs w:val="21"/>
          <w:color w:val="3B3B3B"/>
        </w:rPr>
        <w:t>5x of salary and target bonus, prorated bonus, and continued medical coverage for eighteen months.</w:t>
      </w:r>
    </w:p>
    <w:p>
      <w:pPr>
        <w:spacing w:after="0" w:line="214" w:lineRule="exact"/>
        <w:rPr>
          <w:sz w:val="20"/>
          <w:szCs w:val="20"/>
          <w:color w:val="auto"/>
        </w:rPr>
      </w:pPr>
    </w:p>
    <w:p>
      <w:pPr>
        <w:ind w:left="1220" w:hanging="1212"/>
        <w:spacing w:after="0"/>
        <w:tabs>
          <w:tab w:leader="none" w:pos="1220"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B3B3B"/>
        </w:rPr>
        <w:t>Insurance Protection</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3B3B3B"/>
        </w:rPr>
        <w:t>You will also be provided company-paid bas</w:t>
      </w:r>
      <w:r>
        <w:rPr>
          <w:rFonts w:ascii="Arial" w:cs="Arial" w:eastAsia="Arial" w:hAnsi="Arial"/>
          <w:sz w:val="21"/>
          <w:szCs w:val="21"/>
          <w:color w:val="696969"/>
        </w:rPr>
        <w:t>i</w:t>
      </w:r>
      <w:r>
        <w:rPr>
          <w:rFonts w:ascii="Arial" w:cs="Arial" w:eastAsia="Arial" w:hAnsi="Arial"/>
          <w:sz w:val="21"/>
          <w:szCs w:val="21"/>
          <w:color w:val="3B3B3B"/>
        </w:rPr>
        <w:t xml:space="preserve">c </w:t>
      </w:r>
      <w:r>
        <w:rPr>
          <w:rFonts w:ascii="Arial" w:cs="Arial" w:eastAsia="Arial" w:hAnsi="Arial"/>
          <w:sz w:val="21"/>
          <w:szCs w:val="21"/>
          <w:color w:val="575757"/>
        </w:rPr>
        <w:t>l</w:t>
      </w:r>
      <w:r>
        <w:rPr>
          <w:rFonts w:ascii="Arial" w:cs="Arial" w:eastAsia="Arial" w:hAnsi="Arial"/>
          <w:sz w:val="21"/>
          <w:szCs w:val="21"/>
          <w:color w:val="3B3B3B"/>
        </w:rPr>
        <w:t>ife insurance coverage of 3 x base salary (up to a maximum of $2 million), company-paid basic AD&amp;D coverage of 6 x base salary (up to a maximum of $1 million) and an individual Long Term Disability policy of up to 75% of base salary.</w:t>
      </w:r>
    </w:p>
    <w:p>
      <w:pPr>
        <w:sectPr>
          <w:pgSz w:w="11900" w:h="16838" w:orient="portrait"/>
          <w:cols w:equalWidth="0" w:num="1">
            <w:col w:w="11240"/>
          </w:cols>
          <w:pgMar w:left="320" w:top="614" w:right="339" w:bottom="1440" w:gutter="0" w:footer="0" w:header="0"/>
        </w:sectPr>
      </w:pPr>
    </w:p>
    <w:bookmarkStart w:id="66" w:name="page67"/>
    <w:bookmarkEnd w:id="66"/>
    <w:p>
      <w:pPr>
        <w:ind w:left="1160" w:hanging="1152"/>
        <w:spacing w:after="0"/>
        <w:tabs>
          <w:tab w:leader="none" w:pos="1160"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B3B3B"/>
        </w:rPr>
        <w:t>Retirement Benefits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3B3B3B"/>
        </w:rPr>
        <w:t>You will participate in the Officers Retirement Account Contribution Plan (ORAC) that provides enhanced pension benefits in excess of those accrued under a qualified plan or other non-qualified supplemental pension plans. The ORAC currently provides a Company contribution of four percent of eligible compensation (base salary and bonus).</w:t>
      </w:r>
    </w:p>
    <w:p>
      <w:pPr>
        <w:spacing w:after="0" w:line="181" w:lineRule="exact"/>
        <w:rPr>
          <w:sz w:val="20"/>
          <w:szCs w:val="20"/>
          <w:color w:val="auto"/>
        </w:rPr>
      </w:pPr>
    </w:p>
    <w:p>
      <w:pPr>
        <w:ind w:left="1180" w:hanging="1172"/>
        <w:spacing w:after="0"/>
        <w:tabs>
          <w:tab w:leader="none" w:pos="118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B3B3B"/>
        </w:rPr>
        <w:t>Compliance with Section 409A</w:t>
      </w:r>
    </w:p>
    <w:p>
      <w:pPr>
        <w:spacing w:after="0" w:line="271"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3B3B3B"/>
        </w:rPr>
        <w:t>It is intended that any amounts and benefits payable to you under this offer letter shall comply with and avoid the imputation of any tax, penalty or interest under Section 409A of the Internal Revenue Code ("Section 409A"). This offer letter shall be constructed and interpreted consistent with that intent.</w:t>
      </w:r>
    </w:p>
    <w:p>
      <w:pPr>
        <w:spacing w:after="0" w:line="181" w:lineRule="exact"/>
        <w:rPr>
          <w:sz w:val="20"/>
          <w:szCs w:val="20"/>
          <w:color w:val="auto"/>
        </w:rPr>
      </w:pPr>
    </w:p>
    <w:p>
      <w:pPr>
        <w:ind w:left="1200" w:hanging="1192"/>
        <w:spacing w:after="0"/>
        <w:tabs>
          <w:tab w:leader="none" w:pos="1200"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B3B3B"/>
        </w:rPr>
        <w:t>Company's Right to Change Policies and Plans</w:t>
      </w:r>
    </w:p>
    <w:p>
      <w:pPr>
        <w:spacing w:after="0" w:line="27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3B3B3B"/>
        </w:rPr>
        <w:t>Nothing in this offer letter affects or limits the Company's right to amend or terminate its compensation and benefit policies and plans, including</w:t>
      </w:r>
      <w:r>
        <w:rPr>
          <w:rFonts w:ascii="Arial" w:cs="Arial" w:eastAsia="Arial" w:hAnsi="Arial"/>
          <w:sz w:val="21"/>
          <w:szCs w:val="21"/>
          <w:color w:val="575757"/>
        </w:rPr>
        <w:t>,</w:t>
      </w:r>
      <w:r>
        <w:rPr>
          <w:rFonts w:ascii="Arial" w:cs="Arial" w:eastAsia="Arial" w:hAnsi="Arial"/>
          <w:sz w:val="21"/>
          <w:szCs w:val="21"/>
          <w:color w:val="3B3B3B"/>
        </w:rPr>
        <w:t xml:space="preserve"> without limitation, the plans listed above or other plans for which you will be eligible.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3B3B3B"/>
        </w:rPr>
        <w:t>Elected officers are required to own Company stock valued at three times their annual salary, accumulated over a five-year period, as specified in the Company's Stock Ownership and Holding Requirements. Add</w:t>
      </w:r>
      <w:r>
        <w:rPr>
          <w:rFonts w:ascii="Arial" w:cs="Arial" w:eastAsia="Arial" w:hAnsi="Arial"/>
          <w:sz w:val="21"/>
          <w:szCs w:val="21"/>
          <w:color w:val="575757"/>
        </w:rPr>
        <w:t>i</w:t>
      </w:r>
      <w:r>
        <w:rPr>
          <w:rFonts w:ascii="Arial" w:cs="Arial" w:eastAsia="Arial" w:hAnsi="Arial"/>
          <w:sz w:val="21"/>
          <w:szCs w:val="21"/>
          <w:color w:val="3B3B3B"/>
        </w:rPr>
        <w:t>tionally</w:t>
      </w:r>
      <w:r>
        <w:rPr>
          <w:rFonts w:ascii="Arial" w:cs="Arial" w:eastAsia="Arial" w:hAnsi="Arial"/>
          <w:sz w:val="21"/>
          <w:szCs w:val="21"/>
          <w:color w:val="575757"/>
        </w:rPr>
        <w:t>,</w:t>
      </w:r>
      <w:r>
        <w:rPr>
          <w:rFonts w:ascii="Arial" w:cs="Arial" w:eastAsia="Arial" w:hAnsi="Arial"/>
          <w:sz w:val="21"/>
          <w:szCs w:val="21"/>
          <w:color w:val="3B3B3B"/>
        </w:rPr>
        <w:t xml:space="preserve"> the Company implemented a holding-period requirement for all long-term incentive stock grants and requires all officers to hold, for a period of three years, 50% of the net shares (after taxes) </w:t>
      </w:r>
      <w:r>
        <w:rPr>
          <w:rFonts w:ascii="Arial" w:cs="Arial" w:eastAsia="Arial" w:hAnsi="Arial"/>
          <w:sz w:val="21"/>
          <w:szCs w:val="21"/>
          <w:color w:val="575757"/>
        </w:rPr>
        <w:t>r</w:t>
      </w:r>
      <w:r>
        <w:rPr>
          <w:rFonts w:ascii="Arial" w:cs="Arial" w:eastAsia="Arial" w:hAnsi="Arial"/>
          <w:sz w:val="21"/>
          <w:szCs w:val="21"/>
          <w:color w:val="3B3B3B"/>
        </w:rPr>
        <w:t>ece</w:t>
      </w:r>
      <w:r>
        <w:rPr>
          <w:rFonts w:ascii="Arial" w:cs="Arial" w:eastAsia="Arial" w:hAnsi="Arial"/>
          <w:sz w:val="21"/>
          <w:szCs w:val="21"/>
          <w:color w:val="575757"/>
        </w:rPr>
        <w:t>i</w:t>
      </w:r>
      <w:r>
        <w:rPr>
          <w:rFonts w:ascii="Arial" w:cs="Arial" w:eastAsia="Arial" w:hAnsi="Arial"/>
          <w:sz w:val="21"/>
          <w:szCs w:val="21"/>
          <w:color w:val="3B3B3B"/>
        </w:rPr>
        <w:t>ved from RPSR and RSR payouts.</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3B3B3B"/>
        </w:rPr>
        <w:t>David, the above is a summary of the key compensation and benefit provisions of this offer. Additional information about the AIP, your equity grants and retirement benefits will be sent to you under separate cover following your date of hire. This offer and your employment are also subject to the normal pre-employment contingencies applicable to other new hires at Northrop Grumman. Those contingenc</w:t>
      </w:r>
      <w:r>
        <w:rPr>
          <w:rFonts w:ascii="Arial" w:cs="Arial" w:eastAsia="Arial" w:hAnsi="Arial"/>
          <w:sz w:val="21"/>
          <w:szCs w:val="21"/>
          <w:color w:val="575757"/>
        </w:rPr>
        <w:t>i</w:t>
      </w:r>
      <w:r>
        <w:rPr>
          <w:rFonts w:ascii="Arial" w:cs="Arial" w:eastAsia="Arial" w:hAnsi="Arial"/>
          <w:sz w:val="21"/>
          <w:szCs w:val="21"/>
          <w:color w:val="3B3B3B"/>
        </w:rPr>
        <w:t>es are summarized on Attachment A to this letter.</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3B3B3B"/>
        </w:rPr>
        <w:t>This offer will be valid through February 5, 2020.</w:t>
      </w:r>
    </w:p>
    <w:p>
      <w:pPr>
        <w:spacing w:after="0" w:line="27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3B3B3B"/>
        </w:rPr>
        <w:t>If you are in agreement with the terms of this offer, please sign and date this letter on the following page, indicating your estimated start date, and return the letter to me. If you have any questions regarding your employment processing, please contact me.</w:t>
      </w:r>
    </w:p>
    <w:p>
      <w:pPr>
        <w:sectPr>
          <w:pgSz w:w="11900" w:h="16838" w:orient="portrait"/>
          <w:cols w:equalWidth="0" w:num="1">
            <w:col w:w="11240"/>
          </w:cols>
          <w:pgMar w:left="320" w:top="817" w:right="339" w:bottom="1440" w:gutter="0" w:footer="0" w:header="0"/>
        </w:sectPr>
      </w:pPr>
    </w:p>
    <w:bookmarkStart w:id="67" w:name="page68"/>
    <w:bookmarkEnd w:id="67"/>
    <w:p>
      <w:pPr>
        <w:spacing w:after="0"/>
        <w:rPr>
          <w:sz w:val="20"/>
          <w:szCs w:val="20"/>
          <w:color w:val="auto"/>
        </w:rPr>
      </w:pPr>
      <w:r>
        <w:rPr>
          <w:rFonts w:ascii="Arial" w:cs="Arial" w:eastAsia="Arial" w:hAnsi="Arial"/>
          <w:sz w:val="21"/>
          <w:szCs w:val="21"/>
          <w:color w:val="383838"/>
        </w:rPr>
        <w:t>I look forward to having you join our senior management team.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383838"/>
        </w:rPr>
        <w:t>Sincerely,</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383838"/>
        </w:rPr>
        <w:t>/s/ Ann M. Addison</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383838"/>
        </w:rPr>
        <w:t>Northrop Grumman Corporation</w:t>
      </w:r>
    </w:p>
    <w:p>
      <w:pPr>
        <w:spacing w:after="0" w:line="15" w:lineRule="exact"/>
        <w:rPr>
          <w:sz w:val="20"/>
          <w:szCs w:val="20"/>
          <w:color w:val="auto"/>
        </w:rPr>
      </w:pPr>
    </w:p>
    <w:p>
      <w:pPr>
        <w:ind w:right="3099"/>
        <w:spacing w:after="0" w:line="262" w:lineRule="auto"/>
        <w:rPr>
          <w:sz w:val="20"/>
          <w:szCs w:val="20"/>
          <w:color w:val="auto"/>
        </w:rPr>
      </w:pPr>
      <w:r>
        <w:rPr>
          <w:rFonts w:ascii="Arial" w:cs="Arial" w:eastAsia="Arial" w:hAnsi="Arial"/>
          <w:sz w:val="21"/>
          <w:szCs w:val="21"/>
          <w:color w:val="383838"/>
        </w:rPr>
        <w:t xml:space="preserve">Corporate Vice President and Chief Human Resources Officer 703-280-4211 </w:t>
      </w:r>
      <w:r>
        <w:rPr>
          <w:rFonts w:ascii="Arial" w:cs="Arial" w:eastAsia="Arial" w:hAnsi="Arial"/>
          <w:sz w:val="21"/>
          <w:szCs w:val="21"/>
          <w:u w:val="single" w:color="auto"/>
          <w:color w:val="383838"/>
        </w:rPr>
        <w:t>Ann.Addison@ngc.com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383838"/>
        </w:rPr>
        <w: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383838"/>
        </w:rPr>
        <w:t>I hereby accept Northrop Grumman’s offer of employment subject to the conditions as detailed above.</w:t>
      </w:r>
    </w:p>
    <w:p>
      <w:pPr>
        <w:spacing w:after="0" w:line="94" w:lineRule="exact"/>
        <w:rPr>
          <w:sz w:val="20"/>
          <w:szCs w:val="20"/>
          <w:color w:val="auto"/>
        </w:rPr>
      </w:pPr>
    </w:p>
    <w:p>
      <w:pPr>
        <w:spacing w:after="0"/>
        <w:tabs>
          <w:tab w:leader="none" w:pos="2440" w:val="left"/>
        </w:tabs>
        <w:rPr>
          <w:sz w:val="20"/>
          <w:szCs w:val="20"/>
          <w:color w:val="auto"/>
        </w:rPr>
      </w:pPr>
      <w:r>
        <w:rPr>
          <w:rFonts w:ascii="Arial" w:cs="Arial" w:eastAsia="Arial" w:hAnsi="Arial"/>
          <w:sz w:val="21"/>
          <w:szCs w:val="21"/>
          <w:color w:val="383838"/>
        </w:rPr>
        <w:t>Signed: /s/ David Keffer</w:t>
      </w:r>
      <w:r>
        <w:rPr>
          <w:sz w:val="20"/>
          <w:szCs w:val="20"/>
          <w:color w:val="auto"/>
        </w:rPr>
        <w:tab/>
      </w:r>
      <w:r>
        <w:rPr>
          <w:rFonts w:ascii="Arial" w:cs="Arial" w:eastAsia="Arial" w:hAnsi="Arial"/>
          <w:sz w:val="20"/>
          <w:szCs w:val="20"/>
          <w:color w:val="383838"/>
        </w:rPr>
        <w:t>Date: 2/4/20</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383838"/>
        </w:rPr>
        <w:t>Start Date: 2/17/20</w:t>
      </w:r>
    </w:p>
    <w:p>
      <w:pPr>
        <w:sectPr>
          <w:pgSz w:w="11900" w:h="16838" w:orient="portrait"/>
          <w:cols w:equalWidth="0" w:num="1">
            <w:col w:w="10139"/>
          </w:cols>
          <w:pgMar w:left="320" w:top="857" w:right="1440"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March 31, 2020, and 2019, as indicated in our report dated April 28, 2020; because we did not perform an audit, we expressed no opinion on that information.</w:t>
      </w:r>
    </w:p>
    <w:p>
      <w:pPr>
        <w:spacing w:after="0" w:line="4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March 31, 2020, is incorporated by reference in Registration Statement Nos. 033-59815, 033-59853, 333-67266, 333-100179, 333-107734, 333-121104, 333-125120, 333-127317, and 333-175798 on Form S-8; and Registration Statement No. 333-237504 on Form S-3.</w:t>
      </w:r>
    </w:p>
    <w:p>
      <w:pPr>
        <w:spacing w:after="0" w:line="49"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2020</w:t>
      </w:r>
    </w:p>
    <w:p>
      <w:pPr>
        <w:sectPr>
          <w:pgSz w:w="11900" w:h="16838" w:orient="portrait"/>
          <w:cols w:equalWidth="0" w:num="1">
            <w:col w:w="11240"/>
          </w:cols>
          <w:pgMar w:left="320" w:top="55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34" w:lineRule="auto"/>
        <w:tabs>
          <w:tab w:leader="none" w:pos="13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460" w:hanging="644"/>
        <w:spacing w:after="0" w:line="334" w:lineRule="auto"/>
        <w:tabs>
          <w:tab w:leader="none" w:pos="13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1300" w:right="180" w:hanging="644"/>
        <w:spacing w:after="0" w:line="277" w:lineRule="auto"/>
        <w:tabs>
          <w:tab w:leader="none" w:pos="13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55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34" w:lineRule="auto"/>
        <w:tabs>
          <w:tab w:leader="none" w:pos="13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460" w:hanging="644"/>
        <w:spacing w:after="0" w:line="334" w:lineRule="auto"/>
        <w:tabs>
          <w:tab w:leader="none" w:pos="13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1300" w:right="180" w:hanging="644"/>
        <w:spacing w:after="0" w:line="277" w:lineRule="auto"/>
        <w:tabs>
          <w:tab w:leader="none" w:pos="13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David F. Keffer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55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March 31, 2020,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55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March 31, 2020,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David F. Keffer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1."/>
      <w:numFmt w:val="decimal"/>
      <w:start w:val="1"/>
    </w:lvl>
  </w:abstractNum>
  <w:abstractNum w:abstractNumId="3">
    <w:nsid w:val="79A1DEAA"/>
    <w:multiLevelType w:val="hybridMultilevel"/>
    <w:lvl w:ilvl="0">
      <w:lvlJc w:val="left"/>
      <w:lvlText w:val="(%1)"/>
      <w:numFmt w:val="decimal"/>
      <w:start w:val="1"/>
    </w:lvl>
  </w:abstractNum>
  <w:abstractNum w:abstractNumId="4">
    <w:nsid w:val="75C6C33A"/>
    <w:multiLevelType w:val="hybridMultilevel"/>
    <w:lvl w:ilvl="0">
      <w:lvlJc w:val="left"/>
      <w:lvlText w:val="%1."/>
      <w:numFmt w:val="decimal"/>
      <w:start w:val="2"/>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1."/>
      <w:numFmt w:val="decimal"/>
      <w:start w:val="4"/>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1."/>
      <w:numFmt w:val="decimal"/>
      <w:start w:val="5"/>
    </w:lvl>
  </w:abstractNum>
  <w:abstractNum w:abstractNumId="9">
    <w:nsid w:val="4F4EF005"/>
    <w:multiLevelType w:val="hybridMultilevel"/>
    <w:lvl w:ilvl="0">
      <w:lvlJc w:val="left"/>
      <w:lvlText w:val="%1."/>
      <w:numFmt w:val="decimal"/>
      <w:start w:val="6"/>
    </w:lvl>
  </w:abstractNum>
  <w:abstractNum w:abstractNumId="10">
    <w:nsid w:val="23F9C13C"/>
    <w:multiLevelType w:val="hybridMultilevel"/>
    <w:lvl w:ilvl="0">
      <w:lvlJc w:val="left"/>
      <w:lvlText w:val="(%1)"/>
      <w:numFmt w:val="decimal"/>
      <w:start w:val="1"/>
    </w:lvl>
  </w:abstractNum>
  <w:abstractNum w:abstractNumId="11">
    <w:nsid w:val="649BB77C"/>
    <w:multiLevelType w:val="hybridMultilevel"/>
    <w:lvl w:ilvl="0">
      <w:lvlJc w:val="left"/>
      <w:lvlText w:val="%1."/>
      <w:numFmt w:val="decimal"/>
      <w:start w:val="7"/>
    </w:lvl>
  </w:abstractNum>
  <w:abstractNum w:abstractNumId="12">
    <w:nsid w:val="275AC794"/>
    <w:multiLevelType w:val="hybridMultilevel"/>
    <w:lvl w:ilvl="0">
      <w:lvlJc w:val="left"/>
      <w:lvlText w:val="%1."/>
      <w:numFmt w:val="decimal"/>
      <w:start w:val="8"/>
    </w:lvl>
  </w:abstractNum>
  <w:abstractNum w:abstractNumId="13">
    <w:nsid w:val="39386575"/>
    <w:multiLevelType w:val="hybridMultilevel"/>
    <w:lvl w:ilvl="0">
      <w:lvlJc w:val="left"/>
      <w:lvlText w:val="%1."/>
      <w:numFmt w:val="decimal"/>
      <w:start w:val="9"/>
    </w:lvl>
  </w:abstractNum>
  <w:abstractNum w:abstractNumId="14">
    <w:nsid w:val="1CF10FD8"/>
    <w:multiLevelType w:val="hybridMultilevel"/>
    <w:lvl w:ilvl="0">
      <w:lvlJc w:val="left"/>
      <w:lvlText w:val="(%1)"/>
      <w:numFmt w:val="decimal"/>
      <w:start w:val="1"/>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amp;"/>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2"/>
    </w:lvl>
  </w:abstractNum>
  <w:abstractNum w:abstractNumId="28">
    <w:nsid w:val="310C50B3"/>
    <w:multiLevelType w:val="hybridMultilevel"/>
    <w:lvl w:ilvl="0">
      <w:lvlJc w:val="left"/>
      <w:lvlText w:val="(%1)"/>
      <w:numFmt w:val="decimal"/>
      <w:start w:val="6"/>
    </w:lvl>
  </w:abstractNum>
  <w:abstractNum w:abstractNumId="29">
    <w:nsid w:val="5FF87E05"/>
    <w:multiLevelType w:val="hybridMultilevel"/>
    <w:lvl w:ilvl="0">
      <w:lvlJc w:val="left"/>
      <w:lvlText w:val="%1."/>
      <w:numFmt w:val="decimal"/>
      <w:start w:val="3"/>
    </w:lvl>
  </w:abstractNum>
  <w:abstractNum w:abstractNumId="30">
    <w:nsid w:val="2F305DEF"/>
    <w:multiLevelType w:val="hybridMultilevel"/>
    <w:lvl w:ilvl="0">
      <w:lvlJc w:val="left"/>
      <w:lvlText w:val="%1."/>
      <w:numFmt w:val="decimal"/>
      <w:start w:val="4"/>
    </w:lvl>
  </w:abstractNum>
  <w:abstractNum w:abstractNumId="31">
    <w:nsid w:val="25A70BF7"/>
    <w:multiLevelType w:val="hybridMultilevel"/>
    <w:lvl w:ilvl="0">
      <w:lvlJc w:val="left"/>
      <w:lvlText w:val="(%1)"/>
      <w:numFmt w:val="decimal"/>
      <w:start w:val="24"/>
    </w:lvl>
  </w:abstractNum>
  <w:abstractNum w:abstractNumId="32">
    <w:nsid w:val="1DBABF00"/>
    <w:multiLevelType w:val="hybridMultilevel"/>
    <w:lvl w:ilvl="0">
      <w:lvlJc w:val="left"/>
      <w:lvlText w:val="%1."/>
      <w:numFmt w:val="decimal"/>
      <w:start w:val="5"/>
    </w:lvl>
  </w:abstractNum>
  <w:abstractNum w:abstractNumId="33">
    <w:nsid w:val="4AD084E9"/>
    <w:multiLevelType w:val="hybridMultilevel"/>
    <w:lvl w:ilvl="0">
      <w:lvlJc w:val="left"/>
      <w:lvlText w:val="%1."/>
      <w:numFmt w:val="decimal"/>
      <w:start w:val="6"/>
    </w:lvl>
  </w:abstractNum>
  <w:abstractNum w:abstractNumId="34">
    <w:nsid w:val="1F48EAA1"/>
    <w:multiLevelType w:val="hybridMultilevel"/>
    <w:lvl w:ilvl="0">
      <w:lvlJc w:val="left"/>
      <w:lvlText w:val="%1."/>
      <w:numFmt w:val="decimal"/>
      <w:start w:val="7"/>
    </w:lvl>
  </w:abstractNum>
  <w:abstractNum w:abstractNumId="35">
    <w:nsid w:val="1381823A"/>
    <w:multiLevelType w:val="hybridMultilevel"/>
    <w:lvl w:ilvl="0">
      <w:lvlJc w:val="left"/>
      <w:lvlText w:val="%1."/>
      <w:numFmt w:val="decimal"/>
      <w:start w:val="8"/>
    </w:lvl>
  </w:abstractNum>
  <w:abstractNum w:abstractNumId="36">
    <w:nsid w:val="5DB70AE5"/>
    <w:multiLevelType w:val="hybridMultilevel"/>
    <w:lvl w:ilvl="0">
      <w:lvlJc w:val="left"/>
      <w:lvlText w:val="%1."/>
      <w:numFmt w:val="decimal"/>
      <w:start w:val="9"/>
    </w:lvl>
  </w:abstractNum>
  <w:abstractNum w:abstractNumId="37">
    <w:nsid w:val="100F8FCA"/>
    <w:multiLevelType w:val="hybridMultilevel"/>
    <w:lvl w:ilvl="0">
      <w:lvlJc w:val="left"/>
      <w:lvlText w:val="%1."/>
      <w:numFmt w:val="decimal"/>
      <w:start w:val="10"/>
    </w:lvl>
  </w:abstractNum>
  <w:abstractNum w:abstractNumId="38">
    <w:nsid w:val="6590700B"/>
    <w:multiLevelType w:val="hybridMultilevel"/>
    <w:lvl w:ilvl="0">
      <w:lvlJc w:val="left"/>
      <w:lvlText w:val="%1."/>
      <w:numFmt w:val="decimal"/>
      <w:start w:val="11"/>
    </w:lvl>
  </w:abstractNum>
  <w:abstractNum w:abstractNumId="39">
    <w:nsid w:val="15014ACB"/>
    <w:multiLevelType w:val="hybridMultilevel"/>
    <w:lvl w:ilvl="0">
      <w:lvlJc w:val="left"/>
      <w:lvlText w:val="%1."/>
      <w:numFmt w:val="decimal"/>
      <w:start w:val="12"/>
    </w:lvl>
  </w:abstractNum>
  <w:abstractNum w:abstractNumId="40">
    <w:nsid w:val="5F5E7FD0"/>
    <w:multiLevelType w:val="hybridMultilevel"/>
    <w:lvl w:ilvl="0">
      <w:lvlJc w:val="left"/>
      <w:lvlText w:val="(%1)"/>
      <w:numFmt w:val="lowerRoman"/>
      <w:start w:val="1"/>
    </w:lvl>
  </w:abstractNum>
  <w:abstractNum w:abstractNumId="41">
    <w:nsid w:val="98A3148"/>
    <w:multiLevelType w:val="hybridMultilevel"/>
    <w:lvl w:ilvl="0">
      <w:lvlJc w:val="left"/>
      <w:lvlText w:val="(%1)"/>
      <w:numFmt w:val="lowerRoman"/>
      <w:start w:val="1"/>
    </w:lvl>
  </w:abstractNum>
  <w:abstractNum w:abstractNumId="42">
    <w:nsid w:val="799D0247"/>
    <w:multiLevelType w:val="hybridMultilevel"/>
    <w:lvl w:ilvl="0">
      <w:lvlJc w:val="left"/>
      <w:lvlText w:val="(%1)"/>
      <w:numFmt w:val="lowerRoman"/>
      <w:start w:val="2"/>
    </w:lvl>
  </w:abstractNum>
  <w:abstractNum w:abstractNumId="43">
    <w:nsid w:val="6B94764"/>
    <w:multiLevelType w:val="hybridMultilevel"/>
    <w:lvl w:ilvl="0">
      <w:lvlJc w:val="left"/>
      <w:lvlText w:val="(%1)"/>
      <w:numFmt w:val="lowerRoman"/>
      <w:start w:val="1"/>
    </w:lvl>
  </w:abstractNum>
  <w:abstractNum w:abstractNumId="44">
    <w:nsid w:val="42C296BD"/>
    <w:multiLevelType w:val="hybridMultilevel"/>
    <w:lvl w:ilvl="0">
      <w:lvlJc w:val="left"/>
      <w:lvlText w:val="(%1)"/>
      <w:numFmt w:val="lowerRoman"/>
      <w:start w:val="2"/>
    </w:lvl>
  </w:abstractNum>
  <w:abstractNum w:abstractNumId="45">
    <w:nsid w:val="168E121F"/>
    <w:multiLevelType w:val="hybridMultilevel"/>
    <w:lvl w:ilvl="0">
      <w:lvlJc w:val="left"/>
      <w:lvlText w:val="(%1)"/>
      <w:numFmt w:val="lowerRoman"/>
      <w:start w:val="1"/>
    </w:lvl>
  </w:abstractNum>
  <w:abstractNum w:abstractNumId="46">
    <w:nsid w:val="1EBA5D23"/>
    <w:multiLevelType w:val="hybridMultilevel"/>
    <w:lvl w:ilvl="0">
      <w:lvlJc w:val="left"/>
      <w:lvlText w:val="(%1)"/>
      <w:numFmt w:val="lowerRoman"/>
      <w:start w:val="2"/>
    </w:lvl>
    <w:lvl w:ilvl="1">
      <w:lvlJc w:val="left"/>
      <w:lvlText w:val="(%2)"/>
      <w:numFmt w:val="lowerRoman"/>
      <w:start w:val="2"/>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1)"/>
      <w:numFmt w:val="decimal"/>
      <w:start w:val="6"/>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1)"/>
      <w:numFmt w:val="lowerLetter"/>
      <w:start w:val="1"/>
    </w:lvl>
  </w:abstractNum>
  <w:abstractNum w:abstractNumId="51">
    <w:nsid w:val="51D9C564"/>
    <w:multiLevelType w:val="hybridMultilevel"/>
    <w:lvl w:ilvl="0">
      <w:lvlJc w:val="left"/>
      <w:lvlText w:val="%1."/>
      <w:numFmt w:val="decimal"/>
      <w:start w:val="2"/>
    </w:lvl>
  </w:abstractNum>
  <w:abstractNum w:abstractNumId="52">
    <w:nsid w:val="613EFDC5"/>
    <w:multiLevelType w:val="hybridMultilevel"/>
    <w:lvl w:ilvl="0">
      <w:lvlJc w:val="left"/>
      <w:lvlText w:val="%1."/>
      <w:numFmt w:val="decimal"/>
      <w:start w:val="4"/>
    </w:lvl>
  </w:abstractNum>
  <w:abstractNum w:abstractNumId="53">
    <w:nsid w:val="BF72B14"/>
    <w:multiLevelType w:val="hybridMultilevel"/>
    <w:lvl w:ilvl="0">
      <w:lvlJc w:val="left"/>
      <w:lvlText w:val="(%1)"/>
      <w:numFmt w:val="decimal"/>
      <w:start w:val="24"/>
    </w:lvl>
  </w:abstractNum>
  <w:abstractNum w:abstractNumId="54">
    <w:nsid w:val="11447B73"/>
    <w:multiLevelType w:val="hybridMultilevel"/>
    <w:lvl w:ilvl="0">
      <w:lvlJc w:val="left"/>
      <w:lvlText w:val="%1."/>
      <w:numFmt w:val="decimal"/>
      <w:start w:val="5"/>
    </w:lvl>
  </w:abstractNum>
  <w:abstractNum w:abstractNumId="55">
    <w:nsid w:val="42963E5A"/>
    <w:multiLevelType w:val="hybridMultilevel"/>
    <w:lvl w:ilvl="0">
      <w:lvlJc w:val="left"/>
      <w:lvlText w:val="%1."/>
      <w:numFmt w:val="decimal"/>
      <w:start w:val="6"/>
    </w:lvl>
  </w:abstractNum>
  <w:abstractNum w:abstractNumId="56">
    <w:nsid w:val="A0382C5"/>
    <w:multiLevelType w:val="hybridMultilevel"/>
    <w:lvl w:ilvl="0">
      <w:lvlJc w:val="left"/>
      <w:lvlText w:val="%1."/>
      <w:numFmt w:val="decimal"/>
      <w:start w:val="7"/>
    </w:lvl>
  </w:abstractNum>
  <w:abstractNum w:abstractNumId="57">
    <w:nsid w:val="8F2B15E"/>
    <w:multiLevelType w:val="hybridMultilevel"/>
    <w:lvl w:ilvl="0">
      <w:lvlJc w:val="left"/>
      <w:lvlText w:val="%1."/>
      <w:numFmt w:val="decimal"/>
      <w:start w:val="8"/>
    </w:lvl>
  </w:abstractNum>
  <w:abstractNum w:abstractNumId="58">
    <w:nsid w:val="1A32234B"/>
    <w:multiLevelType w:val="hybridMultilevel"/>
    <w:lvl w:ilvl="0">
      <w:lvlJc w:val="left"/>
      <w:lvlText w:val="%1."/>
      <w:numFmt w:val="decimal"/>
      <w:start w:val="9"/>
    </w:lvl>
  </w:abstractNum>
  <w:abstractNum w:abstractNumId="59">
    <w:nsid w:val="3B0FD379"/>
    <w:multiLevelType w:val="hybridMultilevel"/>
    <w:lvl w:ilvl="0">
      <w:lvlJc w:val="left"/>
      <w:lvlText w:val="%1."/>
      <w:numFmt w:val="decimal"/>
      <w:start w:val="10"/>
    </w:lvl>
  </w:abstractNum>
  <w:abstractNum w:abstractNumId="60">
    <w:nsid w:val="68EB2F63"/>
    <w:multiLevelType w:val="hybridMultilevel"/>
    <w:lvl w:ilvl="0">
      <w:lvlJc w:val="left"/>
      <w:lvlText w:val="%1."/>
      <w:numFmt w:val="decimal"/>
      <w:start w:val="11"/>
    </w:lvl>
  </w:abstractNum>
  <w:abstractNum w:abstractNumId="61">
    <w:nsid w:val="4962813B"/>
    <w:multiLevelType w:val="hybridMultilevel"/>
    <w:lvl w:ilvl="0">
      <w:lvlJc w:val="left"/>
      <w:lvlText w:val="%1."/>
      <w:numFmt w:val="decimal"/>
      <w:start w:val="12"/>
    </w:lvl>
  </w:abstractNum>
  <w:abstractNum w:abstractNumId="62">
    <w:nsid w:val="60B6DF70"/>
    <w:multiLevelType w:val="hybridMultilevel"/>
    <w:lvl w:ilvl="0">
      <w:lvlJc w:val="left"/>
      <w:lvlText w:val="(%1)"/>
      <w:numFmt w:val="lowerRoman"/>
      <w:start w:val="1"/>
    </w:lvl>
  </w:abstractNum>
  <w:abstractNum w:abstractNumId="63">
    <w:nsid w:val="6A5EE64"/>
    <w:multiLevelType w:val="hybridMultilevel"/>
    <w:lvl w:ilvl="0">
      <w:lvlJc w:val="left"/>
      <w:lvlText w:val="%1"/>
      <w:numFmt w:val="lowerRoman"/>
      <w:start w:val="1"/>
    </w:lvl>
    <w:lvl w:ilvl="1">
      <w:lvlJc w:val="left"/>
      <w:lvlText w:val="(%2)"/>
      <w:numFmt w:val="lowerRoman"/>
      <w:start w:val="1"/>
    </w:lvl>
  </w:abstractNum>
  <w:abstractNum w:abstractNumId="64">
    <w:nsid w:val="14330624"/>
    <w:multiLevelType w:val="hybridMultilevel"/>
    <w:lvl w:ilvl="0">
      <w:lvlJc w:val="left"/>
      <w:lvlText w:val="(%1)"/>
      <w:numFmt w:val="lowerRoman"/>
      <w:start w:val="3"/>
    </w:lvl>
    <w:lvl w:ilvl="1">
      <w:lvlJc w:val="left"/>
      <w:lvlText w:val="%2"/>
      <w:numFmt w:val="lowerRoman"/>
      <w:start w:val="1"/>
    </w:lvl>
  </w:abstractNum>
  <w:abstractNum w:abstractNumId="65">
    <w:nsid w:val="7FFFCA11"/>
    <w:multiLevelType w:val="hybridMultilevel"/>
    <w:lvl w:ilvl="0">
      <w:lvlJc w:val="left"/>
      <w:lvlText w:val="(%1)"/>
      <w:numFmt w:val="lowerRoman"/>
      <w:start w:val="1"/>
    </w:lvl>
  </w:abstractNum>
  <w:abstractNum w:abstractNumId="66">
    <w:nsid w:val="1A27709E"/>
    <w:multiLevelType w:val="hybridMultilevel"/>
    <w:lvl w:ilvl="0">
      <w:lvlJc w:val="left"/>
      <w:lvlText w:val="(%1)"/>
      <w:numFmt w:val="upperLetter"/>
      <w:start w:val="1"/>
    </w:lvl>
  </w:abstractNum>
  <w:abstractNum w:abstractNumId="67">
    <w:nsid w:val="71EA1109"/>
    <w:multiLevelType w:val="hybridMultilevel"/>
    <w:lvl w:ilvl="0">
      <w:lvlJc w:val="left"/>
      <w:lvlText w:val="(%1)"/>
      <w:numFmt w:val="lowerRoman"/>
      <w:start w:val="2"/>
    </w:lvl>
  </w:abstractNum>
  <w:abstractNum w:abstractNumId="68">
    <w:nsid w:val="100F59DC"/>
    <w:multiLevelType w:val="hybridMultilevel"/>
    <w:lvl w:ilvl="0">
      <w:lvlJc w:val="left"/>
      <w:lvlText w:val="(%1)"/>
      <w:numFmt w:val="lowerRoman"/>
      <w:start w:val="4"/>
    </w:lvl>
  </w:abstractNum>
  <w:abstractNum w:abstractNumId="69">
    <w:nsid w:val="7FB7E0AA"/>
    <w:multiLevelType w:val="hybridMultilevel"/>
    <w:lvl w:ilvl="0">
      <w:lvlJc w:val="left"/>
      <w:lvlText w:val="(%1)"/>
      <w:numFmt w:val="lowerRoman"/>
      <w:start w:val="1"/>
    </w:lvl>
    <w:lvl w:ilvl="1">
      <w:lvlJc w:val="left"/>
      <w:lvlText w:val="(%2)"/>
      <w:numFmt w:val="lowerRoman"/>
      <w:start w:val="2"/>
    </w:lvl>
  </w:abstractNum>
  <w:abstractNum w:abstractNumId="70">
    <w:nsid w:val="6EB5BD4"/>
    <w:multiLevelType w:val="hybridMultilevel"/>
    <w:lvl w:ilvl="0">
      <w:lvlJc w:val="left"/>
      <w:lvlText w:val="%1."/>
      <w:numFmt w:val="decimal"/>
      <w:start w:val="1"/>
    </w:lvl>
  </w:abstractNum>
  <w:abstractNum w:abstractNumId="71">
    <w:nsid w:val="6F6DD9AC"/>
    <w:multiLevelType w:val="hybridMultilevel"/>
    <w:lvl w:ilvl="0">
      <w:lvlJc w:val="left"/>
      <w:lvlText w:val="%1."/>
      <w:numFmt w:val="decimal"/>
      <w:start w:val="2"/>
    </w:lvl>
  </w:abstractNum>
  <w:abstractNum w:abstractNumId="72">
    <w:nsid w:val="94211F2"/>
    <w:multiLevelType w:val="hybridMultilevel"/>
    <w:lvl w:ilvl="0">
      <w:lvlJc w:val="left"/>
      <w:lvlText w:val="%1."/>
      <w:numFmt w:val="decimal"/>
      <w:start w:val="3"/>
    </w:lvl>
  </w:abstractNum>
  <w:abstractNum w:abstractNumId="73">
    <w:nsid w:val="885E1B"/>
    <w:multiLevelType w:val="hybridMultilevel"/>
    <w:lvl w:ilvl="0">
      <w:lvlJc w:val="left"/>
      <w:lvlText w:val="%1."/>
      <w:numFmt w:val="decimal"/>
      <w:start w:val="4"/>
    </w:lvl>
  </w:abstractNum>
  <w:abstractNum w:abstractNumId="74">
    <w:nsid w:val="76272110"/>
    <w:multiLevelType w:val="hybridMultilevel"/>
    <w:lvl w:ilvl="0">
      <w:lvlJc w:val="left"/>
      <w:lvlText w:val="(%1)"/>
      <w:numFmt w:val="decimal"/>
      <w:start w:val="24"/>
    </w:lvl>
  </w:abstractNum>
  <w:abstractNum w:abstractNumId="75">
    <w:nsid w:val="4C04A8AF"/>
    <w:multiLevelType w:val="hybridMultilevel"/>
    <w:lvl w:ilvl="0">
      <w:lvlJc w:val="left"/>
      <w:lvlText w:val="%1."/>
      <w:numFmt w:val="decimal"/>
      <w:start w:val="5"/>
    </w:lvl>
  </w:abstractNum>
  <w:abstractNum w:abstractNumId="76">
    <w:nsid w:val="1716703B"/>
    <w:multiLevelType w:val="hybridMultilevel"/>
    <w:lvl w:ilvl="0">
      <w:lvlJc w:val="left"/>
      <w:lvlText w:val="%1."/>
      <w:numFmt w:val="decimal"/>
      <w:start w:val="6"/>
    </w:lvl>
  </w:abstractNum>
  <w:abstractNum w:abstractNumId="77">
    <w:nsid w:val="14E17E33"/>
    <w:multiLevelType w:val="hybridMultilevel"/>
    <w:lvl w:ilvl="0">
      <w:lvlJc w:val="left"/>
      <w:lvlText w:val="%1."/>
      <w:numFmt w:val="decimal"/>
      <w:start w:val="7"/>
    </w:lvl>
  </w:abstractNum>
  <w:abstractNum w:abstractNumId="78">
    <w:nsid w:val="3222E7CD"/>
    <w:multiLevelType w:val="hybridMultilevel"/>
    <w:lvl w:ilvl="0">
      <w:lvlJc w:val="left"/>
      <w:lvlText w:val="%1."/>
      <w:numFmt w:val="decimal"/>
      <w:start w:val="8"/>
    </w:lvl>
  </w:abstractNum>
  <w:abstractNum w:abstractNumId="79">
    <w:nsid w:val="74DE0EE3"/>
    <w:multiLevelType w:val="hybridMultilevel"/>
    <w:lvl w:ilvl="0">
      <w:lvlJc w:val="left"/>
      <w:lvlText w:val="%1."/>
      <w:numFmt w:val="decimal"/>
      <w:start w:val="9"/>
    </w:lvl>
  </w:abstractNum>
  <w:abstractNum w:abstractNumId="80">
    <w:nsid w:val="68EBC550"/>
    <w:multiLevelType w:val="hybridMultilevel"/>
    <w:lvl w:ilvl="0">
      <w:lvlJc w:val="left"/>
      <w:lvlText w:val="%1."/>
      <w:numFmt w:val="decimal"/>
      <w:start w:val="10"/>
    </w:lvl>
  </w:abstractNum>
  <w:abstractNum w:abstractNumId="81">
    <w:nsid w:val="2DF6D648"/>
    <w:multiLevelType w:val="hybridMultilevel"/>
    <w:lvl w:ilvl="0">
      <w:lvlJc w:val="left"/>
      <w:lvlText w:val="%1."/>
      <w:numFmt w:val="decimal"/>
      <w:start w:val="11"/>
    </w:lvl>
  </w:abstractNum>
  <w:abstractNum w:abstractNumId="82">
    <w:nsid w:val="46B7D447"/>
    <w:multiLevelType w:val="hybridMultilevel"/>
    <w:lvl w:ilvl="0">
      <w:lvlJc w:val="left"/>
      <w:lvlText w:val="%1."/>
      <w:numFmt w:val="decimal"/>
      <w:start w:val="12"/>
    </w:lvl>
  </w:abstractNum>
  <w:abstractNum w:abstractNumId="83">
    <w:nsid w:val="4A2AC315"/>
    <w:multiLevelType w:val="hybridMultilevel"/>
    <w:lvl w:ilvl="0">
      <w:lvlJc w:val="left"/>
      <w:lvlText w:val="(%1)"/>
      <w:numFmt w:val="lowerRoman"/>
      <w:start w:val="1"/>
    </w:lvl>
  </w:abstractNum>
  <w:abstractNum w:abstractNumId="84">
    <w:nsid w:val="39EE015C"/>
    <w:multiLevelType w:val="hybridMultilevel"/>
    <w:lvl w:ilvl="0">
      <w:lvlJc w:val="left"/>
      <w:lvlText w:val="(%1)"/>
      <w:numFmt w:val="lowerRoman"/>
      <w:start w:val="1"/>
    </w:lvl>
  </w:abstractNum>
  <w:abstractNum w:abstractNumId="85">
    <w:nsid w:val="57FC4FBB"/>
    <w:multiLevelType w:val="hybridMultilevel"/>
    <w:lvl w:ilvl="0">
      <w:lvlJc w:val="left"/>
      <w:lvlText w:val="(%1)"/>
      <w:numFmt w:val="lowerRoman"/>
      <w:start w:val="2"/>
    </w:lvl>
  </w:abstractNum>
  <w:abstractNum w:abstractNumId="86">
    <w:nsid w:val="CC1016F"/>
    <w:multiLevelType w:val="hybridMultilevel"/>
    <w:lvl w:ilvl="0">
      <w:lvlJc w:val="left"/>
      <w:lvlText w:val="(%1)"/>
      <w:numFmt w:val="lowerRoman"/>
      <w:start w:val="1"/>
    </w:lvl>
    <w:lvl w:ilvl="1">
      <w:lvlJc w:val="left"/>
      <w:lvlText w:val="(%2)"/>
      <w:numFmt w:val="lowerRoman"/>
      <w:start w:val="2"/>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1."/>
      <w:numFmt w:val="decimal"/>
      <w:start w:val="2"/>
    </w:lvl>
  </w:abstractNum>
  <w:abstractNum w:abstractNumId="89">
    <w:nsid w:val="26F324BA"/>
    <w:multiLevelType w:val="hybridMultilevel"/>
    <w:lvl w:ilvl="0">
      <w:lvlJc w:val="left"/>
      <w:lvlText w:val="%1."/>
      <w:numFmt w:val="decimal"/>
      <w:start w:val="3"/>
    </w:lvl>
  </w:abstractNum>
  <w:abstractNum w:abstractNumId="90">
    <w:nsid w:val="7F01579B"/>
    <w:multiLevelType w:val="hybridMultilevel"/>
    <w:lvl w:ilvl="0">
      <w:lvlJc w:val="left"/>
      <w:lvlText w:val="%1."/>
      <w:numFmt w:val="decimal"/>
      <w:start w:val="4"/>
    </w:lvl>
  </w:abstractNum>
  <w:abstractNum w:abstractNumId="91">
    <w:nsid w:val="49DA307D"/>
    <w:multiLevelType w:val="hybridMultilevel"/>
    <w:lvl w:ilvl="0">
      <w:lvlJc w:val="left"/>
      <w:lvlText w:val="%1."/>
      <w:numFmt w:val="decimal"/>
      <w:start w:val="5"/>
    </w:lvl>
  </w:abstractNum>
  <w:abstractNum w:abstractNumId="92">
    <w:nsid w:val="7055A5F5"/>
    <w:multiLevelType w:val="hybridMultilevel"/>
    <w:lvl w:ilvl="0">
      <w:lvlJc w:val="left"/>
      <w:lvlText w:val="%1."/>
      <w:numFmt w:val="decimal"/>
      <w:start w:val="6"/>
    </w:lvl>
  </w:abstractNum>
  <w:abstractNum w:abstractNumId="93">
    <w:nsid w:val="5FB8370B"/>
    <w:multiLevelType w:val="hybridMultilevel"/>
    <w:lvl w:ilvl="0">
      <w:lvlJc w:val="left"/>
      <w:lvlText w:val="%1."/>
      <w:numFmt w:val="decimal"/>
      <w:start w:val="7"/>
    </w:lvl>
  </w:abstractNum>
  <w:abstractNum w:abstractNumId="94">
    <w:nsid w:val="50801EE1"/>
    <w:multiLevelType w:val="hybridMultilevel"/>
    <w:lvl w:ilvl="0">
      <w:lvlJc w:val="left"/>
      <w:lvlText w:val="%1."/>
      <w:numFmt w:val="decimal"/>
      <w:start w:val="8"/>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3" Type="http://schemas.openxmlformats.org/officeDocument/2006/relationships/hyperlink" Target="http://www.sec.gov/Archives/edgar/data/1133421/000095012311032455/v59140exv10w1.htm" TargetMode="External"/><Relationship Id="rId14" Type="http://schemas.openxmlformats.org/officeDocument/2006/relationships/hyperlink" Target="http://www.sec.gov/Archives/edgar/data/1133421/000095012311032455/v59140exv10w2.htm" TargetMode="External"/><Relationship Id="rId15" Type="http://schemas.openxmlformats.org/officeDocument/2006/relationships/hyperlink" Target="http://www.sec.gov/Archives/edgar/data/1133421/000095015717001299/ex2-1.htm" TargetMode="External"/><Relationship Id="rId16" Type="http://schemas.openxmlformats.org/officeDocument/2006/relationships/hyperlink" Target="http://www.sec.gov/Archives/edgar/data/866121/000095015714000426/ex2-1.htm" TargetMode="External"/><Relationship Id="rId17" Type="http://schemas.openxmlformats.org/officeDocument/2006/relationships/hyperlink" Target="https://www.sec.gov/Archives/edgar/data/1133421/000119312520082921/d895407dex41.htm" TargetMode="External"/><Relationship Id="rId18" Type="http://schemas.openxmlformats.org/officeDocument/2006/relationships/hyperlink" Target="https://www.sec.gov/Archives/edgar/data/1133421/000113342120000008/sepa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2020-04-30T17:40:20Z</dcterms:created>
  <dcterms:modified xsi:type="dcterms:W3CDTF">2020-04-30T17:40:20Z</dcterms:modified>
</cp:coreProperties>
</file>