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June 30, 2025</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11"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0"/>
        </w:trPr>
        <w:tc>
          <w:tcPr>
            <w:tcW w:w="1480" w:type="dxa"/>
            <w:vAlign w:val="bottom"/>
          </w:tcPr>
          <w:p>
            <w:pPr>
              <w:spacing w:after="0"/>
              <w:rPr>
                <w:sz w:val="15"/>
                <w:szCs w:val="15"/>
                <w:color w:val="auto"/>
              </w:rPr>
            </w:pPr>
          </w:p>
        </w:tc>
        <w:tc>
          <w:tcPr>
            <w:tcW w:w="5640" w:type="dxa"/>
            <w:vAlign w:val="bottom"/>
            <w:gridSpan w:val="2"/>
          </w:tcPr>
          <w:p>
            <w:pPr>
              <w:jc w:val="center"/>
              <w:ind w:right="311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1"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7"/>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79"/>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21"/>
        </w:trPr>
        <w:tc>
          <w:tcPr>
            <w:tcW w:w="1480" w:type="dxa"/>
            <w:vAlign w:val="bottom"/>
            <w:tcBorders>
              <w:bottom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4140" w:type="dxa"/>
            <w:vAlign w:val="bottom"/>
            <w:tcBorders>
              <w:bottom w:val="single" w:sz="8" w:color="auto"/>
            </w:tcBorders>
          </w:tcPr>
          <w:p>
            <w:pPr>
              <w:spacing w:after="0"/>
              <w:rPr>
                <w:sz w:val="10"/>
                <w:szCs w:val="10"/>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17"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10"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90"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17, 2025, 143,182,982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350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11</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7"/>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0"/>
        </w:trPr>
        <w:tc>
          <w:tcPr>
            <w:tcW w:w="90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EARNINGS AND COMPREHENSIVE INCOME (Unaudited)</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2"/>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8,258</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15,779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2,093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10,351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10,218</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19,819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20,351</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6,526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6,388</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12,892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1,615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1,639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3,137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1,016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1,101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9,157</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9,128</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18,052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1,998</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267</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1,427</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1,146</w:t>
            </w: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2,005</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w:t>
            </w:r>
          </w:p>
        </w:tc>
      </w:tr>
      <w:tr>
        <w:trPr>
          <w:trHeight w:val="229"/>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1,174</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1,655</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11.48</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147.5</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144.2</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8.15</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11.45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37"/>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144.0</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147.7</w:t>
            </w:r>
          </w:p>
        </w:tc>
        <w:tc>
          <w:tcPr>
            <w:tcW w:w="2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144.5</w:t>
            </w:r>
          </w:p>
        </w:tc>
        <w:tc>
          <w:tcPr>
            <w:tcW w:w="3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1,192</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937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1,683</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1,899</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2,196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7,133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1,553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1,245</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14,026</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$9,207 for 2025 and $8,733 for 2024</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10,537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17,435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1,713</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assets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2,393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1,333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49,451</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2,592</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1,856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3,997</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5,014</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13,459</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$551 for 2025 and $1,582 for 2024</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1,108</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2,448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33,980</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0" w:type="dxa"/>
            <w:vAlign w:val="bottom"/>
          </w:tcPr>
          <w:p>
            <w:pPr>
              <w:spacing w:after="0"/>
              <w:rPr>
                <w:sz w:val="1"/>
                <w:szCs w:val="1"/>
                <w:color w:val="auto"/>
              </w:rPr>
            </w:pPr>
          </w:p>
        </w:tc>
      </w:tr>
      <w:tr>
        <w:trPr>
          <w:trHeight w:val="129"/>
        </w:trPr>
        <w:tc>
          <w:tcPr>
            <w:tcW w:w="7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2025—143,276,021</w:t>
            </w:r>
          </w:p>
        </w:tc>
        <w:tc>
          <w:tcPr>
            <w:tcW w:w="240" w:type="dxa"/>
            <w:vAlign w:val="bottom"/>
            <w:shd w:val="clear" w:color="auto" w:fill="CCEEFF"/>
          </w:tcPr>
          <w:p>
            <w:pPr>
              <w:spacing w:after="0"/>
              <w:rPr>
                <w:sz w:val="16"/>
                <w:szCs w:val="16"/>
                <w:color w:val="auto"/>
              </w:rPr>
            </w:pPr>
          </w:p>
        </w:tc>
        <w:tc>
          <w:tcPr>
            <w:tcW w:w="14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2024—144,952,026</w:t>
            </w:r>
          </w:p>
        </w:tc>
        <w:tc>
          <w:tcPr>
            <w:tcW w:w="240" w:type="dxa"/>
            <w:vAlign w:val="bottom"/>
            <w:shd w:val="clear" w:color="auto" w:fill="CCEEFF"/>
          </w:tcPr>
          <w:p>
            <w:pPr>
              <w:spacing w:after="0"/>
              <w:rPr>
                <w:sz w:val="20"/>
                <w:szCs w:val="20"/>
                <w:color w:val="auto"/>
              </w:rPr>
            </w:pPr>
          </w:p>
        </w:tc>
        <w:tc>
          <w:tcPr>
            <w:tcW w:w="146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240" w:type="dxa"/>
            <w:vAlign w:val="bottom"/>
          </w:tcPr>
          <w:p>
            <w:pPr>
              <w:spacing w:after="0"/>
              <w:rPr>
                <w:sz w:val="19"/>
                <w:szCs w:val="19"/>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15,452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15,471</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49,451</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(used in) provided by operating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687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B-21 loss provision</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7"/>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Divestiture of training services business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37"/>
        </w:trPr>
        <w:tc>
          <w:tcPr>
            <w:tcW w:w="8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borrowings on commercial paper</w:t>
            </w:r>
          </w:p>
        </w:tc>
        <w:tc>
          <w:tcPr>
            <w:tcW w:w="18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4,353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30"/>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1,899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2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14,982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14,218</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15,297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1,174</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(631)</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15,452</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14,301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15,452</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28</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15,471</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15,471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r>
      <w:tr>
        <w:trPr>
          <w:trHeight w:val="236"/>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4.37</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July 1, 2024, the company realigned the Strategic Deterrent Systems (SDS) division, which includes the Ground-Based Strategic Deterrent (“Sentinel”) program, from Space Systems to Defense Systems. Effective January 1, 2025, the company realigned the Strike and Surveillance Aircraft Solutions (SSAS) business unit from Defense Systems to Aeronautics Systems. These realignments are reflected in the financial information contained in this report.</w:t>
      </w:r>
    </w:p>
    <w:p>
      <w:pPr>
        <w:spacing w:after="0" w:line="4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subject to a final working capital adjustment,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reported in the financial statements are not necessarily indicative of results that may be expected for the entire year. The financial statements should be read in conjunction with the information contained in the company’s 2024 Annual Report on Form 10-K.</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obligation, the entire amount of the estimable future loss, including an allocation of general and administrative expense, is charged against income in the period the loss is identified.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low-rate initial production (LRIP) options on the B-21 program. During the first quarter of 2025, we recognized an additional $477 million loss across the five LRIP options. As of June 30, 2025, the remaining loss accrual on the B-21 program totaled $1.6 billion, which is included in Other current liabilities.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126</w:t>
            </w:r>
          </w:p>
        </w:tc>
        <w:tc>
          <w:tcPr>
            <w:tcW w:w="3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0.69</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0.15</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r>
    </w:tbl>
    <w:p>
      <w:pPr>
        <w:spacing w:after="0" w:line="167"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6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second quarter of 2025, the company recorded a $76 million favorable EAC adjustment on the EMD phase of the Sentinel program at Defense Systems largely related to our expectations for achieving certain contract incentives. During the first quarter of 2025, the company recorded a $226 million unfavorable EAC adjustment on the first and second LRIP lots of the B-21 program at Aeronautics Systems. No EAC adjustments on a single performance obligation had a significant impact on the financial statements during the six months ended June 30,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6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Company backlog as of June 30, 2025 was $89.7 billion and reflects a $150 million reduction of backlog in connection with the training services divestiture. Of our June 30, 2025 backlog, we expect to recognize approximately 40 percent as revenue over the next 12 months and 65 percent as revenue over the next 24 months, with the remainder to be recognized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six months ended June 30, 2025 that was included in the December 31, 2024 contract liability balance was $780 million and $2.7 billion, respectively. The amount of revenue recognized for the three and six months ended June 30, 2024 that was included in the December 31, 2023 contract liability balance was $1.1 billion and $3.0 billion, respectively.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Non-cash investing activities for the six months ended June 30, 2025 and 2024 include capital expenditures incurred but not yet paid of $134 million and $77 million, respectively.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520"/>
        <w:spacing w:after="0" w:line="260" w:lineRule="auto"/>
        <w:rPr>
          <w:sz w:val="20"/>
          <w:szCs w:val="20"/>
          <w:color w:val="auto"/>
        </w:rPr>
      </w:pPr>
      <w:r>
        <w:rPr>
          <w:rFonts w:ascii="Times New Roman" w:cs="Times New Roman" w:eastAsia="Times New Roman" w:hAnsi="Times New Roman"/>
          <w:sz w:val="18"/>
          <w:szCs w:val="18"/>
          <w:color w:val="auto"/>
        </w:rPr>
        <w:t>As of June 30, 2025, we have approximately $1.3 billion in rental commitments for real estate leases that have not yet commenced. These leases are expected to commence between 2025 and 2027 with lease terms of 8 to 26 years.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1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1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standard will not have an impact on the company’s consolidated financial position, results of operations and/or cash flows.</w:t>
      </w:r>
    </w:p>
    <w:p>
      <w:pPr>
        <w:spacing w:after="0" w:line="5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 xml:space="preserve">On November 4,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2024-03; however, we do not expect the standard will have a material impact on the company’s consolidated financial position, results of operations and/or cash flows.</w:t>
      </w:r>
    </w:p>
    <w:p>
      <w:pPr>
        <w:spacing w:after="0" w:line="6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June 30, 2025, are not expected to have a material effect on the company’s consolidated financial position, results of operations and/or cash flows.</w:t>
      </w:r>
    </w:p>
    <w:p>
      <w:pPr>
        <w:spacing w:after="0" w:line="36" w:lineRule="exact"/>
        <w:rPr>
          <w:sz w:val="20"/>
          <w:szCs w:val="20"/>
          <w:color w:val="auto"/>
        </w:rPr>
      </w:pPr>
    </w:p>
    <w:p>
      <w:pPr>
        <w:ind w:right="3360"/>
        <w:spacing w:after="0" w:line="318"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297" w:lineRule="auto"/>
        <w:rPr>
          <w:sz w:val="20"/>
          <w:szCs w:val="20"/>
          <w:color w:val="auto"/>
        </w:rPr>
      </w:pPr>
      <w:r>
        <w:rPr>
          <w:rFonts w:ascii="Times New Roman" w:cs="Times New Roman" w:eastAsia="Times New Roman" w:hAnsi="Times New Roman"/>
          <w:sz w:val="18"/>
          <w:szCs w:val="18"/>
          <w:color w:val="auto"/>
        </w:rPr>
        <w:t xml:space="preserve">We calculate basic earnings per share by dividing net earnings by the weighted-average number of shares of common stock outstanding during each period. </w:t>
      </w:r>
      <w:r>
        <w:rPr>
          <w:rFonts w:ascii="Times New Roman" w:cs="Times New Roman" w:eastAsia="Times New Roman" w:hAnsi="Times New Roman"/>
          <w:sz w:val="18"/>
          <w:szCs w:val="18"/>
          <w:b w:val="1"/>
          <w:bCs w:val="1"/>
          <w:color w:val="auto"/>
        </w:rPr>
        <w:t>Diluted Earnings Per Share</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0.3 million shares for the three and six months ended June 30, 2025. The dilutive effect of these securities totaled 0.2 million shares and 0.4 million shares for the three and six months ended June 30, 2024, respectively.</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share repurchase program of up to $2.0 billion in share repurchases of the company’s common stock (the “2022 Repurchase Program”). Repurchases under the 2022 Repurchase Program commenced in April 2023 and were completed in February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upon completion of the 2022 Repurchase Program. As of June 30, 2025, repurchases under the 2023 Repurchase Program totaled $2.2 billion; $0.3 billion remained under this share repurchase authorization. By its terms, the 2023 Repurchase Program will expire when we have used all authorized funds for repurchases.</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December 11, 2024, the company’s board of directors authorized a new share repurchase program of up to an additional $3.0 billion in share repurchases of the company’s common stock (the “2024 Repurchase Program”). Repurchases under the 2024 Repurchase Program will commence upon completion of the 2023 Repurchase Program and will expire when we have used all authorized funds for repurchases. As of June 30, 2025, there have been no repurchases under the 2024 Repurchase Program and the company’s total outstanding share repurchase authorization was $3.3 billion.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entered into an accelerated share repurchase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 $200 million was settled on May 1, 2024 with a final delivery of 0.4 million shares from Morgan Stanley. The final average purchase price was $455.73 per share.</w:t>
      </w:r>
    </w:p>
    <w:p>
      <w:pPr>
        <w:spacing w:after="0" w:line="65"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4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Shares Repurchased</w:t>
            </w: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6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center"/>
              <w:ind w:right="231"/>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23"/>
                <w:szCs w:val="23"/>
                <w:color w:val="auto"/>
              </w:rPr>
            </w:pPr>
          </w:p>
        </w:tc>
        <w:tc>
          <w:tcPr>
            <w:tcW w:w="1320" w:type="dxa"/>
            <w:vAlign w:val="bottom"/>
          </w:tcPr>
          <w:p>
            <w:pPr>
              <w:jc w:val="center"/>
              <w:ind w:right="311"/>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23"/>
                <w:szCs w:val="23"/>
                <w:color w:val="auto"/>
              </w:rPr>
            </w:pPr>
          </w:p>
        </w:tc>
        <w:tc>
          <w:tcPr>
            <w:tcW w:w="24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0" w:type="dxa"/>
            <w:vAlign w:val="bottom"/>
          </w:tcPr>
          <w:p>
            <w:pPr>
              <w:spacing w:after="0"/>
              <w:rPr>
                <w:sz w:val="1"/>
                <w:szCs w:val="1"/>
                <w:color w:val="auto"/>
              </w:rPr>
            </w:pPr>
          </w:p>
        </w:tc>
      </w:tr>
      <w:tr>
        <w:trPr>
          <w:trHeight w:val="154"/>
        </w:trPr>
        <w:tc>
          <w:tcPr>
            <w:tcW w:w="2060" w:type="dxa"/>
            <w:vAlign w:val="bottom"/>
          </w:tcPr>
          <w:p>
            <w:pPr>
              <w:jc w:val="center"/>
              <w:ind w:left="11"/>
              <w:spacing w:after="0" w:line="149" w:lineRule="exact"/>
              <w:rPr>
                <w:sz w:val="20"/>
                <w:szCs w:val="20"/>
                <w:color w:val="auto"/>
              </w:rPr>
            </w:pPr>
            <w:r>
              <w:rPr>
                <w:rFonts w:ascii="Times New Roman" w:cs="Times New Roman" w:eastAsia="Times New Roman" w:hAnsi="Times New Roman"/>
                <w:sz w:val="17"/>
                <w:szCs w:val="17"/>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1"/>
              <w:spacing w:after="0" w:line="149" w:lineRule="exact"/>
              <w:rPr>
                <w:sz w:val="20"/>
                <w:szCs w:val="20"/>
                <w:color w:val="auto"/>
              </w:rPr>
            </w:pPr>
            <w:r>
              <w:rPr>
                <w:rFonts w:ascii="Times New Roman" w:cs="Times New Roman" w:eastAsia="Times New Roman" w:hAnsi="Times New Roman"/>
                <w:sz w:val="17"/>
                <w:szCs w:val="17"/>
                <w:color w:val="auto"/>
              </w:rPr>
              <w:t>Authorized</w:t>
            </w: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1"/>
              <w:spacing w:after="0" w:line="149" w:lineRule="exact"/>
              <w:rPr>
                <w:sz w:val="20"/>
                <w:szCs w:val="20"/>
                <w:color w:val="auto"/>
              </w:rPr>
            </w:pPr>
            <w:r>
              <w:rPr>
                <w:rFonts w:ascii="Times New Roman" w:cs="Times New Roman" w:eastAsia="Times New Roman" w:hAnsi="Times New Roman"/>
                <w:sz w:val="17"/>
                <w:szCs w:val="17"/>
                <w:color w:val="auto"/>
              </w:rPr>
              <w:t>Price</w:t>
            </w:r>
          </w:p>
        </w:tc>
        <w:tc>
          <w:tcPr>
            <w:tcW w:w="1800" w:type="dxa"/>
            <w:vAlign w:val="bottom"/>
          </w:tcPr>
          <w:p>
            <w:pPr>
              <w:spacing w:after="0"/>
              <w:rPr>
                <w:sz w:val="12"/>
                <w:szCs w:val="12"/>
                <w:color w:val="auto"/>
              </w:rPr>
            </w:pPr>
          </w:p>
        </w:tc>
        <w:tc>
          <w:tcPr>
            <w:tcW w:w="242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center"/>
              <w:ind w:right="271"/>
              <w:spacing w:after="0" w:line="250"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66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2024</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455.01</w:t>
            </w:r>
          </w:p>
        </w:tc>
        <w:tc>
          <w:tcPr>
            <w:tcW w:w="18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2024</w:t>
            </w:r>
          </w:p>
        </w:tc>
        <w:tc>
          <w:tcPr>
            <w:tcW w:w="166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474.22</w:t>
            </w:r>
          </w:p>
        </w:tc>
        <w:tc>
          <w:tcPr>
            <w:tcW w:w="1800" w:type="dxa"/>
            <w:vAlign w:val="bottom"/>
          </w:tcPr>
          <w:p>
            <w:pPr>
              <w:spacing w:after="0"/>
              <w:rPr>
                <w:sz w:val="19"/>
                <w:szCs w:val="19"/>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11, 2024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brokerage commissions and other costs of execution, including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the company increased the quarterly common stock dividend 12 percent to $2.31 per share from the previous amount of $2.06 per share.</w:t>
      </w:r>
    </w:p>
    <w:p>
      <w:pPr>
        <w:spacing w:after="0" w:line="149" w:lineRule="exact"/>
        <w:rPr>
          <w:sz w:val="20"/>
          <w:szCs w:val="20"/>
          <w:color w:val="auto"/>
        </w:rPr>
      </w:pPr>
    </w:p>
    <w:p>
      <w:pPr>
        <w:ind w:right="788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9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9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96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1,133</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43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9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Inventoried costs, net</w:t>
            </w:r>
          </w:p>
        </w:tc>
        <w:tc>
          <w:tcPr>
            <w:tcW w:w="2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1,553</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INCOME TAXES</w:t>
            </w: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5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350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Second quarter 2025 income tax expense increased $47 million, or 23 percent, due to higher earnings before income taxes, partially offset by a lower effective tax rate (ETR). The second quarter 2025 ETR decreased to 17.7 percent from 18.0 percent in the prior year period primarily due to lower interest expense on unrecognized tax benefits and higher research credits, partially offset by additional income tax expense related to nondeductible goodwill in the divested training services business. The second quarter 2025 ETR includes benefits of $68 million for research credits and $12 million for foreign derived intangible income (FDII), partially offset by $18 million of interest expense on unrecognized tax benefits and $17 million of tax expense related to nondeductible goodwill in the divested business. The second quarter 2024 ETR included benefits of $46 million for research credits and $15 million for FDII, partially offset by $25 million of interest expense on unrecognized tax benefits.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Year to date 2025 income tax expense decreased $43 million, or 11 percent, due to lower earnings before income taxes, partially offset by a higher effective tax rate. The year to date 2025 ETR increased to 17.5 percent from 17.3 percent in the prior year period primarily due to additional income tax expense related to nondeductible goodwill in the divested training services business and lower benefits for FDII and employee share-based compensation. These increases were partially offset by higher research credits and lower interest expense on unrecognized tax benefits. The year to date 2025 ETR includes benefits of $103 million for research credits and $18 million for FDII, partially offset by $34 million of interest expense on unrecognized tax benefits and $17 million of tax expense related to nondeductible goodwill in the divested business. The year to date 2024 ETR included benefits of $90 million for research credits and $30 million for FDII, partially offset by $46 million of interest expense on unrecognized tax benefits.</w:t>
      </w:r>
    </w:p>
    <w:p>
      <w:pPr>
        <w:spacing w:after="0" w:line="6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2025, we increased our unrecognized tax benefits by approximately $140 million principally in connection with state apportionment matters and research credits. It is reasonably possible that within the next 12 months the company’s unrecognized tax benefits may increase by approximately $80 million.</w:t>
      </w:r>
    </w:p>
    <w:p>
      <w:pPr>
        <w:spacing w:after="0" w:line="5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During the fourth quarter of 2024, the company entered into an agreed Revenue Agent’s Report (“RAR”) for certain matters related to the company’s 2018-2020 federal income tax returns, resulting in a $766 million reduction to our unrecognized tax benefits and an immaterial impact to income tax expense. The matters not addressed by the agreed RAR related to the company’s 2018-2020 federal income tax returns are currently under Internal Revenue Service (IRS) examination. Certain matters related to the 2014-2017 federal income tax returns and refund claims related to its 2007-2016 federal tax returns are currently under review by the IRS Appeals Office.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Organization for Economic Co-operation and Development issued Pillar Two model rules for a global minimum tax of 15% effective January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Pillar Two had no impact on our second quarter or year to date 2025 or 2024 ETR, and we do not currently expect Pillar Two to significantly impact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ETR going forward.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Subsequent Event</w:t>
      </w:r>
    </w:p>
    <w:p>
      <w:pPr>
        <w:spacing w:after="0" w:line="2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The company is evaluating the financial implications of the OBBBA and will begin reflecting its effects in the third quarter of 2025. We currently expect the impact of the OBBBA will be to increase the company’s effective tax rate and to favorably impact the timing of cash taxes, subject to the federal corporate alternative minimum tax. For 2025, we currently expect the OBBBA will increase our 2025 effective tax rate to the high 17 percent range and provide a current year cash tax benefit of $200 million to $250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75"/>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413</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(11)</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June 30, 2025 and December 31, 2024 was $335 million and $399 million, respectively. The portion of notional value designated as a cash flow hedge at June 30, 2025 and December 31, 2024 was $236 million and $273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June 30, 2025 and December 31, 2024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of financial instruments into or out of Level 3 of the fair value hierarchy during the six months ended June 30, 2025.</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and commercial paper approximates fair value.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estimated fair value of the company’s long-term debt was $14.9 billion and $15.3 billion as of June 30, 2025 and December 31, 2024, respectively. We calculated the fair value of long-term debt using Level 2 inputs, based on interest rates available for debt with terms and maturities similar to the company’s existing debt arrangements. The current portion of long-term debt is recorded in Other current liabilities in the unaudited condensed consolidated statements of financial position.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In May 2025, the company issued $1.0 billion of unsecured senior notes for general corporate purposes, including debt repayment, share repurchases, and working capital, as follows:</w:t>
      </w:r>
    </w:p>
    <w:p>
      <w:pPr>
        <w:spacing w:after="0" w:line="4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4.65% senior notes due 2030 (the “2030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5.25% senior notes due 2035 (the “2035 Notes”).</w:t>
      </w:r>
    </w:p>
    <w:p>
      <w:pPr>
        <w:spacing w:after="0" w:line="104"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refer to the 2029 Notes, 2030 Notes, 2034 Notes, 2035 Notes, and 2054 Notes together, as the “notes.” Interest on the notes is payable semi-annually in arrears. The notes are generally subject to redemption, in whole or in part, at the company’s discretion at any time, or from time to time, prior to maturity at a redemption price equal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greater of 100% of the principal amount of the notes to be redeemed or an applicable “make-whole” amount, plus accrued and unpaid interest.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repaid $1.5 billion of 2.93% unsecured senior notes upon maturity.</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9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has stayed the filed individual lawsuits, pending its decision on class certification. Although the court has ordered supplemental briefing on pending class certification and expert motions in the putative class action, the parties remain engaged in an ongoing mediation.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spacing w:after="0" w:line="74"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that appears focused on the interest rate assumptions the company used to determine our U.S. Government Cost Accounting Standards (CAS) pension expense, which we discuss in Note 7 below. The company is engaging with the government and responding to the requests. We cannot at this point predict the outcome of these matters.</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 condensed consolidated financial position as of June 30, 2025, or its annual results of operations and/or cash flows.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June 30, 2025, or its annual results of operations and/or cash flows.</w:t>
      </w:r>
    </w:p>
    <w:p>
      <w:pPr>
        <w:spacing w:after="0" w:line="6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 addition, as noted in Note 6 above, the company received from the DOJ a criminal subpoena on December 9, 2022 and a CID on February 2, 2023, both seeking information that appears related to the interest rate assumptions at issue in our discussions with DCMA. The company has responded to requests and expects to continue discussions with the DOJ and DCMA as these matters progress. We cannot at this point predict the outcome of these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June 30, 2025 and December 31, 2024:</w:t>
      </w:r>
    </w:p>
    <w:tbl>
      <w:tblPr>
        <w:tblLayout w:type="fixed"/>
        <w:tblInd w:w="0" w:type="dxa"/>
        <w:tblCellMar>
          <w:top w:w="0" w:type="dxa"/>
          <w:left w:w="0" w:type="dxa"/>
          <w:bottom w:w="0" w:type="dxa"/>
          <w:right w:w="0" w:type="dxa"/>
        </w:tblCellMar>
      </w:tblPr>
      <w:tr>
        <w:trPr>
          <w:trHeight w:val="196"/>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460" w:type="dxa"/>
            <w:vAlign w:val="bottom"/>
            <w:tcBorders>
              <w:bottom w:val="single" w:sz="8" w:color="auto"/>
            </w:tcBorders>
            <w:vMerge w:val="continue"/>
          </w:tcPr>
          <w:p>
            <w:pPr>
              <w:spacing w:after="0"/>
              <w:rPr>
                <w:sz w:val="20"/>
                <w:szCs w:val="20"/>
                <w:color w:val="auto"/>
              </w:rPr>
            </w:pPr>
          </w:p>
        </w:tc>
        <w:tc>
          <w:tcPr>
            <w:tcW w:w="3540" w:type="dxa"/>
            <w:vAlign w:val="bottom"/>
            <w:tcBorders>
              <w:bottom w:val="single" w:sz="8" w:color="auto"/>
            </w:tcBorders>
            <w:gridSpan w:val="2"/>
          </w:tcPr>
          <w:p>
            <w:pPr>
              <w:jc w:val="right"/>
              <w:ind w:right="30"/>
              <w:spacing w:after="0" w:line="237" w:lineRule="exact"/>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50"/>
              <w:spacing w:after="0" w:line="237"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70"/>
              <w:spacing w:after="0" w:line="237" w:lineRule="exact"/>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555</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June 30, 2025, $187 million is recorded in Other current liabilities and $368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26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June 30, 2025, $176 million is deferred in Prepaid expenses and other current assets and $340 million is deferred in Other non-current assets. These amounts are evaluated for recoverability on a routine basis.</w:t>
      </w:r>
    </w:p>
    <w:p>
      <w:pPr>
        <w:spacing w:after="0" w:line="6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June 30, 2025, or its annual results of operations and/or cash flows.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June 30, 2025, there were $619 million of stand-by letters of credit and guarantees and $269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with capacity to issue unsecured commercial paper notes up to $2.5 billion. At June 30, 2025, the company had $570 million of outstanding commercial paper borrowings at a weighted-average interest rate of 4.76%, with original maturities of three months or less from the date of issuance. The outstanding balance of commercial paper borrowings is recorded in Other current liabilities in the unaudited condensed consolidated statements of financial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0" w:lineRule="exact"/>
        <w:rPr>
          <w:sz w:val="20"/>
          <w:szCs w:val="20"/>
          <w:color w:val="auto"/>
        </w:rPr>
      </w:pPr>
    </w:p>
    <w:p>
      <w:pPr>
        <w:ind w:right="220"/>
        <w:spacing w:after="0" w:line="238" w:lineRule="auto"/>
        <w:rPr>
          <w:sz w:val="20"/>
          <w:szCs w:val="20"/>
          <w:color w:val="auto"/>
        </w:rPr>
      </w:pPr>
      <w:r>
        <w:rPr>
          <w:rFonts w:ascii="Times New Roman" w:cs="Times New Roman" w:eastAsia="Times New Roman" w:hAnsi="Times New Roman"/>
          <w:sz w:val="18"/>
          <w:szCs w:val="18"/>
          <w:color w:val="auto"/>
        </w:rPr>
        <w:t>The company maintains a five-year senior unsecured credit facility in an aggregate principal amount of $2.5 billion (the “2022 Credit Agreement”) that matures in August 2027 and is intended to support the company's commercial paper program and other general corporate purposes. Commercial paper borrowings reduce the amount available for borrowing under the 2022 Credit Agreement. At June 30, 2025, there were no borrowings outstanding under this facility; however, the amount available for borrowing was reduced by the $570 million of commercial paper borrowings described above.</w:t>
      </w:r>
    </w:p>
    <w:p>
      <w:pPr>
        <w:spacing w:after="0" w:line="7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2022 Credit Agreement contains generally customary terms and conditions, including covenants restricting the company’s ability to sell all or substantially all of its assets, merge or consolidate with another entity or undertake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fundamental changes and incur liens. The company also cannot permit the ratio of its debt to capitalization (as set forth in the credit agreement) to exceed 65 percent.</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2025,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97"/>
        </w:trPr>
        <w:tc>
          <w:tcPr>
            <w:tcW w:w="86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7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r>
      <w:tr>
        <w:trPr>
          <w:trHeight w:val="178"/>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680" w:type="dxa"/>
            <w:vAlign w:val="bottom"/>
            <w:tcBorders>
              <w:bottom w:val="single" w:sz="8" w:color="auto"/>
            </w:tcBorders>
          </w:tcPr>
          <w:p>
            <w:pPr>
              <w:spacing w:after="0"/>
              <w:rPr>
                <w:sz w:val="20"/>
                <w:szCs w:val="20"/>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2024</w:t>
            </w:r>
          </w:p>
        </w:tc>
      </w:tr>
      <w:tr>
        <w:trPr>
          <w:trHeight w:val="174"/>
        </w:trPr>
        <w:tc>
          <w:tcPr>
            <w:tcW w:w="36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402</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382</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805</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763</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3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w:t>
            </w:r>
          </w:p>
        </w:tc>
        <w:tc>
          <w:tcPr>
            <w:tcW w:w="24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6"/>
        </w:trPr>
        <w:tc>
          <w:tcPr>
            <w:tcW w:w="6560" w:type="dxa"/>
            <w:vAlign w:val="bottom"/>
          </w:tcPr>
          <w:p>
            <w:pPr>
              <w:spacing w:after="0"/>
              <w:rPr>
                <w:sz w:val="22"/>
                <w:szCs w:val="22"/>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2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151</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384</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bl>
    <w:p>
      <w:pPr>
        <w:spacing w:after="0" w:line="234"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and market conditions over a three-year period.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198</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operating costs and expenses, and operating income by segment: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3,060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6,104</w:t>
            </w: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2,109</w:t>
            </w:r>
          </w:p>
        </w:tc>
        <w:tc>
          <w:tcPr>
            <w:tcW w:w="3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19"/>
                <w:szCs w:val="19"/>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4,467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r>
      <w:tr>
        <w:trPr>
          <w:trHeight w:val="229"/>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649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1,250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30"/>
        </w:trPr>
        <w:tc>
          <w:tcPr>
            <w:tcW w:w="6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6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Aeronautics Systems 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30"/>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9"/>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r>
      <w:tr>
        <w:trPr>
          <w:trHeight w:val="230"/>
        </w:trPr>
        <w:tc>
          <w:tcPr>
            <w:tcW w:w="62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Defense Systems operating income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3,157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r>
      <w:tr>
        <w:trPr>
          <w:trHeight w:val="230"/>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r>
      <w:tr>
        <w:trPr>
          <w:trHeight w:val="229"/>
        </w:trPr>
        <w:tc>
          <w:tcPr>
            <w:tcW w:w="6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3"/>
        </w:trPr>
        <w:tc>
          <w:tcPr>
            <w:tcW w:w="6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Mission Systems 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5,214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w:t>
            </w: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30"/>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62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23"/>
        </w:trPr>
        <w:tc>
          <w:tcPr>
            <w:tcW w:w="6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Space Systems operating income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profit eliminations</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1,219</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income (expense)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9"/>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1,427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2,005</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$231 million pre-tax gain on the sale of our training services business and $19 million of unallowable state taxes and transaction costs associated with the divestiture were recorded in Unallocated corporate income (expense).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Six Months Ended June 30</w:t>
            </w:r>
          </w:p>
        </w:tc>
        <w:tc>
          <w:tcPr>
            <w:tcW w:w="68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tcPr>
          <w:p>
            <w:pPr>
              <w:jc w:val="right"/>
              <w:ind w:right="55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5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2,526</w:t>
            </w: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2,606</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86 %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4,816</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5,190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544</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415</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14 %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1,022</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18 %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839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66</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3,114</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3,060</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5,928</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6,104</w:t>
            </w:r>
          </w:p>
        </w:tc>
        <w:tc>
          <w:tcPr>
            <w:tcW w:w="68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1,611</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83 %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1,508</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3,062</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2,963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305</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16 %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287</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594</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16 %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506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19</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98</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87</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1,991</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1,859</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3,796</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3,596</w:t>
            </w:r>
          </w:p>
        </w:tc>
        <w:tc>
          <w:tcPr>
            <w:tcW w:w="68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2,282</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81 %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2,028</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82 %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4,255</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80 %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3,940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505</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427</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980</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19 %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29</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53</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297</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574</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3,157</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2,773</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5,964</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5,432</w:t>
            </w:r>
          </w:p>
        </w:tc>
        <w:tc>
          <w:tcPr>
            <w:tcW w:w="68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2,349</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93 %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2,746</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95 %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4,658</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5,639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47</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56</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121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235</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186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230</w:t>
            </w:r>
          </w:p>
        </w:tc>
        <w:tc>
          <w:tcPr>
            <w:tcW w:w="10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205</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2,646</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3,002</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5,214</w:t>
            </w:r>
          </w:p>
        </w:tc>
        <w:tc>
          <w:tcPr>
            <w:tcW w:w="10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6,151</w:t>
            </w:r>
          </w:p>
        </w:tc>
        <w:tc>
          <w:tcPr>
            <w:tcW w:w="68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8,768</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85 %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8,888</w:t>
            </w:r>
          </w:p>
        </w:tc>
        <w:tc>
          <w:tcPr>
            <w:tcW w:w="10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87 %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16,791</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85 %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17,732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1,401</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13 %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1,185</w:t>
            </w:r>
          </w:p>
        </w:tc>
        <w:tc>
          <w:tcPr>
            <w:tcW w:w="102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2,687</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13 %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2,347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182</w:t>
            </w: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145</w:t>
            </w:r>
          </w:p>
        </w:tc>
        <w:tc>
          <w:tcPr>
            <w:tcW w:w="10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272</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10,351</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10,218</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19,819</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20,351</w:t>
            </w:r>
          </w:p>
        </w:tc>
        <w:tc>
          <w:tcPr>
            <w:tcW w:w="680" w:type="dxa"/>
            <w:vAlign w:val="bottom"/>
            <w:tcBorders>
              <w:bottom w:val="single" w:sz="8" w:color="auto"/>
            </w:tcBorders>
            <w:shd w:val="clear" w:color="auto" w:fill="CCEEFF"/>
          </w:tcPr>
          <w:p>
            <w:pPr>
              <w:spacing w:after="0"/>
              <w:rPr>
                <w:sz w:val="20"/>
                <w:szCs w:val="20"/>
                <w:color w:val="auto"/>
              </w:rPr>
            </w:pP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32"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0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50"/>
        </w:trPr>
        <w:tc>
          <w:tcPr>
            <w:tcW w:w="32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1"/>
                <w:szCs w:val="21"/>
                <w:color w:val="auto"/>
              </w:rPr>
            </w:pPr>
          </w:p>
        </w:tc>
      </w:tr>
      <w:tr>
        <w:trPr>
          <w:trHeight w:val="25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7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5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7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1,461</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47 %  </w:t>
            </w: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1,415</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xml:space="preserve">47 %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2,800</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2,759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1,615</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53 %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1,611</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3,049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38</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3,114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3,060</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5,928</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6,104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1,084</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56 %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967</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2,049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55 %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1,878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854</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44 %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847</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1,649</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45 %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1,631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1,991</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1,859</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3,796</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3,596</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2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1,406</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50 %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1,107</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2,569</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49 %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2,174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1,410</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50 %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1,369</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2,719</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51 %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2,684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29"/>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341</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297</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574</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3,157</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2,773</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5,964</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5,432</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1,562</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62 %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1,804</w:t>
            </w:r>
          </w:p>
        </w:tc>
        <w:tc>
          <w:tcPr>
            <w:tcW w:w="10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3,102</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62 %</w:t>
            </w: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3,679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959</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38 %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1,098</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1,882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38 %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2,267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125</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230</w:t>
            </w:r>
          </w:p>
        </w:tc>
        <w:tc>
          <w:tcPr>
            <w:tcW w:w="10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2,646</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3,002</w:t>
            </w:r>
          </w:p>
        </w:tc>
        <w:tc>
          <w:tcPr>
            <w:tcW w:w="10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5,214</w:t>
            </w:r>
          </w:p>
        </w:tc>
        <w:tc>
          <w:tcPr>
            <w:tcW w:w="10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6,151</w:t>
            </w:r>
          </w:p>
        </w:tc>
        <w:tc>
          <w:tcPr>
            <w:tcW w:w="70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2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5,513</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53 %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5,293</w:t>
            </w:r>
          </w:p>
        </w:tc>
        <w:tc>
          <w:tcPr>
            <w:tcW w:w="102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52 %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10,520</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53 %</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10,490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4,838</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47 %</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4,925</w:t>
            </w:r>
          </w:p>
        </w:tc>
        <w:tc>
          <w:tcPr>
            <w:tcW w:w="10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48 %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9,299</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47 %</w:t>
            </w: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9,861</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10,351</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10,218</w:t>
            </w: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19,819</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20,351</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Six Months Ended June 30</w:t>
            </w:r>
          </w:p>
        </w:tc>
        <w:tc>
          <w:tcPr>
            <w:tcW w:w="700" w:type="dxa"/>
            <w:vAlign w:val="bottom"/>
            <w:tcBorders>
              <w:bottom w:val="single" w:sz="8" w:color="auto"/>
            </w:tcBorders>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19"/>
                <w:szCs w:val="19"/>
                <w:color w:val="auto"/>
              </w:rPr>
            </w:pPr>
          </w:p>
        </w:tc>
      </w:tr>
      <w:tr>
        <w:trPr>
          <w:trHeight w:val="25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2,611</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86 %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4,827</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5,199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164</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570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3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66</w:t>
            </w:r>
          </w:p>
        </w:tc>
        <w:tc>
          <w:tcPr>
            <w:tcW w:w="700" w:type="dxa"/>
            <w:vAlign w:val="bottom"/>
            <w:tcBorders>
              <w:bottom w:val="single" w:sz="8" w:color="auto"/>
            </w:tcBorders>
          </w:tcPr>
          <w:p>
            <w:pPr>
              <w:spacing w:after="0"/>
              <w:rPr>
                <w:sz w:val="19"/>
                <w:szCs w:val="19"/>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3,060</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5,928</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6,104</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1,527</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3,104</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3,003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164</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3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45</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87</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1,859</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3,796</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3,596</w:t>
            </w:r>
          </w:p>
        </w:tc>
        <w:tc>
          <w:tcPr>
            <w:tcW w:w="700" w:type="dxa"/>
            <w:vAlign w:val="bottom"/>
            <w:tcBorders>
              <w:bottom w:val="single" w:sz="8" w:color="auto"/>
            </w:tcBorders>
          </w:tcPr>
          <w:p>
            <w:pPr>
              <w:spacing w:after="0"/>
              <w:rPr>
                <w:sz w:val="19"/>
                <w:szCs w:val="19"/>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2,049</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4,308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3,977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122</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248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226</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481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79</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297</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676</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574</w:t>
            </w:r>
          </w:p>
        </w:tc>
        <w:tc>
          <w:tcPr>
            <w:tcW w:w="700" w:type="dxa"/>
            <w:vAlign w:val="bottom"/>
            <w:tcBorders>
              <w:bottom w:val="single" w:sz="8" w:color="auto"/>
            </w:tcBorders>
          </w:tcPr>
          <w:p>
            <w:pPr>
              <w:spacing w:after="0"/>
              <w:rPr>
                <w:sz w:val="19"/>
                <w:szCs w:val="19"/>
                <w:color w:val="auto"/>
              </w:rPr>
            </w:pPr>
          </w:p>
        </w:tc>
      </w:tr>
      <w:tr>
        <w:trPr>
          <w:trHeight w:val="223"/>
        </w:trPr>
        <w:tc>
          <w:tcPr>
            <w:tcW w:w="3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3,157</w:t>
            </w: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2,773</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5,964</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5,432</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32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2,846</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98 %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4,893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98 %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5,825</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w:t>
            </w:r>
          </w:p>
        </w:tc>
        <w:tc>
          <w:tcPr>
            <w:tcW w:w="10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230</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205</w:t>
            </w:r>
          </w:p>
        </w:tc>
        <w:tc>
          <w:tcPr>
            <w:tcW w:w="700" w:type="dxa"/>
            <w:vAlign w:val="bottom"/>
            <w:tcBorders>
              <w:bottom w:val="single" w:sz="8" w:color="auto"/>
            </w:tcBorders>
            <w:shd w:val="clear" w:color="auto" w:fill="CCEEFF"/>
          </w:tcPr>
          <w:p>
            <w:pPr>
              <w:spacing w:after="0"/>
              <w:rPr>
                <w:sz w:val="19"/>
                <w:szCs w:val="19"/>
                <w:color w:val="auto"/>
              </w:rPr>
            </w:pPr>
          </w:p>
        </w:tc>
      </w:tr>
      <w:tr>
        <w:trPr>
          <w:trHeight w:val="223"/>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10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3,002</w:t>
            </w:r>
          </w:p>
        </w:tc>
        <w:tc>
          <w:tcPr>
            <w:tcW w:w="10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5,214</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6,151</w:t>
            </w:r>
          </w:p>
        </w:tc>
        <w:tc>
          <w:tcPr>
            <w:tcW w:w="700" w:type="dxa"/>
            <w:vAlign w:val="bottom"/>
            <w:tcBorders>
              <w:bottom w:val="single" w:sz="8" w:color="auto"/>
            </w:tcBorders>
          </w:tcPr>
          <w:p>
            <w:pPr>
              <w:spacing w:after="0"/>
              <w:rPr>
                <w:sz w:val="19"/>
                <w:szCs w:val="19"/>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3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8,950</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9,033</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88 %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17,132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18,004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377</w:t>
            </w:r>
          </w:p>
        </w:tc>
        <w:tc>
          <w:tcPr>
            <w:tcW w:w="10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869</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667</w:t>
            </w:r>
          </w:p>
        </w:tc>
        <w:tc>
          <w:tcPr>
            <w:tcW w:w="10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1,456</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1,343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2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141</w:t>
            </w:r>
          </w:p>
        </w:tc>
        <w:tc>
          <w:tcPr>
            <w:tcW w:w="10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362</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268</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10,351</w:t>
            </w:r>
          </w:p>
        </w:tc>
        <w:tc>
          <w:tcPr>
            <w:tcW w:w="10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10,218</w:t>
            </w:r>
          </w:p>
        </w:tc>
        <w:tc>
          <w:tcPr>
            <w:tcW w:w="10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19,819</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20,351</w:t>
            </w:r>
          </w:p>
        </w:tc>
        <w:tc>
          <w:tcPr>
            <w:tcW w:w="70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country other than the United States represents greater than 10% of total company sales.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geographic regions are principally comprised of the Middle East.</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97"/>
        </w:trPr>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for each of our reportable segments and for Corporate:</w:t>
            </w:r>
          </w:p>
        </w:tc>
        <w:tc>
          <w:tcPr>
            <w:tcW w:w="1080" w:type="dxa"/>
            <w:vAlign w:val="bottom"/>
          </w:tcPr>
          <w:p>
            <w:pPr>
              <w:spacing w:after="0"/>
              <w:rPr>
                <w:sz w:val="24"/>
                <w:szCs w:val="24"/>
                <w:color w:val="auto"/>
              </w:rPr>
            </w:pPr>
          </w:p>
        </w:tc>
      </w:tr>
      <w:tr>
        <w:trPr>
          <w:trHeight w:val="351"/>
        </w:trPr>
        <w:tc>
          <w:tcPr>
            <w:tcW w:w="47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4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148</w:t>
            </w:r>
          </w:p>
        </w:tc>
        <w:tc>
          <w:tcPr>
            <w:tcW w:w="5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3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4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4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71</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9"/>
        </w:trPr>
        <w:tc>
          <w:tcPr>
            <w:tcW w:w="478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w:t>
            </w:r>
          </w:p>
        </w:tc>
        <w:tc>
          <w:tcPr>
            <w:tcW w:w="4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4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231</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487</w:t>
            </w:r>
          </w:p>
        </w:tc>
        <w:tc>
          <w:tcPr>
            <w:tcW w:w="5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181</w:t>
            </w:r>
          </w:p>
        </w:tc>
        <w:tc>
          <w:tcPr>
            <w:tcW w:w="5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3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4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4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85</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68</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135</w:t>
            </w: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32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84</w:t>
            </w:r>
          </w:p>
        </w:tc>
        <w:tc>
          <w:tcPr>
            <w:tcW w:w="42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163</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29"/>
        </w:trPr>
        <w:tc>
          <w:tcPr>
            <w:tcW w:w="478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w:t>
            </w:r>
          </w:p>
        </w:tc>
        <w:tc>
          <w:tcPr>
            <w:tcW w:w="4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350</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687</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chief operating decision maker (“CODM”)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June 30, 2025, and the related condensed consolidated statements of earnings and comprehensive income and changes in shareholders’ equity for the three-month and six-month periods ended June 30, 2025 and 2024, and of cash flows for the six-month periods ended June 30,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2024, and the related consolidated statements of earnings and comprehensive income, changes in shareholders’ equity, and cash flows for the year then ended (not presented herein); and in our report dated January 29, 2025, we expressed an unqualified opinion on those consolidated financial statements. In our opinion, the information set forth in the accompanying condensed consolidated statement of financial position as of December 31, 2024,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6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4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Defense (“DoD”)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2024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Training Services Business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subject to a final working capital adjustment,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conflicts in Ukraine and the Middle East and threats elsewhere, particularly in the Pacific region, have increased global tensions and instability and highlighted security requirements globally, including in Europe, the Middle East and the Pacific region, as well as the U.S. These conflicts have resulted in and may continue to result in increased demand for defense products and services from allies and partner nations, particularly in those regions. For example, we have experienced an increase in demand for certain of our products and services directly and indirectly related to the conflict in Ukraine. We continue to monitor developments in these regions, but have not experienced, and do not anticipate experiencing, significant adverse financial impacts directly from the conflicts in Ukraine or the Middle East.</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current global security environment, characterized by significant national security threats to the U.S. and its allies, continues to highlight the need for strong deterrence and robust defense capabilities, and we are actively evaluating both opportunities and risks associated with this environment. We believe our capabilities, particularly in space, C4ISR, missile defense, battle management, advanced weapons, strategic deterrence, and survivable aircraft and mission systems should help our customers in the U.S. and globally defend against current and future threats and, as a result, continue to position us for long-term profitable business growth.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7"/>
          <w:szCs w:val="17"/>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These macroeconomic factors can and have contributed, and could continue to contribute, to increased costs, delays, disruptions and other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challenges, as well as increased competing demands for limited resources to address such increased costs and other challenges, for our company, our suppliers and partners, and our customers. We continue to work to address challenges caused by the macroeconomic environment on our business. We have seen positive progress in the supply chain as on-time deliveries and quality continue to improve. In remaining areas of pressure, we are proactively working with our suppliers to help meet our contract commitments.</w:t>
      </w:r>
    </w:p>
    <w:p>
      <w:pPr>
        <w:spacing w:after="0" w:line="58"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an overall increase in interest rates in recent years has raised the cost of borrowing for governments, and if rates further increase or remain elevated, it could impact government spending priorities (in the U.S. and allied countries, in particular), including the demand for defense products. Economic tensions and changes in international trade policies, including, for example, the widespread tariffs announced this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The full impact of these governmental actions on macroeconomic conditions and on our business is uncertain, difficult to predict and depends on a number of factors, including the extent and duration of tariffs, any reversal or temporary suspension of announced tariffs, the availability of exemptions, changes in the amount and scope of tariffs,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 effect at this time will have a material adverse effect on our 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conflicts in Ukraine and the Middle East, threats in the Pacific region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March 15, 2025, the Full-Year Continuing Appropriations and Extensions Act, 2025 was enacted to continue funding the government through the remainder of FY 2025. The full-year continuing resolution generally maintains FY 2024 funding levels, but includes an increase of $6 billion in defense spending and a decrease of $13 billion in non-defense spending compared to FY 2024 funding levels. Government operations under the full-year continuing resolution could have potential impacts on our programs and new starts, in particular. However, the full-year continuing resolution also provides the DoD with significant flexibility to allocate and spend funds, including authority to initiate new programs if certain requirements are met.</w:t>
      </w:r>
    </w:p>
    <w:p>
      <w:pPr>
        <w:spacing w:after="0" w:line="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second quarter of 2025, the Presidential Administration (the “Administration”) submitted its budget request for FY 2026. The request includes approximately $1 trillion for national security, approximately $962 billion of which is for the DoD, with $113 billion of such DoD funds included in the reconciliation bill described below. The budget request for the DoD reflects an increase of 11.8 percent, or $101.6 billion, above FY 2025 enacted levels. Congress is evaluating the Administration’s budget request as it drafts authorization and appropriations legislation for FY 2026. On July 4, 2025, the FY 2025 reconciliation bill titled the One Big Beautiful Bill Act was enacted. The OBBBA allocates approximately $150 billion in funds for defense spending, including funding for air and missile defense, munitions, shipbuilding and supply chains and other military capabilities, and the appropriated funds will remain available to be obligated until September 30, 2029 and expended through FY 2034. The OBBBA is expected to result in increased investments by the DoD in defense modernization projects and Pacific region deterrence, among other programs. See Note 4 to the financial statements for additional information on key income tax provisions of the OBBBA.</w:t>
      </w:r>
    </w:p>
    <w:p>
      <w:pPr>
        <w:spacing w:after="0" w:line="53"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The Administration has issued numerous executive orders, including orders that direct executive departments and agencies to put in place a regulatory freeze on pending rules, to effectuate the repeal of any regulation that an agency determines is unlawful, to undertake a comprehensive overhaul of the Federal Acquisition Regulation and to reform the DoD defense acquisition process. Some of the Administration’s executive orders are subject to ongoing court challenges. Implementation of certain of these executive orders could adversely affect our business or create a more challenging or costly regulatory, operating and economic environment. For example, on April 9, 2025, the President signed an executive order entitled Modernizing Defense Acquisitions and Spurring Innovation in the Defense Industrial Base. The executive order directs the Secretary of Defense to submit a plan for expediting DoD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acquisitions that relies on existing authorities. According to the executive order, the plan, among other things, should include a first preference for commercial solutions and a general preference for Other Transaction Authority procurements. In addition, the executive order directs the DoD to review all major defense acquisition programs (MDAP). Any program that is more than 15% behind schedule or over cost based on the current Acquisition Program Baseline, unable to meet key performance parameters, or unaligned with the Secretary of Defense’s mission priorities will be considered for potential cancellation. Implementation of this executive order, including changes in DoD priorities or regulations and results of the MDAP review, could lead to contract cancellations, disruptions and/or stop work orders, which could have a material adverse effect on our financial position, results of operations and/or cash flows.</w:t>
      </w:r>
    </w:p>
    <w:p>
      <w:pPr>
        <w:spacing w:after="0" w:line="6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 changes in U.S. government policy positions, including trade policy, tax policy and DoD policies or priorities, could materially impact defense spending broadly and the company’s programs in particular.</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 We are in discussions with the U.S. Air Force regarding the potential for an accelerated production rate on the program. While the ultimate outcome of these discussions remains uncertain, we currently expect any agreement to accelerate production rate would require future investment by the company to expand production capacity along with the opportunity to earn improved returns on the LRIP and NTE phases of the program.</w:t>
      </w:r>
    </w:p>
    <w:p>
      <w:pPr>
        <w:spacing w:after="0" w:line="7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first quarter of 2025, we recognized an additional $477 million loss across the five LRIP options. During the second quarter of 2025, we again reviewed our estimated profitability on the LRIP phase of the program and made no significant changes to the previously recognized loss. The company’s second quarter 2025 results reflect our current best estimate of cost to complete the LRIP and NTE aircraft, as well as the outcome of ongoing discussions with our suppliers. If our estimated cost to complete the aircraft changes, if we reach an agreement with the customer regarding an accelerated production rate, or if our assumptions regarding contract performance, quantities, supplier negotiations, or funding to mitigate the impact of macroeconomic disruptions are resolved more or less favorably than what we have estimated, our financial position, results of operations and/or cash flows could be materially affected.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 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spacing w:after="0" w:line="5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July 2024, the Sentinel program was certified for continuation by the DoD upon completion of the Nunn-McCurdy breach review. In connection with the certification, the DoD directed that the program be restructured, including plans for infrastructure related to the command and launch segment, which was the main driver of the increased cost estimates for the Production and Deployment phases.</w:t>
      </w:r>
    </w:p>
    <w:p>
      <w:pPr>
        <w:spacing w:after="0" w:line="5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 Based on this preliminary execution framework, we updated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estimated profitability on the program and recognized a $76 million favorable EAC adjustment largely related to our expectations for achieving certain contract incentives.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Organic sales is defined as total sales excluding sales attributable to the company's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6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reconcile this non-GAAP financial measure to its most directly comparable GAAP financial measure below. This non-GAAP measure may not be defined and calculated by other companies in the same manner and should not be considered in isolation or as an alternative to operating results presented in accordance with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18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4"/>
              </w:rPr>
              <w:t>2024</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10,351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10,218</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19,819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20,351</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9,157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9,128</w:t>
            </w:r>
          </w:p>
        </w:tc>
        <w:tc>
          <w:tcPr>
            <w:tcW w:w="160" w:type="dxa"/>
            <w:vAlign w:val="bottom"/>
          </w:tcPr>
          <w:p>
            <w:pPr>
              <w:spacing w:after="0"/>
              <w:rPr>
                <w:sz w:val="19"/>
                <w:szCs w:val="19"/>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18,052</w:t>
            </w:r>
          </w:p>
        </w:tc>
        <w:tc>
          <w:tcPr>
            <w:tcW w:w="320" w:type="dxa"/>
            <w:vAlign w:val="bottom"/>
          </w:tcPr>
          <w:p>
            <w:pPr>
              <w:spacing w:after="0"/>
              <w:rPr>
                <w:sz w:val="19"/>
                <w:szCs w:val="19"/>
                <w:color w:val="auto"/>
              </w:rPr>
            </w:pP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18,190</w:t>
            </w:r>
          </w:p>
        </w:tc>
        <w:tc>
          <w:tcPr>
            <w:tcW w:w="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88.5 %</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89.3 %</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91.1 %</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89.4 %</w:t>
            </w:r>
          </w:p>
        </w:tc>
        <w:tc>
          <w:tcPr>
            <w:tcW w:w="1180" w:type="dxa"/>
            <w:vAlign w:val="bottom"/>
            <w:tcBorders>
              <w:bottom w:val="single" w:sz="8" w:color="auto"/>
            </w:tcBorders>
            <w:shd w:val="clear" w:color="auto" w:fill="CCEEFF"/>
          </w:tcPr>
          <w:p>
            <w:pPr>
              <w:spacing w:after="0"/>
              <w:rPr>
                <w:sz w:val="19"/>
                <w:szCs w:val="19"/>
                <w:color w:val="auto"/>
              </w:rPr>
            </w:pP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231</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1,425</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1,090</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1,998</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2,161</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13.8 %</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10.6 %</w:t>
            </w:r>
          </w:p>
        </w:tc>
        <w:tc>
          <w:tcPr>
            <w:tcW w:w="1180" w:type="dxa"/>
            <w:vAlign w:val="bottom"/>
            <w:tcBorders>
              <w:bottom w:val="single" w:sz="8" w:color="auto"/>
            </w:tcBorders>
          </w:tcPr>
          <w:p>
            <w:pPr>
              <w:spacing w:after="0"/>
              <w:rPr>
                <w:sz w:val="19"/>
                <w:szCs w:val="19"/>
                <w:color w:val="auto"/>
              </w:rPr>
            </w:pP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w:t>
            </w: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23 %</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350</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393</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29"/>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17.7 %</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18.0 %</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17.5 %</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17.3 %</w:t>
            </w:r>
          </w:p>
        </w:tc>
        <w:tc>
          <w:tcPr>
            <w:tcW w:w="1180" w:type="dxa"/>
            <w:vAlign w:val="bottom"/>
            <w:tcBorders>
              <w:bottom w:val="single" w:sz="8" w:color="auto"/>
            </w:tcBorders>
          </w:tcPr>
          <w:p>
            <w:pPr>
              <w:spacing w:after="0"/>
              <w:rPr>
                <w:sz w:val="19"/>
                <w:szCs w:val="19"/>
                <w:color w:val="auto"/>
              </w:rPr>
            </w:pPr>
          </w:p>
        </w:tc>
      </w:tr>
      <w:tr>
        <w:trPr>
          <w:trHeight w:val="223"/>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98"/>
              </w:rPr>
              <w:t>1,174</w:t>
            </w:r>
          </w:p>
        </w:tc>
        <w:tc>
          <w:tcPr>
            <w:tcW w:w="2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940</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25 %</w:t>
            </w: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1,655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1,884</w:t>
            </w:r>
          </w:p>
        </w:tc>
        <w:tc>
          <w:tcPr>
            <w:tcW w:w="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30"/>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6.36</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28 %</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11.45</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12.69</w:t>
            </w:r>
          </w:p>
        </w:tc>
        <w:tc>
          <w:tcPr>
            <w:tcW w:w="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405"/>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97"/>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sales to organic sales: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1"/>
        </w:trPr>
        <w:tc>
          <w:tcPr>
            <w:tcW w:w="3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1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23"/>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10,218</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1 %</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19,819</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30"/>
        </w:trPr>
        <w:tc>
          <w:tcPr>
            <w:tcW w:w="37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1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30"/>
        </w:trPr>
        <w:tc>
          <w:tcPr>
            <w:tcW w:w="3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1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10,146</w:t>
            </w:r>
          </w:p>
        </w:tc>
        <w:tc>
          <w:tcPr>
            <w:tcW w:w="132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2 %</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19,707</w:t>
            </w: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20,195</w:t>
            </w:r>
          </w:p>
        </w:tc>
        <w:tc>
          <w:tcPr>
            <w:tcW w:w="2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jc w:val="both"/>
        <w:ind w:right="240"/>
        <w:spacing w:after="0" w:line="255" w:lineRule="auto"/>
        <w:rPr>
          <w:sz w:val="20"/>
          <w:szCs w:val="20"/>
          <w:color w:val="auto"/>
        </w:rPr>
      </w:pPr>
      <w:r>
        <w:rPr>
          <w:rFonts w:ascii="Times New Roman" w:cs="Times New Roman" w:eastAsia="Times New Roman" w:hAnsi="Times New Roman"/>
          <w:sz w:val="18"/>
          <w:szCs w:val="18"/>
          <w:color w:val="auto"/>
        </w:rPr>
        <w:t>Second quarter 2025 sales increased $133 million, or 1 percent, primarily driven by higher sales at Mission Systems, Defense Systems and Aeronautics Systems, partially offset by lower sales at Space Systems due, in part, to the wind-down of work on certain Space programs, as discussed in our segment operating results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Year to date 2025 sales decreased $532 million, or 3 percent, primarily driven by lower sales at Space Systems due, in part, to the wind-down of work on certain Space programs, and lower sales at Aeronautics Systems, partially offset by higher sales at Mission Systems and Defense Systems.</w:t>
      </w:r>
    </w:p>
    <w:p>
      <w:pPr>
        <w:spacing w:after="0" w:line="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Second quarter 2025 operating income increased $335 million, or 31 percent, primarily due to the training services divestiture, including a $231 million gain on sale and $19 million of unallocated corporate expense for unallowable state taxes and transaction costs. Operating income also increased due to $118 million of higher segment operating income and a $57 million increase in the FAS/CAS operating adjustment, partially offset by a $52 million increase in non-divestiture-related unallocated corporate expense. Operating margin rate increased to 13.8 percent from 10.7 percent reflecting the items above.</w:t>
      </w:r>
    </w:p>
    <w:p>
      <w:pPr>
        <w:spacing w:after="0" w:line="6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Second quarter 2025 general and administrative (G&amp;A) costs as a percentage of sales decreased to 9.8 percent from 10.8 percent in the prior year period primarily due to cost management and higher sales.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2025 operating income decreased $163 million, or 8 percent, due to a $418 million decrease in segment operating income, primarily driven by a $477 million loss provision recorded on the B-21 program at Aeronautics Systems in the first quarter of 2025 and a $70 million increase in non-divestiture-related unallocated corporate expense. These decreases were partially offset by higher operating income due to the training services divestiture, including a $231 million pre-tax gain on sale and $20 million of unallocated corporate expense for unallowable state taxes and transaction costs, and a $114 million increase in the FAS/CAS operating adjustment. Operating margin rate declined to 10.1 percent from 10.6 percent reflecting the items above.</w:t>
      </w:r>
    </w:p>
    <w:p>
      <w:pPr>
        <w:spacing w:after="0" w:line="6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Year to date 2025 G&amp;A costs as a percentage of sales decreased to 10.2 percent from 10.6 percent in the prior year period primarily due to cost management, partially offset by lower sales.</w:t>
      </w:r>
    </w:p>
    <w:p>
      <w:pPr>
        <w:spacing w:after="0" w:line="4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Second quarter 2025 income tax expense increased $47 million, or 23 percent, due to higher earnings before income taxes, partially offset by a lower ETR. The second quarter 2025 ETR decreased to 17.7 percent from 18.0 percent in the prior year period primarily due to lower interest expense on unrecognized tax benefits and higher research credits, partially offset by additional income tax expense related to nondeductible goodwill in the divested training services business.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Year to date 2025 income tax expense decreased $43 million, or 11 percent, due to lower earnings before income taxes, partially offset by a higher ETR. The year to date 2025 ETR increased to 17.5 percent from 17.3 percent in the prior year period primarily due to additional income tax expense related to nondeductible goodwill in the divested training services business and lower benefits for FDII and employee share-based compensation. These increases were partially offset by higher research credits and lower interest expense on unrecognized tax benefits.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financial statements for additional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Second quarter 2025 net earnings increased $234 million, or 25 percent, primarily due to the $335 million increase in operating income described above, partially offset by a $47 million increase in income tax expense, a $30 million reduction in the non-operating FAS pension benefit and higher interest expense.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Year to date 2025 net earnings decreased $229 million, or 12 percent, primarily due to the $163 million decrease in operating income described above, a $68 million reduction in the non-operating FAS pension benefit and higher interest expense, partially offset by a $43 million decrease in income tax expense.</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Second quarter 2025 diluted earnings per share increased 28 percent, reflecting a 25 percent increase in net earnings and a 3 percent reduction in weighted-average diluted shares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Year to date 2025 diluted earnings per share decreased 10 percent, reflecting a 12 percent decrease in net earnings and a 3 percent reduction in weighted-average diluted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4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Effective July 1, 2024, the company realigned the SDS division, which includes the Sentinel program, from Space Systems to Defense Systems. Effective January 1, 2025, the company realigned the SSAS business unit from Defense Systems to Aeronautics Systems. These realignments are reflected in the financial information contained in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Assessment and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1,425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1,090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1,998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13.8 %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10.7 %</w:t>
            </w: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10.6 %</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(65)</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80 %</w:t>
            </w:r>
          </w:p>
        </w:tc>
        <w:tc>
          <w:tcPr>
            <w:tcW w:w="18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(234)</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54</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108</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(63)</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950 %</w:t>
            </w:r>
          </w:p>
        </w:tc>
        <w:tc>
          <w:tcPr>
            <w:tcW w:w="180" w:type="dxa"/>
            <w:vAlign w:val="bottom"/>
          </w:tcPr>
          <w:p>
            <w:pPr>
              <w:spacing w:after="0"/>
              <w:rPr>
                <w:sz w:val="19"/>
                <w:szCs w:val="19"/>
                <w:color w:val="auto"/>
              </w:rPr>
            </w:pPr>
          </w:p>
        </w:tc>
        <w:tc>
          <w:tcPr>
            <w:tcW w:w="10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(126)</w:t>
            </w:r>
          </w:p>
        </w:tc>
        <w:tc>
          <w:tcPr>
            <w:tcW w:w="320" w:type="dxa"/>
            <w:vAlign w:val="bottom"/>
          </w:tcPr>
          <w:p>
            <w:pPr>
              <w:spacing w:after="0"/>
              <w:rPr>
                <w:sz w:val="19"/>
                <w:szCs w:val="19"/>
                <w:color w:val="auto"/>
              </w:rPr>
            </w:pP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950 %</w:t>
            </w: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84"/>
        </w:trPr>
        <w:tc>
          <w:tcPr>
            <w:tcW w:w="382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Training services divestiture - unallowable state</w:t>
            </w:r>
          </w:p>
        </w:tc>
        <w:tc>
          <w:tcPr>
            <w:tcW w:w="140" w:type="dxa"/>
            <w:vAlign w:val="bottom"/>
          </w:tcPr>
          <w:p>
            <w:pPr>
              <w:spacing w:after="0"/>
              <w:rPr>
                <w:sz w:val="16"/>
                <w:szCs w:val="16"/>
                <w:color w:val="auto"/>
              </w:rPr>
            </w:pPr>
          </w:p>
        </w:tc>
        <w:tc>
          <w:tcPr>
            <w:tcW w:w="10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Pr>
          <w:p>
            <w:pPr>
              <w:spacing w:after="0"/>
              <w:rPr>
                <w:sz w:val="16"/>
                <w:szCs w:val="16"/>
                <w:color w:val="auto"/>
              </w:rPr>
            </w:pPr>
          </w:p>
        </w:tc>
        <w:tc>
          <w:tcPr>
            <w:tcW w:w="10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w:t>
            </w: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4"/>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and transaction costs</w:t>
            </w:r>
          </w:p>
        </w:tc>
        <w:tc>
          <w:tcPr>
            <w:tcW w:w="1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82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140" w:type="dxa"/>
            <w:vAlign w:val="bottom"/>
            <w:shd w:val="clear" w:color="auto" w:fill="CCEEFF"/>
          </w:tcPr>
          <w:p>
            <w:pPr>
              <w:spacing w:after="0"/>
              <w:rPr>
                <w:sz w:val="16"/>
                <w:szCs w:val="16"/>
                <w:color w:val="auto"/>
              </w:rPr>
            </w:pPr>
          </w:p>
        </w:tc>
        <w:tc>
          <w:tcPr>
            <w:tcW w:w="10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w:t>
            </w:r>
          </w:p>
        </w:tc>
        <w:tc>
          <w:tcPr>
            <w:tcW w:w="18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w:t>
            </w: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0" w:type="dxa"/>
            <w:vAlign w:val="bottom"/>
          </w:tcPr>
          <w:p>
            <w:pPr>
              <w:spacing w:after="0"/>
              <w:rPr>
                <w:sz w:val="1"/>
                <w:szCs w:val="1"/>
                <w:color w:val="auto"/>
              </w:rPr>
            </w:pPr>
          </w:p>
        </w:tc>
      </w:tr>
      <w:tr>
        <w:trPr>
          <w:trHeight w:val="234"/>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4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380" w:type="dxa"/>
            <w:vAlign w:val="bottom"/>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 (income)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48</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1,100 %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(income)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1,219</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1,101</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1,787</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2,205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37"/>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11.8 %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38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9.0 %</w:t>
            </w:r>
          </w:p>
        </w:tc>
        <w:tc>
          <w:tcPr>
            <w:tcW w:w="3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2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Second quarter 2025 segment operating income increased $118 million, or 11 percent, due to higher operating income at Mission Systems, Defense Systems and Aeronautics Systems, partially offset by lower operating income at Space Systems. Segment operating margin rate increased to 11.8 percent from 10.8 percent, due to higher operating margin rates at all four sectors.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2025 segment operating income decreased $418 million, or 19 percent, due to lower operating income at Aeronautics Systems, primarily driven by a $477 million B-21 loss provision in the first quarter of 2025, and lower operating income at Space Systems, partially offset by higher operating income at Defense Systems and Mission Systems. Segment operating margin rate decreased to 9.0 percent from 10.8 percent, primarily due to the B-21 loss provision and a lower operating margin rate at Mission Systems, partially offset by higher operating margin rates at Defense Systems and Space Systems.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second quarter 2025 and year to date 2025 FAS/CAS operating adjustment reflects higher CAS pension expense largely driven by plan asset returns in prior years and changes in certain CAS actuarial assumptions as of December 31,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(Income)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change in second quarter 2025 unallocated corporate (income) expense is primarily due to a $231 million gain on the sale of our training services business, partially offset by $19 million of unallowable state taxes and transaction costs associated with the divestiture. Non-divestiture-related unallocated corporate expense increased primarily due to higher deferred state tax expense associated with research and development expenditures and the utilization of state tax credit carryforwards, as well as the prior year including a $26 million increase in our estimated recovery of certain environmental remediation costs.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change in year to date 2025 unallocated corporate (income) expense is primarily due to a $231 million gain on the sale of our training services business, partially offset by $20 million of unallowable state taxes and transaction costs associated with the divestiture. Non-divestiture-related unallocated corporate expense increased primarily due to higher deferred state tax expense associated with research and development expenditures and the utilization of state tax credit carryforwards, as well as the prior year including a $26 million increase in our estimated recovery of certain environmental remediation costs.</w:t>
      </w:r>
    </w:p>
    <w:p>
      <w:pPr>
        <w:spacing w:after="0" w:line="5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and margin 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404</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728</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722</w:t>
            </w: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(278)</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(590)</w:t>
            </w: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126</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22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June 30</w:t>
            </w:r>
          </w:p>
        </w:tc>
        <w:tc>
          <w:tcPr>
            <w:tcW w:w="2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Six Months Ended June 30</w:t>
            </w:r>
          </w:p>
        </w:tc>
      </w:tr>
      <w:tr>
        <w:trPr>
          <w:trHeight w:val="223"/>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106</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126</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120" w:type="dxa"/>
            <w:vAlign w:val="bottom"/>
          </w:tcPr>
          <w:p>
            <w:pPr>
              <w:spacing w:after="0"/>
              <w:rPr>
                <w:sz w:val="20"/>
                <w:szCs w:val="20"/>
                <w:color w:val="auto"/>
              </w:rPr>
            </w:pPr>
          </w:p>
        </w:tc>
        <w:tc>
          <w:tcPr>
            <w:tcW w:w="224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3,114</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3,060</w:t>
            </w:r>
          </w:p>
        </w:tc>
        <w:tc>
          <w:tcPr>
            <w:tcW w:w="15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2 %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5,928</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6,104</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321</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w:t>
            </w:r>
          </w:p>
        </w:tc>
        <w:tc>
          <w:tcPr>
            <w:tcW w:w="13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3 %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138</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10.3 %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2.3 %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020"/>
        <w:spacing w:after="0" w:line="290" w:lineRule="auto"/>
        <w:rPr>
          <w:sz w:val="20"/>
          <w:szCs w:val="20"/>
          <w:color w:val="auto"/>
        </w:rPr>
      </w:pPr>
      <w:r>
        <w:rPr>
          <w:rFonts w:ascii="Times New Roman" w:cs="Times New Roman" w:eastAsia="Times New Roman" w:hAnsi="Times New Roman"/>
          <w:sz w:val="17"/>
          <w:szCs w:val="17"/>
          <w:color w:val="auto"/>
        </w:rPr>
        <w:t>Second quarter 2025 sales increased $54 million, or 2 percent, primarily due to higher volume on B-21 and ramp-up on the E-130J TACAMO (“TACAMO”) program, partially offset by lower volume on restricted programs and a decrease on F/A-18 as production nears completion.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Year to date 2025 sales decreased $176 million, or 3 percent, primarily due to lower volume on restricted programs, commercial aerostructures programs and F/A-18 as production nears completion, partially offset by a $116 million increase on TACAMO as that program ramps.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Second quarter 2025 operating income increased $9 million, or 3 percent, primarily due to higher sales. Operating margin rate of 10.3 percent was comparable with the prior year period.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Year to date 2025 operating income decreased $480 million and operating margin rate decreased to 2.3 percent primarily due to the previously described $477 million loss provision recorded on the LRIP phase of the B-21 program in the first quarter of 2025, inclusive of a $226 million unfavorable EAC adjustment on the first and second LRIP lots.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5"/>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1,991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1,859</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3,796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(40)</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w:t>
            </w:r>
          </w:p>
        </w:tc>
        <w:tc>
          <w:tcPr>
            <w:tcW w:w="1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(112)</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1,951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1,787</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9 %</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3,684</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128"/>
        </w:trPr>
        <w:tc>
          <w:tcPr>
            <w:tcW w:w="3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253</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12.7 %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1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11.4 %</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9.6 %</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2025 sales increased $132 million, or 7 percent, principally due to higher sales on the Sentinel program and military ammunition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Year to date 2025 sales increased $200 million, or 6 percent, principally due to a $145 million increase in sales on the Sentinel program and higher volume on military ammunition programs and the Poland Integrated Battle Command System (IBCS) program.</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Second quarter 2025 operating income increased $62 million, or 32 percent, primarily due to a higher operating margin rate and higher sales. Operating margin rate increased to 12.7 percent from 10.3 percent primarily due to higher net EAC adjustments, including a $76 million favorable EAC adjustment on the EMD phase of the Sentinel program largely related to our expectations for achieving certain contract incentives.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Year to date 2025 operating income increased $85 million, or 24 percent, primarily due to a higher operating margin rate and higher sales. Operating margin rate increased to 11.4 percent from 9.6 percent primarily due to higher net EAC adjustments, including the $76 million favorable EAC adjustment on the Sentinel program described above.</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3,157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2,773</w:t>
            </w:r>
          </w:p>
        </w:tc>
        <w:tc>
          <w:tcPr>
            <w:tcW w:w="15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14 %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5,964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441</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38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22 %</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802</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14.0 %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13.0 %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13.4 %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13.6 %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Second quarter 2025 sales increased $384 million, or 14 percent, primarily due to the timing of a restricted award, which liquidated inventory purchased in advance of the award to support customer schedule, as well as higher volume on marine systems, international ground-based radar, advanced technologies and navigation systems programs.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Year to date 2025 sales increased $532 million, or 10 percent, primarily due to the restricted award timing described above, higher volume on the Scalable Agile Beam Radar (SABR) program and marine systems programs, and ramp-up on international ground-based radar programs. These increases were partially offset by lower volume on restricted advanced microelectronics programs.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Second quarter 2025 operating income increased $80 million, or 22 percent, due to higher sales and a higher operating margin rate. Operating margin rate increased to 14.0 percent from 13.0 percent, primarily due to higher net EAC adjustments driven by improved production efficiencies and program performance largely on airborne radar programs.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Year to date 2025 operating income increased $63 million, or 9 percent, primarily due to higher sales. Operating margin rate decreased to 13.4 percent from 13.6 percent, primarily due to investments made by the sector in connection with restricted business opportunities and lower volume on restricted advanced microelectronics programs, which more than offset higher net EAC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140" w:type="dxa"/>
            <w:vAlign w:val="bottom"/>
          </w:tcPr>
          <w:p>
            <w:pPr>
              <w:spacing w:after="0"/>
              <w:rPr>
                <w:sz w:val="20"/>
                <w:szCs w:val="20"/>
                <w:color w:val="auto"/>
              </w:rPr>
            </w:pPr>
          </w:p>
        </w:tc>
        <w:tc>
          <w:tcPr>
            <w:tcW w:w="2260" w:type="dxa"/>
            <w:vAlign w:val="bottom"/>
            <w:gridSpan w:val="3"/>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22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Six Months Ended June 30</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94"/>
        </w:trPr>
        <w:tc>
          <w:tcPr>
            <w:tcW w:w="38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260" w:type="dxa"/>
            <w:vAlign w:val="bottom"/>
            <w:tcBorders>
              <w:bottom w:val="single" w:sz="8" w:color="auto"/>
            </w:tcBorders>
            <w:gridSpan w:val="3"/>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gridSpan w:val="3"/>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2,646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3,002</w:t>
            </w:r>
          </w:p>
        </w:tc>
        <w:tc>
          <w:tcPr>
            <w:tcW w:w="15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  $</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5,214</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6,151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280</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304</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563</w:t>
            </w:r>
          </w:p>
        </w:tc>
        <w:tc>
          <w:tcPr>
            <w:tcW w:w="32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634</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10.6 %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10.1 %</w:t>
            </w:r>
          </w:p>
        </w:tc>
        <w:tc>
          <w:tcPr>
            <w:tcW w:w="13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10.8 %</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10.3 %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Second quarter 2025 sales decreased $356 million, or 12 percent, primarily due to wind-down of work on the restricted space and Next Generation Interceptor (NGI) programs, which reduced sales by $283 million, as well as lower volume on Space Development Agency (SDA) satellite programs due to the timing of materials.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Year to date 2025 sales decreased $937 million, or 15 percent, primarily due to wind-down of work on the restricted space and NGI programs, which reduced sales by $511 million, as well as decreases for SDA satellite programs, Commercial Resupply Services (CRS) missions and other restricted space programs.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2025 operating income decreased $24 million, or 8 percent, primarily due to lower sales, partially offset by a higher operating margin 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rate increased to 10.6 percent from 10.1 percent principally due to higher net EAC adjustments.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Year to date 2025 operating income decreased $71 million, or 11 percent, due to lower sales, partially offset by a higher operating margin rate. Operating margin rate increased to 10.8 percent from 10.3 percent principally due to higher net EAC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PRODUCT AND SERVICE ANALYSIS</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Three Months Ended June 30</w:t>
            </w:r>
          </w:p>
        </w:tc>
        <w:tc>
          <w:tcPr>
            <w:tcW w:w="9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 June 30</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20" w:type="dxa"/>
            <w:vAlign w:val="bottom"/>
          </w:tcPr>
          <w:p>
            <w:pPr>
              <w:spacing w:after="0"/>
              <w:rPr>
                <w:sz w:val="15"/>
                <w:szCs w:val="15"/>
                <w:color w:val="auto"/>
              </w:rPr>
            </w:pPr>
          </w:p>
        </w:tc>
        <w:tc>
          <w:tcPr>
            <w:tcW w:w="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5"/>
                <w:szCs w:val="15"/>
                <w:color w:val="auto"/>
              </w:rPr>
            </w:pPr>
          </w:p>
        </w:tc>
        <w:tc>
          <w:tcPr>
            <w:tcW w:w="10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280" w:type="dxa"/>
            <w:vAlign w:val="bottom"/>
          </w:tcPr>
          <w:p>
            <w:pPr>
              <w:spacing w:after="0"/>
              <w:rPr>
                <w:sz w:val="15"/>
                <w:szCs w:val="15"/>
                <w:color w:val="auto"/>
              </w:rPr>
            </w:pPr>
          </w:p>
        </w:tc>
        <w:tc>
          <w:tcPr>
            <w:tcW w:w="6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8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649</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692</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2,748</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5,928</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6,104</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1,577</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1,295</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2,982</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2,634</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3,796</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3,364</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1,945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1,685</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4,195</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582</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3,157</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5,964</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5,162</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2,119</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4,183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355</w:t>
            </w: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724</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2,366</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3,002</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2,698</w:t>
            </w: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5,214</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7,262</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15,779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14,498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2,093</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w:t>
            </w: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4,040</w:t>
            </w: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10,351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9,117</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19,819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18,032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Second quarter 2025 product sales increased $182 million, or 2 percent, primarily due to restricted award timing and higher volume on marine systems and international ground based radar programs at Mission Systems, higher sales on Sentinel and military ammunition programs at Defense Systems, and higher volume on the B-21 and TACAMO programs at Aeronautics Systems. These increases were partially offset by the wind-down of work on the restricted space and NGI programs at Space Systems.</w:t>
      </w:r>
    </w:p>
    <w:p>
      <w:pPr>
        <w:spacing w:after="0" w:line="54"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Second quarter 2025 product costs increased $57 million, or 1 percent, consistent with the higher product sales described above and reflects a higher operating margin rate on product sales at all four sectors.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Year to date 2025 product sales decreased $399 million, or 2 percent, primarily due to wind-down of work on the restricted space and NGI programs and lower sales for CRS missions and other restricted programs at Space Systems, as well as lower volume on restricted programs at Aeronautics Systems. These decreases were partially offset by restricted award timing and higher volume on the SABR program at Mission Systems, as well as higher sales on Sentinel and military ammunition programs at Defense Systems.</w:t>
      </w:r>
    </w:p>
    <w:p>
      <w:pPr>
        <w:spacing w:after="0" w:line="6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Year to date 2025 product costs were comparable to the prior year, reflecting a lower operating margin rate principally due to the $477 million loss provision recorded on the B-21 program at Aeronautics Systems in the first quarter of 2025, partially offset by higher net EAC adjustments at Defense Systems largely driven by the Sentinel program.</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Second quarter 2025 service sales decreased $49 million, or 2 percent, primarily due to lower restricted sales at Aeronautics Systems and the training services divestiture at Defense Systems. Second quarter 2025 sales from the training services business, which were largely included in service sales, were $40 million as compared to $72 million in the prior year period.</w:t>
      </w:r>
    </w:p>
    <w:p>
      <w:pPr>
        <w:spacing w:after="0" w:line="64" w:lineRule="exact"/>
        <w:rPr>
          <w:sz w:val="20"/>
          <w:szCs w:val="20"/>
          <w:color w:val="auto"/>
        </w:rPr>
      </w:pPr>
    </w:p>
    <w:p>
      <w:pPr>
        <w:ind w:right="2080"/>
        <w:spacing w:after="0" w:line="315" w:lineRule="auto"/>
        <w:rPr>
          <w:sz w:val="20"/>
          <w:szCs w:val="20"/>
          <w:color w:val="auto"/>
        </w:rPr>
      </w:pPr>
      <w:r>
        <w:rPr>
          <w:rFonts w:ascii="Times New Roman" w:cs="Times New Roman" w:eastAsia="Times New Roman" w:hAnsi="Times New Roman"/>
          <w:sz w:val="18"/>
          <w:szCs w:val="18"/>
          <w:color w:val="auto"/>
        </w:rPr>
        <w:t xml:space="preserve">Second quarter 2025 service costs decreased $42 million, or 2 percent, consistent with the lower service sales described above. </w:t>
      </w:r>
      <w:r>
        <w:rPr>
          <w:rFonts w:ascii="Times New Roman" w:cs="Times New Roman" w:eastAsia="Times New Roman" w:hAnsi="Times New Roman"/>
          <w:sz w:val="18"/>
          <w:szCs w:val="18"/>
          <w:i w:val="1"/>
          <w:iCs w:val="1"/>
          <w:color w:val="auto"/>
        </w:rPr>
        <w:t>Year to Date</w:t>
      </w:r>
    </w:p>
    <w:p>
      <w:pPr>
        <w:spacing w:after="0" w:line="2"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Year to date 2025 service sales decreased $133 million, or 3 percent, primarily due to lower restricted sales at Aeronautics Systems and the training services divestiture at Defense Systems. Year to date 2025 sales from the training services business, which were largely included in service sales, were $112 million as compared to $156 million in the prior year period.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2025 service costs decreased $111 million, or 3 percent, consistent with the lower service sales described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June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10,556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12,988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8,205</w:t>
            </w:r>
          </w:p>
        </w:tc>
        <w:tc>
          <w:tcPr>
            <w:tcW w:w="24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18,824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11,899</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5,645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6,800</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14,820</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37,460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52,277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89,737</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91,468</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and year to date 2025 net awards totaled $7.4 billion and $18.2 billion, respectively. Backlog totaled $89.7 billion and reflects a</w:t>
      </w:r>
    </w:p>
    <w:p>
      <w:pPr>
        <w:spacing w:after="0" w:line="27"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$150 million reduction of backlog in connection with the training services divestiture. Significant second quarter new awards include $1.8 billion for restricted programs (primarily at Mission Systems, Aeronautics Systems and Space Systems), $0.5 billion for F-35 (primarily at Mission Systems), $0.3 billion for the Guided Multiple Launch Rocket System (GMLRS) program, and $0.2 billion for Triton.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At June 30, 2025, we had $1.9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The company has a five-year senior unsecured credit facility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aggregate principal amount of $2.5 billion, and in April 2025, we renewed our one-year $500 million uncommitted credit facility. At June 30, 2025, there were no borrowings outstanding under these credit facilities; however, as of June 30, 2025, we had $570 million in commercial paper outstanding, which reduced the amount available for borrowing under our unsecured credit facility. In May 2025, we issued $1.0 billion of unsecured senior notes for general corporate purposes, including debt repayment, share repurchases, and working capital.</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(used in) provided by operating activities: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w w:val="98"/>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B-21 loss provision</w:t>
            </w: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9"/>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107 %</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125 %</w:t>
            </w: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(697)</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w:t>
            </w:r>
          </w:p>
        </w:tc>
      </w:tr>
    </w:tbl>
    <w:p>
      <w:pPr>
        <w:spacing w:after="0" w:line="154"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stock based compensation expense, deferred income taxes and net periodic pension and OPB income.</w:t>
      </w:r>
    </w:p>
    <w:p>
      <w:pPr>
        <w:spacing w:after="0" w:line="71"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color w:val="auto"/>
        </w:rPr>
        <w:t>Year to date 2025 net cash used in operating activities was $697 million compared to net cash provided by operating activities of $719 million in the prior year period, primarily due to $1.0 billion of higher net cash taxes, due, in part, to a $500 million federal tax refund received in the prior year, as well as increased trade working capital largely driven by the timing of collections and advance payments.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net cash (used in) provided by operating activities to free cash flow:</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37"/>
        </w:trPr>
        <w:tc>
          <w:tcPr>
            <w:tcW w:w="7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w w:val="99"/>
              </w:rPr>
              <w:t>Six Months Ended June 30</w:t>
            </w:r>
          </w:p>
        </w:tc>
        <w:tc>
          <w:tcPr>
            <w:tcW w:w="13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(697)</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719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r>
        <w:trPr>
          <w:trHeight w:val="229"/>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(487)</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7"/>
              </w:rPr>
              <w:t>(590)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30"/>
        </w:trPr>
        <w:tc>
          <w:tcPr>
            <w:tcW w:w="7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(1,184)</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129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Year to date 2025 free cash flow decreased $1.3 billion as compared with the same period in 2024 principally due to a $1.4 billion increase in net cash used in operating activities, partially offset by a $103 million reduction in capital expenditures.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Year to date 2025 net cash used in investing activities decreased $399 million, or 68 percent, as compared with the same period in 2024 principally due to $333 million in proceeds from the sale of the training services business as well as lower capital expenditures.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Year to date 2025 net cash used in financing activities was $1.6 billion compared to net cash provided by financing activities of $34 million in the prior year period. This change is primarily due to a $2.4 billion net decrease in cash from long-term debt and commercial paper financing, partially offset by an $861 million decrease in share repurchases.</w:t>
      </w:r>
    </w:p>
    <w:p>
      <w:pPr>
        <w:spacing w:after="0" w:line="49"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2024 Annual Report on Form 10-K.</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2024 Annual Report on Form 10-K and from time to time in our other filings with the SEC. They include: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90" w:lineRule="exact"/>
        <w:rPr>
          <w:rFonts w:ascii="Times New Roman" w:cs="Times New Roman" w:eastAsia="Times New Roman" w:hAnsi="Times New Roman"/>
          <w:sz w:val="18"/>
          <w:szCs w:val="18"/>
          <w:color w:val="auto"/>
        </w:rPr>
      </w:pPr>
    </w:p>
    <w:p>
      <w:pPr>
        <w:ind w:left="340" w:right="60" w:hanging="332"/>
        <w:spacing w:after="0" w:line="312" w:lineRule="auto"/>
        <w:tabs>
          <w:tab w:leader="none" w:pos="3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18"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w:t>
      </w:r>
    </w:p>
    <w:p>
      <w:pPr>
        <w:spacing w:after="0" w:line="103"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spacing w:after="0" w:line="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90" w:lineRule="exact"/>
        <w:rPr>
          <w:rFonts w:ascii="Times New Roman" w:cs="Times New Roman" w:eastAsia="Times New Roman" w:hAnsi="Times New Roman"/>
          <w:sz w:val="18"/>
          <w:szCs w:val="18"/>
          <w:color w:val="auto"/>
        </w:rPr>
      </w:pPr>
    </w:p>
    <w:p>
      <w:pPr>
        <w:jc w:val="both"/>
        <w:ind w:left="340" w:right="220" w:hanging="332"/>
        <w:spacing w:after="0" w:line="266"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DoD and other rules and regulations, including changes through executive orders, contract terms and practices applicable to our industry, findings by the U.S. government as to our compliance with such requirements, more aggressive enforcement of such requirements and changes in our customers’ business practices globally</w:t>
      </w:r>
    </w:p>
    <w:p>
      <w:pPr>
        <w:spacing w:after="0" w:line="5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third-party claims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104"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90"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and talented workforce with the necessary security clearances to meet our performance obligations</w:t>
      </w:r>
    </w:p>
    <w:p>
      <w:pPr>
        <w:spacing w:after="0" w:line="103"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pandemics and similar outbreaks and other significant disruptions</w:t>
      </w:r>
    </w:p>
    <w:p>
      <w:pPr>
        <w:spacing w:after="0" w:line="10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40"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protect and exploit intellectual property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104"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90"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i w:val="1"/>
          <w:iCs w:val="1"/>
          <w:color w:val="auto"/>
        </w:rPr>
      </w:pPr>
    </w:p>
    <w:p>
      <w:pPr>
        <w:ind w:left="340" w:right="40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June 30, 2025,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8"/>
          <w:szCs w:val="18"/>
          <w:color w:val="auto"/>
        </w:rPr>
        <w:t>During the three months ended June 30, 2025,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2024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2024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June 30,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4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420" w:type="dxa"/>
            <w:vAlign w:val="bottom"/>
          </w:tcPr>
          <w:p>
            <w:pPr>
              <w:spacing w:after="0"/>
              <w:rPr>
                <w:sz w:val="15"/>
                <w:szCs w:val="15"/>
                <w:color w:val="auto"/>
              </w:rPr>
            </w:pPr>
          </w:p>
        </w:tc>
        <w:tc>
          <w:tcPr>
            <w:tcW w:w="2360" w:type="dxa"/>
            <w:vAlign w:val="bottom"/>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42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360" w:type="dxa"/>
            <w:vAlign w:val="bottom"/>
          </w:tcPr>
          <w:p>
            <w:pPr>
              <w:jc w:val="center"/>
              <w:ind w:left="7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vMerge w:val="continue"/>
          </w:tcPr>
          <w:p>
            <w:pPr>
              <w:spacing w:after="0"/>
              <w:rPr>
                <w:sz w:val="19"/>
                <w:szCs w:val="19"/>
                <w:color w:val="auto"/>
              </w:rPr>
            </w:pPr>
          </w:p>
        </w:tc>
        <w:tc>
          <w:tcPr>
            <w:tcW w:w="2360" w:type="dxa"/>
            <w:vAlign w:val="bottom"/>
            <w:tcBorders>
              <w:bottom w:val="single" w:sz="8" w:color="auto"/>
            </w:tcBorders>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29, 2025 - April 25, 2025</w:t>
            </w:r>
          </w:p>
        </w:tc>
        <w:tc>
          <w:tcPr>
            <w:tcW w:w="2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239,644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494.64</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239,644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3,536</w:t>
            </w:r>
          </w:p>
        </w:tc>
        <w:tc>
          <w:tcPr>
            <w:tcW w:w="0" w:type="dxa"/>
            <w:vAlign w:val="bottom"/>
          </w:tcPr>
          <w:p>
            <w:pPr>
              <w:spacing w:after="0"/>
              <w:rPr>
                <w:sz w:val="1"/>
                <w:szCs w:val="1"/>
                <w:color w:val="auto"/>
              </w:rPr>
            </w:pPr>
          </w:p>
        </w:tc>
      </w:tr>
      <w:tr>
        <w:trPr>
          <w:trHeight w:val="230"/>
        </w:trPr>
        <w:tc>
          <w:tcPr>
            <w:tcW w:w="3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26, 2025 - May 23, 2025</w:t>
            </w:r>
          </w:p>
        </w:tc>
        <w:tc>
          <w:tcPr>
            <w:tcW w:w="23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294,944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476.55</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294,944</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24, 2025 - June 27, 2025</w:t>
            </w:r>
          </w:p>
        </w:tc>
        <w:tc>
          <w:tcPr>
            <w:tcW w:w="23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264,644</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488.33</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264,644</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r>
        <w:trPr>
          <w:trHeight w:val="230"/>
        </w:trPr>
        <w:tc>
          <w:tcPr>
            <w:tcW w:w="3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799,232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485.87</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799,232</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1"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2025, none of our directors or officers (as defined in Rule 16a-1(f) of the Exchange Act) adopted or terminated a Rule 10b5-1 trading arrangement or non-Rule 10b5-1 trading arrangement, as those terms are defined in Item 408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ind w:left="980" w:hanging="260"/>
        <w:spacing w:after="0" w:line="23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4.1 </w:t>
      </w:r>
      <w:hyperlink r:id="rId50">
        <w:r>
          <w:rPr>
            <w:rFonts w:ascii="Times New Roman" w:cs="Times New Roman" w:eastAsia="Times New Roman" w:hAnsi="Times New Roman"/>
            <w:sz w:val="17"/>
            <w:szCs w:val="17"/>
            <w:u w:val="single" w:color="auto"/>
            <w:color w:val="0000FF"/>
          </w:rPr>
          <w:t>Thirteenth Supplemental Indenture, dated as of May 29, 2025, between Northrop Grumman Corporation and The Bank of New York Mellon,</w:t>
        </w:r>
      </w:hyperlink>
      <w:r>
        <w:rPr>
          <w:rFonts w:ascii="Times New Roman" w:cs="Times New Roman" w:eastAsia="Times New Roman" w:hAnsi="Times New Roman"/>
          <w:sz w:val="17"/>
          <w:szCs w:val="17"/>
          <w:color w:val="auto"/>
        </w:rPr>
        <w:t xml:space="preserve"> </w:t>
      </w:r>
      <w:hyperlink r:id="rId50">
        <w:r>
          <w:rPr>
            <w:rFonts w:ascii="Times New Roman" w:cs="Times New Roman" w:eastAsia="Times New Roman" w:hAnsi="Times New Roman"/>
            <w:sz w:val="17"/>
            <w:szCs w:val="17"/>
            <w:u w:val="single" w:color="auto"/>
            <w:color w:val="0000FF"/>
          </w:rPr>
          <w:t>as successor to JPMorgan Chase Bank, Trustee, to Indenture dated as of November 21, 2001 (incorporated by reference to Exhibit 4.1 to</w:t>
        </w:r>
      </w:hyperlink>
    </w:p>
    <w:p>
      <w:pPr>
        <w:ind w:left="980"/>
        <w:spacing w:after="0"/>
        <w:rPr>
          <w:rFonts w:ascii="Times New Roman" w:cs="Times New Roman" w:eastAsia="Times New Roman" w:hAnsi="Times New Roman"/>
          <w:sz w:val="18"/>
          <w:szCs w:val="18"/>
          <w:u w:val="single" w:color="auto"/>
          <w:color w:val="0000FF"/>
        </w:rPr>
      </w:pPr>
      <w:hyperlink r:id="rId50">
        <w:r>
          <w:rPr>
            <w:rFonts w:ascii="Times New Roman" w:cs="Times New Roman" w:eastAsia="Times New Roman" w:hAnsi="Times New Roman"/>
            <w:sz w:val="18"/>
            <w:szCs w:val="18"/>
            <w:u w:val="single" w:color="auto"/>
            <w:color w:val="0000FF"/>
          </w:rPr>
          <w:t>Form 8-K filed May 29, 2025, File No. 001-16411)</w:t>
        </w:r>
      </w:hyperlink>
    </w:p>
    <w:p>
      <w:pPr>
        <w:spacing w:after="0" w:line="57" w:lineRule="exact"/>
        <w:rPr>
          <w:sz w:val="20"/>
          <w:szCs w:val="20"/>
          <w:color w:val="auto"/>
        </w:rPr>
      </w:pPr>
    </w:p>
    <w:p>
      <w:pPr>
        <w:ind w:left="980" w:right="16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4.2 </w:t>
      </w:r>
      <w:hyperlink r:id="rId50">
        <w:r>
          <w:rPr>
            <w:rFonts w:ascii="Times New Roman" w:cs="Times New Roman" w:eastAsia="Times New Roman" w:hAnsi="Times New Roman"/>
            <w:sz w:val="18"/>
            <w:szCs w:val="18"/>
            <w:u w:val="single" w:color="auto"/>
            <w:color w:val="0000FF"/>
          </w:rPr>
          <w:t>Form of 4.650% Senior Note due 2030 (included in Exhibit 4.1) (incorporated by reference to Exhibit 4.2 to Form 8-K filed May 29,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980" w:right="160" w:hanging="260"/>
        <w:spacing w:after="0" w:line="237"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4.3 </w:t>
      </w:r>
      <w:hyperlink r:id="rId50">
        <w:r>
          <w:rPr>
            <w:rFonts w:ascii="Times New Roman" w:cs="Times New Roman" w:eastAsia="Times New Roman" w:hAnsi="Times New Roman"/>
            <w:sz w:val="18"/>
            <w:szCs w:val="18"/>
            <w:u w:val="single" w:color="auto"/>
            <w:color w:val="0000FF"/>
          </w:rPr>
          <w:t>Form of 5.250% Senior Note due 2035 (included in Exhibit 4.1) (incorporated by reference to Exhibit 4.3 to Form 8-K filed May 29, 2025,</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FF"/>
          </w:rPr>
          <w:t>File No. 001-16411)</w:t>
        </w:r>
      </w:hyperlink>
    </w:p>
    <w:p>
      <w:pPr>
        <w:spacing w:after="0" w:line="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Non-Employee Director Compensation Term Sheet, effective May 21, 2025</w:t>
      </w:r>
    </w:p>
    <w:p>
      <w:pPr>
        <w:spacing w:after="0" w:line="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38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Kenneth B. Crews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Kenneth B. Crews pursuant to Section 906 of the Sarbanes-Oxley Act of 2002</w:t>
      </w:r>
    </w:p>
    <w:p>
      <w:pPr>
        <w:ind w:left="980" w:right="6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June 30, 2025, formatted as inline XBRL (Extensible Business Reporting Language): (i) the Cover Page, (ii) Condensed Consolidated Statements of Earnings and Comprehensive Income, (iii)</w:t>
      </w:r>
    </w:p>
    <w:p>
      <w:pPr>
        <w:ind w:left="980" w:right="240"/>
        <w:spacing w:after="0" w:line="220" w:lineRule="auto"/>
        <w:rPr>
          <w:sz w:val="20"/>
          <w:szCs w:val="20"/>
          <w:color w:val="auto"/>
        </w:rPr>
      </w:pPr>
      <w:r>
        <w:rPr>
          <w:rFonts w:ascii="Times New Roman" w:cs="Times New Roman" w:eastAsia="Times New Roman" w:hAnsi="Times New Roman"/>
          <w:sz w:val="17"/>
          <w:szCs w:val="17"/>
          <w:color w:val="auto"/>
        </w:rPr>
        <w:t>Condensed Consolidated Statements of Financial Position, (iv) Condensed Consolidated Statements of Cash Flows, (v) Condensed Consolidated Statements of Changes in Shareholders’ Equity, (vi) Notes to Condensed Consolidated Financial Statements, and (vii) Other Information. The instance document does not appear in the Interactive Data File because its XBRL tags are embedded within the Inline</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XBRL document.</w:t>
      </w:r>
    </w:p>
    <w:p>
      <w:pPr>
        <w:spacing w:after="0" w:line="5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2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Management contract or compensatory plan or arrangement</w:t>
      </w:r>
    </w:p>
    <w:p>
      <w:pPr>
        <w:ind w:left="980" w:hanging="630"/>
        <w:spacing w:after="0" w:line="204" w:lineRule="auto"/>
        <w:tabs>
          <w:tab w:leader="none" w:pos="980"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00"/>
          </w:cols>
          <w:pgMar w:left="320" w:top="114"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82"/>
        </w:trPr>
        <w:tc>
          <w:tcPr>
            <w:tcW w:w="1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w w:val="97"/>
              </w:rPr>
              <w:t>Fees and Expenses</w:t>
            </w:r>
          </w:p>
        </w:tc>
        <w:tc>
          <w:tcPr>
            <w:tcW w:w="2080" w:type="dxa"/>
            <w:vAlign w:val="bottom"/>
            <w:vMerge w:val="restart"/>
          </w:tcPr>
          <w:p>
            <w:pPr>
              <w:spacing w:after="0"/>
              <w:rPr>
                <w:sz w:val="24"/>
                <w:szCs w:val="24"/>
                <w:color w:val="auto"/>
              </w:rPr>
            </w:pPr>
          </w:p>
        </w:tc>
        <w:tc>
          <w:tcPr>
            <w:tcW w:w="268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5"/>
              </w:rPr>
              <w:t>Exhibit 10.1</w:t>
            </w:r>
          </w:p>
        </w:tc>
        <w:tc>
          <w:tcPr>
            <w:tcW w:w="0" w:type="dxa"/>
            <w:vAlign w:val="bottom"/>
          </w:tcPr>
          <w:p>
            <w:pPr>
              <w:spacing w:after="0"/>
              <w:rPr>
                <w:sz w:val="1"/>
                <w:szCs w:val="1"/>
                <w:color w:val="auto"/>
              </w:rPr>
            </w:pPr>
          </w:p>
        </w:tc>
      </w:tr>
      <w:tr>
        <w:trPr>
          <w:trHeight w:val="209"/>
        </w:trPr>
        <w:tc>
          <w:tcPr>
            <w:tcW w:w="184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700" w:type="dxa"/>
            <w:vAlign w:val="bottom"/>
            <w:tcBorders>
              <w:bottom w:val="single" w:sz="8" w:color="auto"/>
            </w:tcBorders>
            <w:vMerge w:val="continue"/>
          </w:tcPr>
          <w:p>
            <w:pPr>
              <w:spacing w:after="0"/>
              <w:rPr>
                <w:sz w:val="17"/>
                <w:szCs w:val="17"/>
                <w:color w:val="auto"/>
              </w:rPr>
            </w:pPr>
          </w:p>
        </w:tc>
        <w:tc>
          <w:tcPr>
            <w:tcW w:w="2080" w:type="dxa"/>
            <w:vAlign w:val="bottom"/>
            <w:vMerge w:val="continue"/>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1840" w:type="dxa"/>
            <w:vAlign w:val="bottom"/>
          </w:tcPr>
          <w:p>
            <w:pPr>
              <w:spacing w:after="0"/>
              <w:rPr>
                <w:sz w:val="24"/>
                <w:szCs w:val="24"/>
                <w:color w:val="auto"/>
              </w:rPr>
            </w:pPr>
          </w:p>
        </w:tc>
        <w:tc>
          <w:tcPr>
            <w:tcW w:w="6640" w:type="dxa"/>
            <w:vAlign w:val="bottom"/>
            <w:gridSpan w:val="3"/>
          </w:tcPr>
          <w:p>
            <w:pPr>
              <w:jc w:val="center"/>
              <w:ind w:left="672"/>
              <w:spacing w:after="0"/>
              <w:rPr>
                <w:sz w:val="20"/>
                <w:szCs w:val="20"/>
                <w:color w:val="auto"/>
              </w:rPr>
            </w:pPr>
            <w:r>
              <w:rPr>
                <w:rFonts w:ascii="Times New Roman" w:cs="Times New Roman" w:eastAsia="Times New Roman" w:hAnsi="Times New Roman"/>
                <w:sz w:val="22"/>
                <w:szCs w:val="22"/>
                <w:color w:val="auto"/>
                <w:w w:val="97"/>
              </w:rPr>
              <w:t>(effective as of May 21, 2025)</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840" w:type="dxa"/>
            <w:vAlign w:val="bottom"/>
          </w:tcPr>
          <w:p>
            <w:pPr>
              <w:spacing w:after="0"/>
              <w:rPr>
                <w:sz w:val="20"/>
                <w:szCs w:val="20"/>
                <w:color w:val="auto"/>
              </w:rPr>
            </w:pPr>
            <w:r>
              <w:rPr>
                <w:rFonts w:ascii="Times New Roman" w:cs="Times New Roman" w:eastAsia="Times New Roman" w:hAnsi="Times New Roman"/>
                <w:sz w:val="22"/>
                <w:szCs w:val="22"/>
                <w:i w:val="1"/>
                <w:iCs w:val="1"/>
                <w:color w:val="auto"/>
              </w:rPr>
              <w:t>Retainer:</w:t>
            </w:r>
          </w:p>
        </w:tc>
        <w:tc>
          <w:tcPr>
            <w:tcW w:w="6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Retainer fees are paid quarterly, at the end of each quarter.</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6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Fees are as follows:</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840" w:type="dxa"/>
            <w:vAlign w:val="bottom"/>
          </w:tcPr>
          <w:p>
            <w:pPr>
              <w:spacing w:after="0"/>
              <w:rPr>
                <w:sz w:val="24"/>
                <w:szCs w:val="24"/>
                <w:color w:val="auto"/>
              </w:rPr>
            </w:pPr>
          </w:p>
        </w:tc>
        <w:tc>
          <w:tcPr>
            <w:tcW w:w="6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Annual cash retainer:</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$145,000</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6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Additional retainer for:</w:t>
            </w:r>
          </w:p>
        </w:tc>
        <w:tc>
          <w:tcPr>
            <w:tcW w:w="2680" w:type="dxa"/>
            <w:vAlign w:val="bottom"/>
            <w:vMerge w:val="restart"/>
          </w:tcPr>
          <w:p>
            <w:pPr>
              <w:ind w:left="980"/>
              <w:spacing w:after="0"/>
              <w:rPr>
                <w:sz w:val="20"/>
                <w:szCs w:val="20"/>
                <w:color w:val="auto"/>
              </w:rPr>
            </w:pPr>
            <w:r>
              <w:rPr>
                <w:rFonts w:ascii="Times New Roman" w:cs="Times New Roman" w:eastAsia="Times New Roman" w:hAnsi="Times New Roman"/>
                <w:sz w:val="22"/>
                <w:szCs w:val="22"/>
                <w:color w:val="auto"/>
              </w:rPr>
              <w:t>$50,000</w:t>
            </w:r>
          </w:p>
        </w:tc>
        <w:tc>
          <w:tcPr>
            <w:tcW w:w="0" w:type="dxa"/>
            <w:vAlign w:val="bottom"/>
          </w:tcPr>
          <w:p>
            <w:pPr>
              <w:spacing w:after="0"/>
              <w:rPr>
                <w:sz w:val="1"/>
                <w:szCs w:val="1"/>
                <w:color w:val="auto"/>
              </w:rPr>
            </w:pPr>
          </w:p>
        </w:tc>
      </w:tr>
      <w:tr>
        <w:trPr>
          <w:trHeight w:val="243"/>
        </w:trPr>
        <w:tc>
          <w:tcPr>
            <w:tcW w:w="1840" w:type="dxa"/>
            <w:vAlign w:val="bottom"/>
          </w:tcPr>
          <w:p>
            <w:pPr>
              <w:spacing w:after="0"/>
              <w:rPr>
                <w:sz w:val="21"/>
                <w:szCs w:val="21"/>
                <w:color w:val="auto"/>
              </w:rPr>
            </w:pPr>
          </w:p>
        </w:tc>
        <w:tc>
          <w:tcPr>
            <w:tcW w:w="6640" w:type="dxa"/>
            <w:vAlign w:val="bottom"/>
            <w:gridSpan w:val="3"/>
          </w:tcPr>
          <w:p>
            <w:pPr>
              <w:ind w:left="860"/>
              <w:spacing w:after="0" w:line="243" w:lineRule="exact"/>
              <w:rPr>
                <w:sz w:val="20"/>
                <w:szCs w:val="20"/>
                <w:color w:val="auto"/>
              </w:rPr>
            </w:pPr>
            <w:r>
              <w:rPr>
                <w:rFonts w:ascii="Times New Roman" w:cs="Times New Roman" w:eastAsia="Times New Roman" w:hAnsi="Times New Roman"/>
                <w:sz w:val="22"/>
                <w:szCs w:val="22"/>
                <w:color w:val="auto"/>
              </w:rPr>
              <w:t>Lead Independent Director:</w:t>
            </w:r>
          </w:p>
        </w:tc>
        <w:tc>
          <w:tcPr>
            <w:tcW w:w="2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66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Audit and Risk Committee:</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$15,000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6640" w:type="dxa"/>
            <w:vAlign w:val="bottom"/>
            <w:gridSpan w:val="3"/>
          </w:tcPr>
          <w:p>
            <w:pPr>
              <w:ind w:left="840"/>
              <w:spacing w:after="0"/>
              <w:rPr>
                <w:sz w:val="20"/>
                <w:szCs w:val="20"/>
                <w:color w:val="auto"/>
              </w:rPr>
            </w:pPr>
            <w:r>
              <w:rPr>
                <w:rFonts w:ascii="Times New Roman" w:cs="Times New Roman" w:eastAsia="Times New Roman" w:hAnsi="Times New Roman"/>
                <w:sz w:val="22"/>
                <w:szCs w:val="22"/>
                <w:color w:val="auto"/>
              </w:rPr>
              <w:t>Audit and Risk Committee chair:</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56"/>
        </w:trPr>
        <w:tc>
          <w:tcPr>
            <w:tcW w:w="1840" w:type="dxa"/>
            <w:vAlign w:val="bottom"/>
          </w:tcPr>
          <w:p>
            <w:pPr>
              <w:spacing w:after="0"/>
              <w:rPr>
                <w:sz w:val="22"/>
                <w:szCs w:val="22"/>
                <w:color w:val="auto"/>
              </w:rPr>
            </w:pPr>
          </w:p>
        </w:tc>
        <w:tc>
          <w:tcPr>
            <w:tcW w:w="6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rPr>
              <w:t>Compensation and Human Capital Committee chair:</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57"/>
        </w:trPr>
        <w:tc>
          <w:tcPr>
            <w:tcW w:w="1840" w:type="dxa"/>
            <w:vAlign w:val="bottom"/>
          </w:tcPr>
          <w:p>
            <w:pPr>
              <w:spacing w:after="0"/>
              <w:rPr>
                <w:sz w:val="22"/>
                <w:szCs w:val="22"/>
                <w:color w:val="auto"/>
              </w:rPr>
            </w:pPr>
          </w:p>
        </w:tc>
        <w:tc>
          <w:tcPr>
            <w:tcW w:w="6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rPr>
              <w:t>Nominating and Governance Committee chair:</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309"/>
        </w:trPr>
        <w:tc>
          <w:tcPr>
            <w:tcW w:w="1840" w:type="dxa"/>
            <w:vAlign w:val="bottom"/>
            <w:vMerge w:val="restart"/>
          </w:tcPr>
          <w:p>
            <w:pPr>
              <w:spacing w:after="0"/>
              <w:rPr>
                <w:sz w:val="20"/>
                <w:szCs w:val="20"/>
                <w:color w:val="auto"/>
              </w:rPr>
            </w:pPr>
            <w:r>
              <w:rPr>
                <w:rFonts w:ascii="Times New Roman" w:cs="Times New Roman" w:eastAsia="Times New Roman" w:hAnsi="Times New Roman"/>
                <w:sz w:val="22"/>
                <w:szCs w:val="22"/>
                <w:i w:val="1"/>
                <w:iCs w:val="1"/>
                <w:color w:val="auto"/>
              </w:rPr>
              <w:t>Equity Grant:</w:t>
            </w:r>
          </w:p>
        </w:tc>
        <w:tc>
          <w:tcPr>
            <w:tcW w:w="6640" w:type="dxa"/>
            <w:vAlign w:val="bottom"/>
            <w:gridSpan w:val="3"/>
          </w:tcPr>
          <w:p>
            <w:pPr>
              <w:ind w:left="860"/>
              <w:spacing w:after="0"/>
              <w:rPr>
                <w:sz w:val="20"/>
                <w:szCs w:val="20"/>
                <w:color w:val="auto"/>
              </w:rPr>
            </w:pPr>
            <w:r>
              <w:rPr>
                <w:rFonts w:ascii="Times New Roman" w:cs="Times New Roman" w:eastAsia="Times New Roman" w:hAnsi="Times New Roman"/>
                <w:sz w:val="22"/>
                <w:szCs w:val="22"/>
                <w:color w:val="auto"/>
              </w:rPr>
              <w:t>Policy Committee chair:</w:t>
            </w:r>
          </w:p>
        </w:tc>
        <w:tc>
          <w:tcPr>
            <w:tcW w:w="26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$25,000</w:t>
            </w:r>
          </w:p>
        </w:tc>
        <w:tc>
          <w:tcPr>
            <w:tcW w:w="0" w:type="dxa"/>
            <w:vAlign w:val="bottom"/>
          </w:tcPr>
          <w:p>
            <w:pPr>
              <w:spacing w:after="0"/>
              <w:rPr>
                <w:sz w:val="1"/>
                <w:szCs w:val="1"/>
                <w:color w:val="auto"/>
              </w:rPr>
            </w:pPr>
          </w:p>
        </w:tc>
      </w:tr>
      <w:tr>
        <w:trPr>
          <w:trHeight w:val="218"/>
        </w:trPr>
        <w:tc>
          <w:tcPr>
            <w:tcW w:w="1840" w:type="dxa"/>
            <w:vAlign w:val="bottom"/>
            <w:vMerge w:val="continue"/>
          </w:tcPr>
          <w:p>
            <w:pPr>
              <w:spacing w:after="0"/>
              <w:rPr>
                <w:sz w:val="18"/>
                <w:szCs w:val="18"/>
                <w:color w:val="auto"/>
              </w:rPr>
            </w:pPr>
          </w:p>
        </w:tc>
        <w:tc>
          <w:tcPr>
            <w:tcW w:w="9320" w:type="dxa"/>
            <w:vAlign w:val="bottom"/>
            <w:gridSpan w:val="4"/>
          </w:tcPr>
          <w:p>
            <w:pPr>
              <w:ind w:left="640"/>
              <w:spacing w:after="0" w:line="218" w:lineRule="exact"/>
              <w:rPr>
                <w:sz w:val="20"/>
                <w:szCs w:val="20"/>
                <w:color w:val="auto"/>
              </w:rPr>
            </w:pPr>
            <w:r>
              <w:rPr>
                <w:rFonts w:ascii="Times New Roman" w:cs="Times New Roman" w:eastAsia="Times New Roman" w:hAnsi="Times New Roman"/>
                <w:sz w:val="22"/>
                <w:szCs w:val="22"/>
                <w:color w:val="auto"/>
                <w:w w:val="98"/>
              </w:rPr>
              <w:t>Directors are awarded an annual equity grant of $182,500 in deferred stock units (“Automatic Stock</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20" w:type="dxa"/>
            <w:vAlign w:val="bottom"/>
            <w:gridSpan w:val="4"/>
          </w:tcPr>
          <w:p>
            <w:pPr>
              <w:ind w:left="640"/>
              <w:spacing w:after="0" w:line="216" w:lineRule="exact"/>
              <w:rPr>
                <w:sz w:val="20"/>
                <w:szCs w:val="20"/>
                <w:color w:val="auto"/>
              </w:rPr>
            </w:pPr>
            <w:r>
              <w:rPr>
                <w:rFonts w:ascii="Times New Roman" w:cs="Times New Roman" w:eastAsia="Times New Roman" w:hAnsi="Times New Roman"/>
                <w:sz w:val="22"/>
                <w:szCs w:val="22"/>
                <w:color w:val="auto"/>
              </w:rPr>
              <w:t>Units”), awarded annually on the day of the Company’s Annual Meeting of Shareholders. The</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20" w:type="dxa"/>
            <w:vAlign w:val="bottom"/>
            <w:gridSpan w:val="4"/>
          </w:tcPr>
          <w:p>
            <w:pPr>
              <w:ind w:left="640"/>
              <w:spacing w:after="0" w:line="216" w:lineRule="exact"/>
              <w:rPr>
                <w:sz w:val="20"/>
                <w:szCs w:val="20"/>
                <w:color w:val="auto"/>
              </w:rPr>
            </w:pPr>
            <w:r>
              <w:rPr>
                <w:rFonts w:ascii="Times New Roman" w:cs="Times New Roman" w:eastAsia="Times New Roman" w:hAnsi="Times New Roman"/>
                <w:sz w:val="22"/>
                <w:szCs w:val="22"/>
                <w:color w:val="auto"/>
              </w:rPr>
              <w:t>Automatic Stock Units will vest on the one year anniversary of the grant date. Directors may elect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20" w:type="dxa"/>
            <w:vAlign w:val="bottom"/>
            <w:gridSpan w:val="4"/>
          </w:tcPr>
          <w:p>
            <w:pPr>
              <w:ind w:left="640"/>
              <w:spacing w:after="0" w:line="216" w:lineRule="exact"/>
              <w:rPr>
                <w:sz w:val="20"/>
                <w:szCs w:val="20"/>
                <w:color w:val="auto"/>
              </w:rPr>
            </w:pPr>
            <w:r>
              <w:rPr>
                <w:rFonts w:ascii="Times New Roman" w:cs="Times New Roman" w:eastAsia="Times New Roman" w:hAnsi="Times New Roman"/>
                <w:sz w:val="22"/>
                <w:szCs w:val="22"/>
                <w:color w:val="auto"/>
                <w:w w:val="98"/>
              </w:rPr>
              <w:t>to have all or any portion of their Automatic Stock Units paid on (A) the earlier of (i) the beginning</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9320" w:type="dxa"/>
            <w:vAlign w:val="bottom"/>
            <w:gridSpan w:val="4"/>
          </w:tcPr>
          <w:p>
            <w:pPr>
              <w:ind w:left="640"/>
              <w:spacing w:after="0" w:line="216" w:lineRule="exact"/>
              <w:rPr>
                <w:sz w:val="20"/>
                <w:szCs w:val="20"/>
                <w:color w:val="auto"/>
              </w:rPr>
            </w:pPr>
            <w:r>
              <w:rPr>
                <w:rFonts w:ascii="Times New Roman" w:cs="Times New Roman" w:eastAsia="Times New Roman" w:hAnsi="Times New Roman"/>
                <w:sz w:val="22"/>
                <w:szCs w:val="22"/>
                <w:color w:val="auto"/>
              </w:rPr>
              <w:t>of a specified calendar year after the vesting date or (ii) their separation from service as a member</w:t>
            </w:r>
          </w:p>
        </w:tc>
        <w:tc>
          <w:tcPr>
            <w:tcW w:w="0" w:type="dxa"/>
            <w:vAlign w:val="bottom"/>
          </w:tcPr>
          <w:p>
            <w:pPr>
              <w:spacing w:after="0"/>
              <w:rPr>
                <w:sz w:val="1"/>
                <w:szCs w:val="1"/>
                <w:color w:val="auto"/>
              </w:rPr>
            </w:pPr>
          </w:p>
        </w:tc>
      </w:tr>
      <w:tr>
        <w:trPr>
          <w:trHeight w:val="282"/>
        </w:trPr>
        <w:tc>
          <w:tcPr>
            <w:tcW w:w="1840" w:type="dxa"/>
            <w:vAlign w:val="bottom"/>
          </w:tcPr>
          <w:p>
            <w:pPr>
              <w:spacing w:after="0"/>
              <w:rPr>
                <w:sz w:val="24"/>
                <w:szCs w:val="24"/>
                <w:color w:val="auto"/>
              </w:rPr>
            </w:pPr>
          </w:p>
        </w:tc>
        <w:tc>
          <w:tcPr>
            <w:tcW w:w="6640" w:type="dxa"/>
            <w:vAlign w:val="bottom"/>
            <w:gridSpan w:val="3"/>
          </w:tcPr>
          <w:p>
            <w:pPr>
              <w:ind w:left="640"/>
              <w:spacing w:after="0"/>
              <w:rPr>
                <w:sz w:val="20"/>
                <w:szCs w:val="20"/>
                <w:color w:val="auto"/>
              </w:rPr>
            </w:pPr>
            <w:r>
              <w:rPr>
                <w:rFonts w:ascii="Times New Roman" w:cs="Times New Roman" w:eastAsia="Times New Roman" w:hAnsi="Times New Roman"/>
                <w:sz w:val="22"/>
                <w:szCs w:val="22"/>
                <w:color w:val="auto"/>
              </w:rPr>
              <w:t>of the Board or (B) the vesting date.</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480" w:right="80" w:hanging="2483"/>
        <w:spacing w:after="0" w:line="215" w:lineRule="auto"/>
        <w:rPr>
          <w:sz w:val="20"/>
          <w:szCs w:val="20"/>
          <w:color w:val="auto"/>
        </w:rPr>
      </w:pPr>
      <w:r>
        <w:rPr>
          <w:rFonts w:ascii="Times New Roman" w:cs="Times New Roman" w:eastAsia="Times New Roman" w:hAnsi="Times New Roman"/>
          <w:sz w:val="22"/>
          <w:szCs w:val="22"/>
          <w:i w:val="1"/>
          <w:iCs w:val="1"/>
          <w:color w:val="auto"/>
        </w:rPr>
        <w:t xml:space="preserve">Deferral of Cash Retainer: </w:t>
      </w:r>
      <w:r>
        <w:rPr>
          <w:rFonts w:ascii="Times New Roman" w:cs="Times New Roman" w:eastAsia="Times New Roman" w:hAnsi="Times New Roman"/>
          <w:sz w:val="22"/>
          <w:szCs w:val="22"/>
          <w:color w:val="auto"/>
        </w:rPr>
        <w:t>Directors may elect to defer payment of all or a portion of their cash retainer fees and any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retainer fees into a deferred stock unit account (“Elective Stock Units”). Elective Stock Units are awarded on a calendar quarterly basis. Directors may elect to have all or a portion of their Elective Stock Units paid on the earlier of (i) the beginning of a specified calendar year or (ii) their separation from service as a member of the Board.</w:t>
      </w:r>
    </w:p>
    <w:p>
      <w:pPr>
        <w:ind w:left="2480" w:right="180" w:hanging="2483"/>
        <w:spacing w:after="0" w:line="221" w:lineRule="auto"/>
        <w:rPr>
          <w:sz w:val="20"/>
          <w:szCs w:val="20"/>
          <w:color w:val="auto"/>
        </w:rPr>
      </w:pPr>
      <w:r>
        <w:rPr>
          <w:rFonts w:ascii="Times New Roman" w:cs="Times New Roman" w:eastAsia="Times New Roman" w:hAnsi="Times New Roman"/>
          <w:sz w:val="22"/>
          <w:szCs w:val="22"/>
          <w:i w:val="1"/>
          <w:iCs w:val="1"/>
          <w:color w:val="auto"/>
        </w:rPr>
        <w:t xml:space="preserve">Elective Deferral Program: </w:t>
      </w:r>
      <w:r>
        <w:rPr>
          <w:rFonts w:ascii="Times New Roman" w:cs="Times New Roman" w:eastAsia="Times New Roman" w:hAnsi="Times New Roman"/>
          <w:sz w:val="22"/>
          <w:szCs w:val="22"/>
          <w:color w:val="auto"/>
        </w:rPr>
        <w:t>Directors may elect to defer to a later year all or a portion of their annual cash retainer and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fees payable for their Board service into alternative investment options similar to the options available under Northrop Grumman’s Savings Excess Plan.</w:t>
      </w:r>
    </w:p>
    <w:p>
      <w:pPr>
        <w:spacing w:after="0" w:line="3" w:lineRule="exact"/>
        <w:rPr>
          <w:sz w:val="20"/>
          <w:szCs w:val="20"/>
          <w:color w:val="auto"/>
        </w:rPr>
      </w:pPr>
    </w:p>
    <w:p>
      <w:pPr>
        <w:ind w:left="2480" w:right="180" w:hanging="2483"/>
        <w:spacing w:after="0" w:line="217" w:lineRule="auto"/>
        <w:tabs>
          <w:tab w:leader="none" w:pos="2460" w:val="left"/>
        </w:tabs>
        <w:rPr>
          <w:sz w:val="20"/>
          <w:szCs w:val="20"/>
          <w:color w:val="auto"/>
        </w:rPr>
      </w:pPr>
      <w:r>
        <w:rPr>
          <w:rFonts w:ascii="Times New Roman" w:cs="Times New Roman" w:eastAsia="Times New Roman" w:hAnsi="Times New Roman"/>
          <w:sz w:val="22"/>
          <w:szCs w:val="22"/>
          <w:i w:val="1"/>
          <w:iCs w:val="1"/>
          <w:color w:val="auto"/>
        </w:rPr>
        <w:t>Stock Ownership:</w:t>
      </w:r>
      <w:r>
        <w:rPr>
          <w:sz w:val="20"/>
          <w:szCs w:val="20"/>
          <w:color w:val="auto"/>
        </w:rPr>
        <w:tab/>
      </w:r>
      <w:r>
        <w:rPr>
          <w:rFonts w:ascii="Times New Roman" w:cs="Times New Roman" w:eastAsia="Times New Roman" w:hAnsi="Times New Roman"/>
          <w:sz w:val="22"/>
          <w:szCs w:val="22"/>
          <w:color w:val="auto"/>
        </w:rPr>
        <w:t>All directors are required to own Company stock in an amount equal to five times the annual cash retainer, with such ownership to be achieved within five years of the director’s election to the Board. Deferred stock units and Company stock owned outright by the director will count towards this requirement.</w:t>
      </w:r>
    </w:p>
    <w:p>
      <w:pPr>
        <w:sectPr>
          <w:pgSz w:w="11900" w:h="16838" w:orient="portrait"/>
          <w:cols w:equalWidth="0" w:num="1">
            <w:col w:w="11160"/>
          </w:cols>
          <w:pgMar w:left="400" w:top="1165"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July 21, 2025, on our review of the interim financial information of Northrop Grumman Corporation and subsidiaries appearing in this Quarterly Report on Form 10-Q for the quarter ended June 30, 2025, is incorporated by reference in Registration Statement Nos. 033-59815, 033-59853, 333-67266, 333-100179, 333-107734, 333-121104, 333-125120, 333-127317, 333-175798, 333-273482, and 333-281008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B. Crews, certify that:</w:t>
      </w:r>
    </w:p>
    <w:p>
      <w:pPr>
        <w:spacing w:after="0" w:line="90"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2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2025,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June 30, 2025, as filed with the Securities and Exchange Commission on the date hereof (the “Report”), I, Kenneth B. Crews,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21, 2025</w:t>
      </w:r>
    </w:p>
    <w:p>
      <w:pPr>
        <w:spacing w:after="0" w:line="200" w:lineRule="exact"/>
        <w:rPr>
          <w:sz w:val="20"/>
          <w:szCs w:val="20"/>
          <w:color w:val="auto"/>
        </w:rPr>
      </w:pPr>
    </w:p>
    <w:p>
      <w:pPr>
        <w:spacing w:after="0" w:line="2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3"/>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lvl w:ilvl="1">
      <w:lvlJc w:val="left"/>
      <w:lvlText w:val="%2."/>
      <w:numFmt w:val="lowerLetter"/>
      <w:start w:val="1"/>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lowerLetter"/>
      <w:start w:val="1"/>
    </w:lvl>
  </w:abstractNum>
  <w:abstractNum w:abstractNumId="26">
    <w:nsid w:val="71F32454"/>
    <w:multiLevelType w:val="hybridMultilevel"/>
    <w:lvl w:ilvl="0">
      <w:lvlJc w:val="left"/>
      <w:lvlText w:val="(%1)"/>
      <w:numFmt w:val="decimal"/>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0" Type="http://schemas.openxmlformats.org/officeDocument/2006/relationships/hyperlink" Target="https://www.sec.gov/Archives/edgar/data/1133421/000119312525130630/d2411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2025-07-22T15:09:14Z</dcterms:created>
  <dcterms:modified xsi:type="dcterms:W3CDTF">2025-07-22T15:09:14Z</dcterms:modified>
</cp:coreProperties>
</file>