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ind w:left="3320"/>
        <w:spacing w:after="0"/>
        <w:rPr>
          <w:sz w:val="20"/>
          <w:szCs w:val="20"/>
          <w:color w:val="auto"/>
        </w:rPr>
      </w:pPr>
      <w:r>
        <w:rPr>
          <w:rFonts w:ascii="Courier New" w:cs="Courier New" w:eastAsia="Courier New" w:hAnsi="Courier New"/>
          <w:sz w:val="15"/>
          <w:szCs w:val="15"/>
          <w:color w:val="auto"/>
        </w:rPr>
        <w:t>FORM 11-K</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85" w:lineRule="exact"/>
        <w:rPr>
          <w:sz w:val="24"/>
          <w:szCs w:val="24"/>
          <w:color w:val="auto"/>
        </w:rPr>
      </w:pPr>
    </w:p>
    <w:p>
      <w:pPr>
        <w:ind w:left="920" w:right="2839" w:hanging="379"/>
        <w:spacing w:after="0" w:line="253" w:lineRule="auto"/>
        <w:tabs>
          <w:tab w:leader="none" w:pos="900" w:val="left"/>
        </w:tabs>
        <w:rPr>
          <w:sz w:val="20"/>
          <w:szCs w:val="20"/>
          <w:color w:val="auto"/>
        </w:rPr>
      </w:pPr>
      <w:r>
        <w:rPr>
          <w:rFonts w:ascii="Courier New" w:cs="Courier New" w:eastAsia="Courier New" w:hAnsi="Courier New"/>
          <w:sz w:val="15"/>
          <w:szCs w:val="15"/>
          <w:color w:val="auto"/>
        </w:rPr>
        <w:t>|X|</w:t>
        <w:tab/>
        <w:t>ANNUAL REPORT PURSUANT TO SECTION 15(d) OF THE SECURITIES EXCHANGE ACT OF 1934</w:t>
      </w:r>
    </w:p>
    <w:p>
      <w:pPr>
        <w:spacing w:after="0" w:line="174" w:lineRule="exact"/>
        <w:rPr>
          <w:sz w:val="24"/>
          <w:szCs w:val="24"/>
          <w:color w:val="auto"/>
        </w:rPr>
      </w:pPr>
    </w:p>
    <w:p>
      <w:pPr>
        <w:ind w:left="920"/>
        <w:spacing w:after="0"/>
        <w:rPr>
          <w:sz w:val="20"/>
          <w:szCs w:val="20"/>
          <w:color w:val="auto"/>
        </w:rPr>
      </w:pPr>
      <w:r>
        <w:rPr>
          <w:rFonts w:ascii="Courier New" w:cs="Courier New" w:eastAsia="Courier New" w:hAnsi="Courier New"/>
          <w:sz w:val="15"/>
          <w:szCs w:val="15"/>
          <w:color w:val="auto"/>
        </w:rPr>
        <w:t>For the fiscal year ended December 31, 2003</w:t>
      </w:r>
    </w:p>
    <w:p>
      <w:pPr>
        <w:spacing w:after="0" w:line="185" w:lineRule="exact"/>
        <w:rPr>
          <w:sz w:val="24"/>
          <w:szCs w:val="24"/>
          <w:color w:val="auto"/>
        </w:rPr>
      </w:pPr>
    </w:p>
    <w:p>
      <w:pPr>
        <w:ind w:left="3600"/>
        <w:spacing w:after="0"/>
        <w:rPr>
          <w:sz w:val="20"/>
          <w:szCs w:val="20"/>
          <w:color w:val="auto"/>
        </w:rPr>
      </w:pPr>
      <w:r>
        <w:rPr>
          <w:rFonts w:ascii="Courier New" w:cs="Courier New" w:eastAsia="Courier New" w:hAnsi="Courier New"/>
          <w:sz w:val="15"/>
          <w:szCs w:val="15"/>
          <w:color w:val="auto"/>
        </w:rPr>
        <w:t>OR</w:t>
      </w:r>
    </w:p>
    <w:p>
      <w:pPr>
        <w:spacing w:after="0" w:line="185" w:lineRule="exact"/>
        <w:rPr>
          <w:sz w:val="24"/>
          <w:szCs w:val="24"/>
          <w:color w:val="auto"/>
        </w:rPr>
      </w:pPr>
    </w:p>
    <w:p>
      <w:pPr>
        <w:ind w:left="920" w:right="2839" w:hanging="368"/>
        <w:spacing w:after="0" w:line="253" w:lineRule="auto"/>
        <w:rPr>
          <w:sz w:val="20"/>
          <w:szCs w:val="20"/>
          <w:color w:val="auto"/>
        </w:rPr>
      </w:pPr>
      <w:r>
        <w:rPr>
          <w:rFonts w:ascii="Courier New" w:cs="Courier New" w:eastAsia="Courier New" w:hAnsi="Courier New"/>
          <w:sz w:val="15"/>
          <w:szCs w:val="15"/>
          <w:color w:val="auto"/>
        </w:rPr>
        <w:t>|_| TRANSITION REPORT PURSUANT TO SECTION 15(d) OF THE SECURITIES EXCHANGE ACT OF 1934</w:t>
      </w:r>
    </w:p>
    <w:p>
      <w:pPr>
        <w:spacing w:after="0" w:line="174" w:lineRule="exact"/>
        <w:rPr>
          <w:sz w:val="24"/>
          <w:szCs w:val="24"/>
          <w:color w:val="auto"/>
        </w:rPr>
      </w:pPr>
    </w:p>
    <w:p>
      <w:pPr>
        <w:ind w:left="920"/>
        <w:spacing w:after="0"/>
        <w:rPr>
          <w:sz w:val="20"/>
          <w:szCs w:val="20"/>
          <w:color w:val="auto"/>
        </w:rPr>
      </w:pPr>
      <w:r>
        <w:rPr>
          <w:rFonts w:ascii="Courier New" w:cs="Courier New" w:eastAsia="Courier New" w:hAnsi="Courier New"/>
          <w:sz w:val="15"/>
          <w:szCs w:val="15"/>
          <w:color w:val="auto"/>
        </w:rPr>
        <w:t>For the transition period from __________ to __________</w:t>
      </w:r>
    </w:p>
    <w:p>
      <w:pPr>
        <w:spacing w:after="0" w:line="185" w:lineRule="exact"/>
        <w:rPr>
          <w:sz w:val="24"/>
          <w:szCs w:val="24"/>
          <w:color w:val="auto"/>
        </w:rPr>
      </w:pPr>
    </w:p>
    <w:p>
      <w:pPr>
        <w:ind w:left="2300"/>
        <w:spacing w:after="0"/>
        <w:rPr>
          <w:sz w:val="20"/>
          <w:szCs w:val="20"/>
          <w:color w:val="auto"/>
        </w:rPr>
      </w:pPr>
      <w:r>
        <w:rPr>
          <w:rFonts w:ascii="Courier New" w:cs="Courier New" w:eastAsia="Courier New" w:hAnsi="Courier New"/>
          <w:sz w:val="15"/>
          <w:szCs w:val="15"/>
          <w:color w:val="auto"/>
        </w:rPr>
        <w:t>Commission file number: 1-12385</w:t>
      </w:r>
    </w:p>
    <w:p>
      <w:pPr>
        <w:spacing w:after="0" w:line="185" w:lineRule="exact"/>
        <w:rPr>
          <w:sz w:val="24"/>
          <w:szCs w:val="24"/>
          <w:color w:val="auto"/>
        </w:rPr>
      </w:pPr>
    </w:p>
    <w:p>
      <w:pPr>
        <w:ind w:left="1100" w:right="3119" w:hanging="552"/>
        <w:spacing w:after="0" w:line="253" w:lineRule="auto"/>
        <w:tabs>
          <w:tab w:leader="none" w:pos="11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title of the plan and address of the plan, if different from that of the issuer named below:</w:t>
      </w:r>
    </w:p>
    <w:p>
      <w:pPr>
        <w:spacing w:after="0" w:line="174" w:lineRule="exact"/>
        <w:rPr>
          <w:sz w:val="24"/>
          <w:szCs w:val="24"/>
          <w:color w:val="auto"/>
        </w:rPr>
      </w:pPr>
    </w:p>
    <w:p>
      <w:pPr>
        <w:ind w:left="1660"/>
        <w:spacing w:after="0"/>
        <w:rPr>
          <w:sz w:val="20"/>
          <w:szCs w:val="20"/>
          <w:color w:val="auto"/>
        </w:rPr>
      </w:pPr>
      <w:r>
        <w:rPr>
          <w:rFonts w:ascii="Courier New" w:cs="Courier New" w:eastAsia="Courier New" w:hAnsi="Courier New"/>
          <w:sz w:val="15"/>
          <w:szCs w:val="15"/>
          <w:color w:val="auto"/>
        </w:rPr>
        <w:t>NORTHROP GRUMMAN PEI RETIREMENT SAVINGS PLAN</w:t>
      </w:r>
    </w:p>
    <w:p>
      <w:pPr>
        <w:spacing w:after="0" w:line="185" w:lineRule="exact"/>
        <w:rPr>
          <w:sz w:val="24"/>
          <w:szCs w:val="24"/>
          <w:color w:val="auto"/>
        </w:rPr>
      </w:pPr>
    </w:p>
    <w:p>
      <w:pPr>
        <w:ind w:left="1100" w:right="3019" w:hanging="552"/>
        <w:spacing w:after="0" w:line="253" w:lineRule="auto"/>
        <w:tabs>
          <w:tab w:leader="none" w:pos="11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of issuer of the securities held pursuant to the plan and the address of its principal executive office:</w:t>
      </w:r>
    </w:p>
    <w:p>
      <w:pPr>
        <w:spacing w:after="0" w:line="174"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color w:val="auto"/>
        </w:rPr>
        <w:t>NORTHROP GRUMMAN CORPORATION</w:t>
      </w:r>
    </w:p>
    <w:p>
      <w:pPr>
        <w:spacing w:after="0" w:line="8"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1840 Century Park East</w:t>
      </w:r>
    </w:p>
    <w:p>
      <w:pPr>
        <w:spacing w:after="0" w:line="8"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color w:val="auto"/>
        </w:rPr>
        <w:t>Los Angeles, California 90067</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4"/>
          <w:szCs w:val="24"/>
          <w:color w:val="auto"/>
        </w:rPr>
      </w:pPr>
    </w:p>
    <w:p>
      <w:pPr>
        <w:ind w:right="3019" w:firstLine="554"/>
        <w:spacing w:after="0" w:line="251" w:lineRule="auto"/>
        <w:rPr>
          <w:sz w:val="20"/>
          <w:szCs w:val="20"/>
          <w:color w:val="auto"/>
        </w:rPr>
      </w:pPr>
      <w:r>
        <w:rPr>
          <w:rFonts w:ascii="Courier New" w:cs="Courier New" w:eastAsia="Courier New" w:hAnsi="Courier New"/>
          <w:sz w:val="15"/>
          <w:szCs w:val="15"/>
          <w:color w:val="auto"/>
        </w:rPr>
        <w:t>Pursuant to the requirements of the Securities and Exchange Act of 1934, the trustees (or other persons who administer the employee benefit plan) have duly caused this annual report to be signed on its behalf by the undersigned hereunto duly authorized.</w:t>
      </w:r>
    </w:p>
    <w:p>
      <w:pPr>
        <w:spacing w:after="0" w:line="176" w:lineRule="exact"/>
        <w:rPr>
          <w:sz w:val="24"/>
          <w:szCs w:val="24"/>
          <w:color w:val="auto"/>
        </w:rPr>
      </w:pPr>
    </w:p>
    <w:p>
      <w:pPr>
        <w:jc w:val="center"/>
        <w:ind w:right="-300"/>
        <w:spacing w:after="0"/>
        <w:rPr>
          <w:sz w:val="20"/>
          <w:szCs w:val="20"/>
          <w:color w:val="auto"/>
        </w:rPr>
      </w:pPr>
      <w:r>
        <w:rPr>
          <w:rFonts w:ascii="Courier New" w:cs="Courier New" w:eastAsia="Courier New" w:hAnsi="Courier New"/>
          <w:sz w:val="15"/>
          <w:szCs w:val="15"/>
          <w:color w:val="auto"/>
        </w:rPr>
        <w:t>NORTHROP GRUMMAN PEI RETIREMENT SAVINGS PLAN</w:t>
      </w:r>
    </w:p>
    <w:p>
      <w:pPr>
        <w:sectPr>
          <w:pgSz w:w="11900" w:h="16838" w:orient="portrait"/>
          <w:cols w:equalWidth="0" w:num="1">
            <w:col w:w="10219"/>
          </w:cols>
          <w:pgMar w:left="240" w:top="236" w:right="1440" w:bottom="1440" w:gutter="0" w:footer="0" w:header="0"/>
        </w:sectPr>
      </w:pPr>
    </w:p>
    <w:p>
      <w:pPr>
        <w:spacing w:after="0" w:line="36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Dated: June 25, 2004</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 J. Michael Hateley</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By: J. Michael Hateley</w:t>
      </w:r>
    </w:p>
    <w:p>
      <w:pPr>
        <w:spacing w:after="0" w:line="8" w:lineRule="exact"/>
        <w:rPr>
          <w:sz w:val="24"/>
          <w:szCs w:val="24"/>
          <w:color w:val="auto"/>
        </w:rPr>
      </w:pPr>
    </w:p>
    <w:p>
      <w:pPr>
        <w:ind w:left="380"/>
        <w:spacing w:after="0"/>
        <w:rPr>
          <w:sz w:val="20"/>
          <w:szCs w:val="20"/>
          <w:color w:val="auto"/>
        </w:rPr>
      </w:pPr>
      <w:r>
        <w:rPr>
          <w:rFonts w:ascii="Courier New" w:cs="Courier New" w:eastAsia="Courier New" w:hAnsi="Courier New"/>
          <w:sz w:val="15"/>
          <w:szCs w:val="15"/>
          <w:color w:val="auto"/>
        </w:rPr>
        <w:t>Chairman, Administrative Committee</w:t>
      </w:r>
    </w:p>
    <w:p>
      <w:pPr>
        <w:sectPr>
          <w:pgSz w:w="11900" w:h="16838" w:orient="portrait"/>
          <w:cols w:equalWidth="0" w:num="2">
            <w:col w:w="2500" w:space="720"/>
            <w:col w:w="6999"/>
          </w:cols>
          <w:pgMar w:left="240" w:top="236"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Northrop Grumman PEI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Savings Plan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 as of December 31, 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2002 and for the Year Ended December 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2003, Supplemental Schedule and Report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Registered Public Accounting Firm</w:t>
      </w:r>
    </w:p>
    <w:p>
      <w:pPr>
        <w:sectPr>
          <w:pgSz w:w="11900" w:h="16838" w:orient="portrait"/>
          <w:cols w:equalWidth="0" w:num="1">
            <w:col w:w="10219"/>
          </w:cols>
          <w:pgMar w:left="240" w:top="65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NORTHROP GRUMMAN PEI RETIREMENT SAVINGS PLAN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OF CONTENTS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Page(s)</w:t>
            </w:r>
          </w:p>
        </w:tc>
      </w:tr>
      <w:tr>
        <w:trPr>
          <w:trHeight w:val="355"/>
        </w:trPr>
        <w:tc>
          <w:tcPr>
            <w:tcW w:w="8160" w:type="dxa"/>
            <w:vAlign w:val="bottom"/>
          </w:tcPr>
          <w:p>
            <w:pPr>
              <w:spacing w:after="0"/>
              <w:rPr>
                <w:sz w:val="20"/>
                <w:szCs w:val="20"/>
                <w:color w:val="auto"/>
              </w:rPr>
            </w:pPr>
            <w:r>
              <w:rPr>
                <w:rFonts w:ascii="Courier New" w:cs="Courier New" w:eastAsia="Courier New" w:hAnsi="Courier New"/>
                <w:sz w:val="15"/>
                <w:szCs w:val="15"/>
                <w:color w:val="auto"/>
              </w:rPr>
              <w:t>REPORT OF INDEPENDENT REGISTERED PUBLIC ACCOUNTING FIRM</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w:t>
            </w:r>
          </w:p>
        </w:tc>
      </w:tr>
      <w:tr>
        <w:trPr>
          <w:trHeight w:val="355"/>
        </w:trPr>
        <w:tc>
          <w:tcPr>
            <w:tcW w:w="816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700" w:type="dxa"/>
            <w:vAlign w:val="bottom"/>
          </w:tcPr>
          <w:p>
            <w:pPr>
              <w:spacing w:after="0"/>
              <w:rPr>
                <w:sz w:val="24"/>
                <w:szCs w:val="24"/>
                <w:color w:val="auto"/>
              </w:rPr>
            </w:pPr>
          </w:p>
        </w:tc>
      </w:tr>
      <w:tr>
        <w:trPr>
          <w:trHeight w:val="355"/>
        </w:trPr>
        <w:tc>
          <w:tcPr>
            <w:tcW w:w="8160" w:type="dxa"/>
            <w:vAlign w:val="bottom"/>
          </w:tcPr>
          <w:p>
            <w:pPr>
              <w:ind w:left="280"/>
              <w:spacing w:after="0"/>
              <w:rPr>
                <w:sz w:val="20"/>
                <w:szCs w:val="20"/>
                <w:color w:val="auto"/>
              </w:rPr>
            </w:pPr>
            <w:r>
              <w:rPr>
                <w:rFonts w:ascii="Courier New" w:cs="Courier New" w:eastAsia="Courier New" w:hAnsi="Courier New"/>
                <w:sz w:val="15"/>
                <w:szCs w:val="15"/>
                <w:color w:val="auto"/>
              </w:rPr>
              <w:t>Statements of Net Assets Available for Plan Benefits as of December 31, 2003 and 2002</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w:t>
            </w:r>
          </w:p>
        </w:tc>
      </w:tr>
      <w:tr>
        <w:trPr>
          <w:trHeight w:val="355"/>
        </w:trPr>
        <w:tc>
          <w:tcPr>
            <w:tcW w:w="8160" w:type="dxa"/>
            <w:vAlign w:val="bottom"/>
          </w:tcPr>
          <w:p>
            <w:pPr>
              <w:ind w:left="280"/>
              <w:spacing w:after="0"/>
              <w:rPr>
                <w:sz w:val="20"/>
                <w:szCs w:val="20"/>
                <w:color w:val="auto"/>
              </w:rPr>
            </w:pPr>
            <w:r>
              <w:rPr>
                <w:rFonts w:ascii="Courier New" w:cs="Courier New" w:eastAsia="Courier New" w:hAnsi="Courier New"/>
                <w:sz w:val="15"/>
                <w:szCs w:val="15"/>
                <w:color w:val="auto"/>
              </w:rPr>
              <w:t>Statement of Changes in Net Assets Available for Plan Benefits for the</w:t>
            </w:r>
          </w:p>
        </w:tc>
        <w:tc>
          <w:tcPr>
            <w:tcW w:w="700" w:type="dxa"/>
            <w:vAlign w:val="bottom"/>
          </w:tcPr>
          <w:p>
            <w:pPr>
              <w:spacing w:after="0"/>
              <w:rPr>
                <w:sz w:val="24"/>
                <w:szCs w:val="24"/>
                <w:color w:val="auto"/>
              </w:rPr>
            </w:pPr>
          </w:p>
        </w:tc>
      </w:tr>
      <w:tr>
        <w:trPr>
          <w:trHeight w:val="177"/>
        </w:trPr>
        <w:tc>
          <w:tcPr>
            <w:tcW w:w="8160" w:type="dxa"/>
            <w:vAlign w:val="bottom"/>
          </w:tcPr>
          <w:p>
            <w:pPr>
              <w:ind w:left="460"/>
              <w:spacing w:after="0"/>
              <w:rPr>
                <w:sz w:val="20"/>
                <w:szCs w:val="20"/>
                <w:color w:val="auto"/>
              </w:rPr>
            </w:pPr>
            <w:r>
              <w:rPr>
                <w:rFonts w:ascii="Courier New" w:cs="Courier New" w:eastAsia="Courier New" w:hAnsi="Courier New"/>
                <w:sz w:val="15"/>
                <w:szCs w:val="15"/>
                <w:color w:val="auto"/>
              </w:rPr>
              <w:t>Year Ended December 31, 2003</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w:t>
            </w:r>
          </w:p>
        </w:tc>
      </w:tr>
      <w:tr>
        <w:trPr>
          <w:trHeight w:val="355"/>
        </w:trPr>
        <w:tc>
          <w:tcPr>
            <w:tcW w:w="8160" w:type="dxa"/>
            <w:vAlign w:val="bottom"/>
          </w:tcPr>
          <w:p>
            <w:pPr>
              <w:ind w:left="280"/>
              <w:spacing w:after="0"/>
              <w:rPr>
                <w:sz w:val="20"/>
                <w:szCs w:val="20"/>
                <w:color w:val="auto"/>
              </w:rPr>
            </w:pPr>
            <w:r>
              <w:rPr>
                <w:rFonts w:ascii="Courier New" w:cs="Courier New" w:eastAsia="Courier New" w:hAnsi="Courier New"/>
                <w:sz w:val="15"/>
                <w:szCs w:val="15"/>
                <w:color w:val="auto"/>
              </w:rPr>
              <w:t>Notes to Financial Statements</w:t>
            </w:r>
          </w:p>
        </w:tc>
        <w:tc>
          <w:tcPr>
            <w:tcW w:w="7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4-9</w:t>
            </w:r>
          </w:p>
        </w:tc>
      </w:tr>
      <w:tr>
        <w:trPr>
          <w:trHeight w:val="355"/>
        </w:trPr>
        <w:tc>
          <w:tcPr>
            <w:tcW w:w="8160" w:type="dxa"/>
            <w:vAlign w:val="bottom"/>
          </w:tcPr>
          <w:p>
            <w:pPr>
              <w:spacing w:after="0"/>
              <w:rPr>
                <w:sz w:val="20"/>
                <w:szCs w:val="20"/>
                <w:color w:val="auto"/>
              </w:rPr>
            </w:pPr>
            <w:r>
              <w:rPr>
                <w:rFonts w:ascii="Courier New" w:cs="Courier New" w:eastAsia="Courier New" w:hAnsi="Courier New"/>
                <w:sz w:val="15"/>
                <w:szCs w:val="15"/>
                <w:color w:val="auto"/>
              </w:rPr>
              <w:t>SUPPLEMENTAL SCHEDULE:</w:t>
            </w:r>
          </w:p>
        </w:tc>
        <w:tc>
          <w:tcPr>
            <w:tcW w:w="700" w:type="dxa"/>
            <w:vAlign w:val="bottom"/>
          </w:tcPr>
          <w:p>
            <w:pPr>
              <w:spacing w:after="0"/>
              <w:rPr>
                <w:sz w:val="24"/>
                <w:szCs w:val="24"/>
                <w:color w:val="auto"/>
              </w:rPr>
            </w:pPr>
          </w:p>
        </w:tc>
      </w:tr>
      <w:tr>
        <w:trPr>
          <w:trHeight w:val="355"/>
        </w:trPr>
        <w:tc>
          <w:tcPr>
            <w:tcW w:w="8160" w:type="dxa"/>
            <w:vAlign w:val="bottom"/>
          </w:tcPr>
          <w:p>
            <w:pPr>
              <w:ind w:left="280"/>
              <w:spacing w:after="0"/>
              <w:rPr>
                <w:sz w:val="20"/>
                <w:szCs w:val="20"/>
                <w:color w:val="auto"/>
              </w:rPr>
            </w:pPr>
            <w:r>
              <w:rPr>
                <w:rFonts w:ascii="Courier New" w:cs="Courier New" w:eastAsia="Courier New" w:hAnsi="Courier New"/>
                <w:sz w:val="15"/>
                <w:szCs w:val="15"/>
                <w:color w:val="auto"/>
              </w:rPr>
              <w:t>Form 5500, Schedule H, Part IV, Line 4i,</w:t>
            </w:r>
          </w:p>
        </w:tc>
        <w:tc>
          <w:tcPr>
            <w:tcW w:w="700" w:type="dxa"/>
            <w:vAlign w:val="bottom"/>
          </w:tcPr>
          <w:p>
            <w:pPr>
              <w:spacing w:after="0"/>
              <w:rPr>
                <w:sz w:val="24"/>
                <w:szCs w:val="24"/>
                <w:color w:val="auto"/>
              </w:rPr>
            </w:pPr>
          </w:p>
        </w:tc>
      </w:tr>
      <w:tr>
        <w:trPr>
          <w:trHeight w:val="177"/>
        </w:trPr>
        <w:tc>
          <w:tcPr>
            <w:tcW w:w="8160" w:type="dxa"/>
            <w:vAlign w:val="bottom"/>
          </w:tcPr>
          <w:p>
            <w:pPr>
              <w:ind w:left="460"/>
              <w:spacing w:after="0"/>
              <w:rPr>
                <w:sz w:val="20"/>
                <w:szCs w:val="20"/>
                <w:color w:val="auto"/>
              </w:rPr>
            </w:pPr>
            <w:r>
              <w:rPr>
                <w:rFonts w:ascii="Courier New" w:cs="Courier New" w:eastAsia="Courier New" w:hAnsi="Courier New"/>
                <w:sz w:val="15"/>
                <w:szCs w:val="15"/>
                <w:color w:val="auto"/>
              </w:rPr>
              <w:t>Schedule of Assets (Held at End of Year) as of December 31, 2003</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w:t>
            </w:r>
          </w:p>
        </w:tc>
      </w:tr>
    </w:tbl>
    <w:p>
      <w:pPr>
        <w:sectPr>
          <w:pgSz w:w="11900" w:h="16838" w:orient="portrait"/>
          <w:cols w:equalWidth="0" w:num="1">
            <w:col w:w="10219"/>
          </w:cols>
          <w:pgMar w:left="240" w:top="65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REPORT OF INDEPENDENT REGISTERED PUBLIC ACCOUNTING FIRM</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Committee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Northrop Grumman PEI Retirement Savings Plan</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have audited the accompanying statements of net assets available for benefits of the Northrop Grumman PEI Retirement Savings Plan (the "Plan") as of December 31, 2003 and 2002, and the related statement of changes in net assets available for benefits for the year ended December 31, 2003. These financial statements are the responsibility of the Plan's management. Our responsibility is to express an opinion on these financial statements based on our audits.</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net assets available for plan benefits as of December 31, 2003 and 2002 and the changes in net assets available for plan benefits for the year ended December 31, 2003, in conformity with accounting principles generally accepted in the United States of America.</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Our audits were conducted for the purpose of forming an opinion on the basic financial statements taken as a whole. The supplemental schedule of assets (held at end of year) at December 31, 2003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schedule is the responsibility of the Plan's management. Such schedule has been subjected to the auditing procedures applied in the audit of the basic 2003 financial statements and, in our opinion, is fairly stated in all material respects when considered in relation to the basic financial statements taken as a whole.</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25, 2004</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5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NORTHROP GRUMMAN PEI RETIREMENT SAVINGS PLAN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NET ASSETS AVAILABLE FOR PLAN BENEFITS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2003 AND 2002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40" w:type="dxa"/>
            <w:vAlign w:val="bottom"/>
          </w:tcPr>
          <w:p>
            <w:pPr>
              <w:spacing w:after="0"/>
              <w:rPr>
                <w:sz w:val="14"/>
                <w:szCs w:val="14"/>
                <w:color w:val="auto"/>
              </w:rPr>
            </w:pPr>
          </w:p>
        </w:tc>
        <w:tc>
          <w:tcPr>
            <w:tcW w:w="118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2003</w:t>
            </w: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2002</w:t>
            </w:r>
          </w:p>
        </w:tc>
      </w:tr>
      <w:tr>
        <w:trPr>
          <w:trHeight w:val="355"/>
        </w:trPr>
        <w:tc>
          <w:tcPr>
            <w:tcW w:w="61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7"/>
        </w:trPr>
        <w:tc>
          <w:tcPr>
            <w:tcW w:w="6140" w:type="dxa"/>
            <w:vAlign w:val="bottom"/>
          </w:tcPr>
          <w:p>
            <w:pPr>
              <w:ind w:left="360"/>
              <w:spacing w:after="0"/>
              <w:rPr>
                <w:sz w:val="20"/>
                <w:szCs w:val="20"/>
                <w:color w:val="auto"/>
              </w:rPr>
            </w:pPr>
            <w:r>
              <w:rPr>
                <w:rFonts w:ascii="Courier New" w:cs="Courier New" w:eastAsia="Courier New" w:hAnsi="Courier New"/>
                <w:sz w:val="15"/>
                <w:szCs w:val="15"/>
                <w:color w:val="auto"/>
              </w:rPr>
              <w:t>Investment in Northrop Grumman Corporation PEI Pension and</w:t>
            </w: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7"/>
        </w:trPr>
        <w:tc>
          <w:tcPr>
            <w:tcW w:w="6140" w:type="dxa"/>
            <w:vAlign w:val="bottom"/>
          </w:tcPr>
          <w:p>
            <w:pPr>
              <w:ind w:left="540"/>
              <w:spacing w:after="0"/>
              <w:rPr>
                <w:sz w:val="20"/>
                <w:szCs w:val="20"/>
                <w:color w:val="auto"/>
              </w:rPr>
            </w:pPr>
            <w:r>
              <w:rPr>
                <w:rFonts w:ascii="Courier New" w:cs="Courier New" w:eastAsia="Courier New" w:hAnsi="Courier New"/>
                <w:sz w:val="15"/>
                <w:szCs w:val="15"/>
                <w:color w:val="auto"/>
              </w:rPr>
              <w:t>401(k) Plans Master Trust--at fair value (Notes A, B and C)</w:t>
            </w:r>
          </w:p>
        </w:tc>
        <w:tc>
          <w:tcPr>
            <w:tcW w:w="11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$1,433,306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$1,174,062</w:t>
            </w:r>
          </w:p>
        </w:tc>
      </w:tr>
      <w:tr>
        <w:trPr>
          <w:trHeight w:val="177"/>
        </w:trPr>
        <w:tc>
          <w:tcPr>
            <w:tcW w:w="614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140" w:type="dxa"/>
            <w:vAlign w:val="bottom"/>
          </w:tcPr>
          <w:p>
            <w:pPr>
              <w:ind w:left="820"/>
              <w:spacing w:after="0"/>
              <w:rPr>
                <w:sz w:val="20"/>
                <w:szCs w:val="20"/>
                <w:color w:val="auto"/>
              </w:rPr>
            </w:pPr>
            <w:r>
              <w:rPr>
                <w:rFonts w:ascii="Courier New" w:cs="Courier New" w:eastAsia="Courier New" w:hAnsi="Courier New"/>
                <w:sz w:val="15"/>
                <w:szCs w:val="15"/>
                <w:color w:val="auto"/>
              </w:rPr>
              <w:t>Total Investments</w:t>
            </w:r>
          </w:p>
        </w:tc>
        <w:tc>
          <w:tcPr>
            <w:tcW w:w="11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1,433,306</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1,174,062</w:t>
            </w:r>
          </w:p>
        </w:tc>
      </w:tr>
      <w:tr>
        <w:trPr>
          <w:trHeight w:val="355"/>
        </w:trPr>
        <w:tc>
          <w:tcPr>
            <w:tcW w:w="6140" w:type="dxa"/>
            <w:vAlign w:val="bottom"/>
          </w:tcPr>
          <w:p>
            <w:pPr>
              <w:ind w:left="360"/>
              <w:spacing w:after="0"/>
              <w:rPr>
                <w:sz w:val="20"/>
                <w:szCs w:val="20"/>
                <w:color w:val="auto"/>
              </w:rPr>
            </w:pPr>
            <w:r>
              <w:rPr>
                <w:rFonts w:ascii="Courier New" w:cs="Courier New" w:eastAsia="Courier New" w:hAnsi="Courier New"/>
                <w:sz w:val="15"/>
                <w:szCs w:val="15"/>
                <w:color w:val="auto"/>
              </w:rPr>
              <w:t>Employer contributions receivable</w:t>
            </w:r>
          </w:p>
        </w:tc>
        <w:tc>
          <w:tcPr>
            <w:tcW w:w="11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8,505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8,188</w:t>
            </w:r>
          </w:p>
        </w:tc>
      </w:tr>
      <w:tr>
        <w:trPr>
          <w:trHeight w:val="177"/>
        </w:trPr>
        <w:tc>
          <w:tcPr>
            <w:tcW w:w="6140" w:type="dxa"/>
            <w:vAlign w:val="bottom"/>
          </w:tcPr>
          <w:p>
            <w:pPr>
              <w:ind w:left="360"/>
              <w:spacing w:after="0"/>
              <w:rPr>
                <w:sz w:val="20"/>
                <w:szCs w:val="20"/>
                <w:color w:val="auto"/>
              </w:rPr>
            </w:pPr>
            <w:r>
              <w:rPr>
                <w:rFonts w:ascii="Courier New" w:cs="Courier New" w:eastAsia="Courier New" w:hAnsi="Courier New"/>
                <w:sz w:val="15"/>
                <w:szCs w:val="15"/>
                <w:color w:val="auto"/>
              </w:rPr>
              <w:t>Participant contributions receivable</w:t>
            </w:r>
          </w:p>
        </w:tc>
        <w:tc>
          <w:tcPr>
            <w:tcW w:w="11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18,947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18,609</w:t>
            </w:r>
          </w:p>
        </w:tc>
      </w:tr>
      <w:tr>
        <w:trPr>
          <w:trHeight w:val="177"/>
        </w:trPr>
        <w:tc>
          <w:tcPr>
            <w:tcW w:w="614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14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 BENEFITS</w:t>
            </w:r>
          </w:p>
        </w:tc>
        <w:tc>
          <w:tcPr>
            <w:tcW w:w="11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$1,460,758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$1,200,859</w:t>
            </w:r>
          </w:p>
        </w:tc>
      </w:tr>
    </w:tbl>
    <w:p>
      <w:pPr>
        <w:spacing w:after="0" w:line="5" w:lineRule="exact"/>
        <w:rPr>
          <w:sz w:val="20"/>
          <w:szCs w:val="20"/>
          <w:color w:val="auto"/>
        </w:rPr>
      </w:pPr>
    </w:p>
    <w:p>
      <w:pPr>
        <w:jc w:val="right"/>
        <w:ind w:right="1819"/>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NORTHROP GRUMMAN PEI RETIREMENT SAVINGS PLAN</w:t>
      </w:r>
    </w:p>
    <w:p>
      <w:pPr>
        <w:spacing w:after="0" w:line="185" w:lineRule="exact"/>
        <w:rPr>
          <w:sz w:val="20"/>
          <w:szCs w:val="20"/>
          <w:color w:val="auto"/>
        </w:rPr>
      </w:pPr>
    </w:p>
    <w:p>
      <w:pPr>
        <w:ind w:right="4499"/>
        <w:spacing w:after="0" w:line="250" w:lineRule="auto"/>
        <w:rPr>
          <w:sz w:val="20"/>
          <w:szCs w:val="20"/>
          <w:color w:val="auto"/>
        </w:rPr>
      </w:pPr>
      <w:r>
        <w:rPr>
          <w:rFonts w:ascii="Courier New" w:cs="Courier New" w:eastAsia="Courier New" w:hAnsi="Courier New"/>
          <w:sz w:val="15"/>
          <w:szCs w:val="15"/>
          <w:color w:val="auto"/>
        </w:rPr>
        <w:t>STATEMENT OF CHANGES IN NET ASSETS AVAILABLE FOR PLAN BENEFITS FOR THE YEAR ENDED DECEMBER 31, 2003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4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260" w:type="dxa"/>
            <w:vAlign w:val="bottom"/>
          </w:tcPr>
          <w:p>
            <w:pPr>
              <w:spacing w:after="0"/>
              <w:rPr>
                <w:sz w:val="14"/>
                <w:szCs w:val="14"/>
                <w:color w:val="auto"/>
              </w:rPr>
            </w:pPr>
          </w:p>
        </w:tc>
      </w:tr>
      <w:tr>
        <w:trPr>
          <w:trHeight w:val="177"/>
        </w:trPr>
        <w:tc>
          <w:tcPr>
            <w:tcW w:w="8340" w:type="dxa"/>
            <w:vAlign w:val="bottom"/>
          </w:tcPr>
          <w:p>
            <w:pPr>
              <w:ind w:left="180"/>
              <w:spacing w:after="0"/>
              <w:rPr>
                <w:sz w:val="20"/>
                <w:szCs w:val="20"/>
                <w:color w:val="auto"/>
              </w:rPr>
            </w:pPr>
            <w:r>
              <w:rPr>
                <w:rFonts w:ascii="Courier New" w:cs="Courier New" w:eastAsia="Courier New" w:hAnsi="Courier New"/>
                <w:sz w:val="15"/>
                <w:szCs w:val="15"/>
                <w:color w:val="auto"/>
              </w:rPr>
              <w:t>Plan interest in Northrop Grumman Corporation PEI Pension and 401(k) Plans Master Trust</w:t>
            </w:r>
          </w:p>
        </w:tc>
        <w:tc>
          <w:tcPr>
            <w:tcW w:w="1260" w:type="dxa"/>
            <w:vAlign w:val="bottom"/>
          </w:tcPr>
          <w:p>
            <w:pPr>
              <w:spacing w:after="0"/>
              <w:rPr>
                <w:sz w:val="15"/>
                <w:szCs w:val="15"/>
                <w:color w:val="auto"/>
              </w:rPr>
            </w:pPr>
          </w:p>
        </w:tc>
      </w:tr>
      <w:tr>
        <w:trPr>
          <w:trHeight w:val="177"/>
        </w:trPr>
        <w:tc>
          <w:tcPr>
            <w:tcW w:w="8340" w:type="dxa"/>
            <w:vAlign w:val="bottom"/>
          </w:tcPr>
          <w:p>
            <w:pPr>
              <w:ind w:left="460"/>
              <w:spacing w:after="0"/>
              <w:rPr>
                <w:sz w:val="20"/>
                <w:szCs w:val="20"/>
                <w:color w:val="auto"/>
              </w:rPr>
            </w:pPr>
            <w:r>
              <w:rPr>
                <w:rFonts w:ascii="Courier New" w:cs="Courier New" w:eastAsia="Courier New" w:hAnsi="Courier New"/>
                <w:sz w:val="15"/>
                <w:szCs w:val="15"/>
                <w:color w:val="auto"/>
              </w:rPr>
              <w:t>(Notes A, B and C)</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155,920</w:t>
            </w:r>
          </w:p>
        </w:tc>
      </w:tr>
      <w:tr>
        <w:trPr>
          <w:trHeight w:val="177"/>
        </w:trPr>
        <w:tc>
          <w:tcPr>
            <w:tcW w:w="8340" w:type="dxa"/>
            <w:vAlign w:val="bottom"/>
          </w:tcPr>
          <w:p>
            <w:pPr>
              <w:spacing w:after="0"/>
              <w:rPr>
                <w:sz w:val="15"/>
                <w:szCs w:val="15"/>
                <w:color w:val="auto"/>
              </w:rPr>
            </w:pP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8340" w:type="dxa"/>
            <w:vAlign w:val="bottom"/>
          </w:tcPr>
          <w:p>
            <w:pPr>
              <w:ind w:left="820"/>
              <w:spacing w:after="0"/>
              <w:rPr>
                <w:sz w:val="20"/>
                <w:szCs w:val="20"/>
                <w:color w:val="auto"/>
              </w:rPr>
            </w:pPr>
            <w:r>
              <w:rPr>
                <w:rFonts w:ascii="Courier New" w:cs="Courier New" w:eastAsia="Courier New" w:hAnsi="Courier New"/>
                <w:sz w:val="15"/>
                <w:szCs w:val="15"/>
                <w:color w:val="auto"/>
              </w:rPr>
              <w:t>Total investment income</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155,920</w:t>
            </w:r>
          </w:p>
        </w:tc>
      </w:tr>
      <w:tr>
        <w:trPr>
          <w:trHeight w:val="177"/>
        </w:trPr>
        <w:tc>
          <w:tcPr>
            <w:tcW w:w="8340" w:type="dxa"/>
            <w:vAlign w:val="bottom"/>
          </w:tcPr>
          <w:p>
            <w:pPr>
              <w:spacing w:after="0"/>
              <w:rPr>
                <w:sz w:val="15"/>
                <w:szCs w:val="15"/>
                <w:color w:val="auto"/>
              </w:rPr>
            </w:pP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8340" w:type="dxa"/>
            <w:vAlign w:val="bottom"/>
          </w:tcPr>
          <w:p>
            <w:pPr>
              <w:spacing w:after="0"/>
              <w:rPr>
                <w:sz w:val="20"/>
                <w:szCs w:val="20"/>
                <w:color w:val="auto"/>
              </w:rPr>
            </w:pPr>
            <w:r>
              <w:rPr>
                <w:rFonts w:ascii="Courier New" w:cs="Courier New" w:eastAsia="Courier New" w:hAnsi="Courier New"/>
                <w:sz w:val="15"/>
                <w:szCs w:val="15"/>
                <w:color w:val="auto"/>
              </w:rPr>
              <w:t>CONTRIBUTIONS:</w:t>
            </w:r>
          </w:p>
        </w:tc>
        <w:tc>
          <w:tcPr>
            <w:tcW w:w="1260" w:type="dxa"/>
            <w:vAlign w:val="bottom"/>
          </w:tcPr>
          <w:p>
            <w:pPr>
              <w:spacing w:after="0"/>
              <w:rPr>
                <w:sz w:val="24"/>
                <w:szCs w:val="24"/>
                <w:color w:val="auto"/>
              </w:rPr>
            </w:pPr>
          </w:p>
        </w:tc>
      </w:tr>
      <w:tr>
        <w:trPr>
          <w:trHeight w:val="177"/>
        </w:trPr>
        <w:tc>
          <w:tcPr>
            <w:tcW w:w="8340" w:type="dxa"/>
            <w:vAlign w:val="bottom"/>
          </w:tcPr>
          <w:p>
            <w:pPr>
              <w:ind w:left="180"/>
              <w:spacing w:after="0"/>
              <w:rPr>
                <w:sz w:val="20"/>
                <w:szCs w:val="20"/>
                <w:color w:val="auto"/>
              </w:rPr>
            </w:pPr>
            <w:r>
              <w:rPr>
                <w:rFonts w:ascii="Courier New" w:cs="Courier New" w:eastAsia="Courier New" w:hAnsi="Courier New"/>
                <w:sz w:val="15"/>
                <w:szCs w:val="15"/>
                <w:color w:val="auto"/>
              </w:rPr>
              <w:t>Employer</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70,488</w:t>
            </w:r>
          </w:p>
        </w:tc>
      </w:tr>
      <w:tr>
        <w:trPr>
          <w:trHeight w:val="177"/>
        </w:trPr>
        <w:tc>
          <w:tcPr>
            <w:tcW w:w="8340" w:type="dxa"/>
            <w:vAlign w:val="bottom"/>
          </w:tcPr>
          <w:p>
            <w:pPr>
              <w:ind w:left="180"/>
              <w:spacing w:after="0"/>
              <w:rPr>
                <w:sz w:val="20"/>
                <w:szCs w:val="20"/>
                <w:color w:val="auto"/>
              </w:rPr>
            </w:pPr>
            <w:r>
              <w:rPr>
                <w:rFonts w:ascii="Courier New" w:cs="Courier New" w:eastAsia="Courier New" w:hAnsi="Courier New"/>
                <w:sz w:val="15"/>
                <w:szCs w:val="15"/>
                <w:color w:val="auto"/>
              </w:rPr>
              <w:t>Participant</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158,190</w:t>
            </w:r>
          </w:p>
        </w:tc>
      </w:tr>
      <w:tr>
        <w:trPr>
          <w:trHeight w:val="177"/>
        </w:trPr>
        <w:tc>
          <w:tcPr>
            <w:tcW w:w="8340" w:type="dxa"/>
            <w:vAlign w:val="bottom"/>
          </w:tcPr>
          <w:p>
            <w:pPr>
              <w:spacing w:after="0"/>
              <w:rPr>
                <w:sz w:val="15"/>
                <w:szCs w:val="15"/>
                <w:color w:val="auto"/>
              </w:rPr>
            </w:pP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8340" w:type="dxa"/>
            <w:vAlign w:val="bottom"/>
          </w:tcPr>
          <w:p>
            <w:pPr>
              <w:ind w:left="820"/>
              <w:spacing w:after="0"/>
              <w:rPr>
                <w:sz w:val="20"/>
                <w:szCs w:val="20"/>
                <w:color w:val="auto"/>
              </w:rPr>
            </w:pPr>
            <w:r>
              <w:rPr>
                <w:rFonts w:ascii="Courier New" w:cs="Courier New" w:eastAsia="Courier New" w:hAnsi="Courier New"/>
                <w:sz w:val="15"/>
                <w:szCs w:val="15"/>
                <w:color w:val="auto"/>
              </w:rPr>
              <w:t>Total contributions</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228,678</w:t>
            </w:r>
          </w:p>
        </w:tc>
      </w:tr>
      <w:tr>
        <w:trPr>
          <w:trHeight w:val="177"/>
        </w:trPr>
        <w:tc>
          <w:tcPr>
            <w:tcW w:w="8340" w:type="dxa"/>
            <w:vAlign w:val="bottom"/>
          </w:tcPr>
          <w:p>
            <w:pPr>
              <w:spacing w:after="0"/>
              <w:rPr>
                <w:sz w:val="15"/>
                <w:szCs w:val="15"/>
                <w:color w:val="auto"/>
              </w:rPr>
            </w:pP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8340" w:type="dxa"/>
            <w:vAlign w:val="bottom"/>
          </w:tcPr>
          <w:p>
            <w:pPr>
              <w:ind w:left="820"/>
              <w:spacing w:after="0"/>
              <w:rPr>
                <w:sz w:val="20"/>
                <w:szCs w:val="20"/>
                <w:color w:val="auto"/>
              </w:rPr>
            </w:pPr>
            <w:r>
              <w:rPr>
                <w:rFonts w:ascii="Courier New" w:cs="Courier New" w:eastAsia="Courier New" w:hAnsi="Courier New"/>
                <w:sz w:val="15"/>
                <w:szCs w:val="15"/>
                <w:color w:val="auto"/>
              </w:rPr>
              <w:t>Total additions</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384,598</w:t>
            </w:r>
          </w:p>
        </w:tc>
      </w:tr>
      <w:tr>
        <w:trPr>
          <w:trHeight w:val="355"/>
        </w:trPr>
        <w:tc>
          <w:tcPr>
            <w:tcW w:w="8340" w:type="dxa"/>
            <w:vAlign w:val="bottom"/>
          </w:tcPr>
          <w:p>
            <w:pPr>
              <w:spacing w:after="0"/>
              <w:rPr>
                <w:sz w:val="20"/>
                <w:szCs w:val="20"/>
                <w:color w:val="auto"/>
              </w:rPr>
            </w:pPr>
            <w:r>
              <w:rPr>
                <w:rFonts w:ascii="Courier New" w:cs="Courier New" w:eastAsia="Courier New" w:hAnsi="Courier New"/>
                <w:sz w:val="15"/>
                <w:szCs w:val="15"/>
                <w:color w:val="auto"/>
              </w:rPr>
              <w:t>BENEFITS PAID TO PARTICIPANTS (Note B)</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(124,699)</w:t>
            </w:r>
          </w:p>
        </w:tc>
      </w:tr>
      <w:tr>
        <w:trPr>
          <w:trHeight w:val="177"/>
        </w:trPr>
        <w:tc>
          <w:tcPr>
            <w:tcW w:w="8340" w:type="dxa"/>
            <w:vAlign w:val="bottom"/>
          </w:tcPr>
          <w:p>
            <w:pPr>
              <w:spacing w:after="0"/>
              <w:rPr>
                <w:sz w:val="15"/>
                <w:szCs w:val="15"/>
                <w:color w:val="auto"/>
              </w:rPr>
            </w:pP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8340" w:type="dxa"/>
            <w:vAlign w:val="bottom"/>
          </w:tcPr>
          <w:p>
            <w:pPr>
              <w:spacing w:after="0"/>
              <w:rPr>
                <w:sz w:val="20"/>
                <w:szCs w:val="20"/>
                <w:color w:val="auto"/>
              </w:rPr>
            </w:pPr>
            <w:r>
              <w:rPr>
                <w:rFonts w:ascii="Courier New" w:cs="Courier New" w:eastAsia="Courier New" w:hAnsi="Courier New"/>
                <w:sz w:val="15"/>
                <w:szCs w:val="15"/>
                <w:color w:val="auto"/>
              </w:rPr>
              <w:t>NET INCREASE</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259,899</w:t>
            </w:r>
          </w:p>
        </w:tc>
      </w:tr>
      <w:tr>
        <w:trPr>
          <w:trHeight w:val="355"/>
        </w:trPr>
        <w:tc>
          <w:tcPr>
            <w:tcW w:w="834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 BENEFITS:</w:t>
            </w:r>
          </w:p>
        </w:tc>
        <w:tc>
          <w:tcPr>
            <w:tcW w:w="1260" w:type="dxa"/>
            <w:vAlign w:val="bottom"/>
          </w:tcPr>
          <w:p>
            <w:pPr>
              <w:spacing w:after="0"/>
              <w:rPr>
                <w:sz w:val="24"/>
                <w:szCs w:val="24"/>
                <w:color w:val="auto"/>
              </w:rPr>
            </w:pPr>
          </w:p>
        </w:tc>
      </w:tr>
      <w:tr>
        <w:trPr>
          <w:trHeight w:val="177"/>
        </w:trPr>
        <w:tc>
          <w:tcPr>
            <w:tcW w:w="8340" w:type="dxa"/>
            <w:vAlign w:val="bottom"/>
          </w:tcPr>
          <w:p>
            <w:pPr>
              <w:spacing w:after="0"/>
              <w:rPr>
                <w:sz w:val="20"/>
                <w:szCs w:val="20"/>
                <w:color w:val="auto"/>
              </w:rPr>
            </w:pPr>
            <w:r>
              <w:rPr>
                <w:rFonts w:ascii="Courier New" w:cs="Courier New" w:eastAsia="Courier New" w:hAnsi="Courier New"/>
                <w:sz w:val="15"/>
                <w:szCs w:val="15"/>
                <w:color w:val="auto"/>
              </w:rPr>
              <w:t>Beginning of year</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1,200,859</w:t>
            </w:r>
          </w:p>
        </w:tc>
      </w:tr>
      <w:tr>
        <w:trPr>
          <w:trHeight w:val="177"/>
        </w:trPr>
        <w:tc>
          <w:tcPr>
            <w:tcW w:w="8340" w:type="dxa"/>
            <w:vAlign w:val="bottom"/>
          </w:tcPr>
          <w:p>
            <w:pPr>
              <w:spacing w:after="0"/>
              <w:rPr>
                <w:sz w:val="15"/>
                <w:szCs w:val="15"/>
                <w:color w:val="auto"/>
              </w:rPr>
            </w:pP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8340" w:type="dxa"/>
            <w:vAlign w:val="bottom"/>
          </w:tcPr>
          <w:p>
            <w:pPr>
              <w:spacing w:after="0"/>
              <w:rPr>
                <w:sz w:val="20"/>
                <w:szCs w:val="20"/>
                <w:color w:val="auto"/>
              </w:rPr>
            </w:pPr>
            <w:r>
              <w:rPr>
                <w:rFonts w:ascii="Courier New" w:cs="Courier New" w:eastAsia="Courier New" w:hAnsi="Courier New"/>
                <w:sz w:val="15"/>
                <w:szCs w:val="15"/>
                <w:color w:val="auto"/>
              </w:rPr>
              <w:t>End of year</w:t>
            </w:r>
          </w:p>
        </w:tc>
        <w:tc>
          <w:tcPr>
            <w:tcW w:w="12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$ 1,460,758</w:t>
            </w:r>
          </w:p>
        </w:tc>
      </w:tr>
    </w:tbl>
    <w:p>
      <w:pPr>
        <w:spacing w:after="0" w:line="5" w:lineRule="exact"/>
        <w:rPr>
          <w:sz w:val="20"/>
          <w:szCs w:val="20"/>
          <w:color w:val="auto"/>
        </w:rPr>
      </w:pPr>
    </w:p>
    <w:p>
      <w:pPr>
        <w:ind w:left="848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50" w:right="1440" w:bottom="1440" w:gutter="0" w:footer="0" w:header="0"/>
        </w:sectPr>
      </w:pPr>
    </w:p>
    <w:bookmarkStart w:id="6" w:name="page7"/>
    <w:bookmarkEnd w:id="6"/>
    <w:p>
      <w:pPr>
        <w:ind w:left="5"/>
        <w:spacing w:after="0"/>
        <w:rPr>
          <w:sz w:val="20"/>
          <w:szCs w:val="20"/>
          <w:color w:val="auto"/>
        </w:rPr>
      </w:pPr>
      <w:r>
        <w:rPr>
          <w:rFonts w:ascii="Courier New" w:cs="Courier New" w:eastAsia="Courier New" w:hAnsi="Courier New"/>
          <w:sz w:val="15"/>
          <w:szCs w:val="15"/>
          <w:color w:val="auto"/>
        </w:rPr>
        <w:t>NORTHROP GRUMMAN PEI RETIREMENT SAVINGS PLAN</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 TO FINANCIAL STATEMENTS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FOR THE YEARS ENDED DECEMBER 31, 2003 AND 2002</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545" w:hanging="545"/>
        <w:spacing w:after="0"/>
        <w:tabs>
          <w:tab w:leader="none" w:pos="54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THE PLAN</w:t>
      </w:r>
    </w:p>
    <w:p>
      <w:pPr>
        <w:spacing w:after="0" w:line="184" w:lineRule="exact"/>
        <w:rPr>
          <w:rFonts w:ascii="Courier New" w:cs="Courier New" w:eastAsia="Courier New" w:hAnsi="Courier New"/>
          <w:sz w:val="15"/>
          <w:szCs w:val="15"/>
          <w:color w:val="auto"/>
        </w:rPr>
      </w:pPr>
    </w:p>
    <w:p>
      <w:pPr>
        <w:jc w:val="both"/>
        <w:ind w:left="545" w:right="30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description of the Northrop Grumman PEI Retirement Savings Plan (the "Plan") provides only general information. Participants should refer to the Plan document for a more complete description of the Plan's provisions.</w:t>
      </w:r>
    </w:p>
    <w:p>
      <w:pPr>
        <w:spacing w:after="0" w:line="176" w:lineRule="exact"/>
        <w:rPr>
          <w:rFonts w:ascii="Courier New" w:cs="Courier New" w:eastAsia="Courier New" w:hAnsi="Courier New"/>
          <w:sz w:val="15"/>
          <w:szCs w:val="15"/>
          <w:color w:val="auto"/>
        </w:rPr>
      </w:pPr>
    </w:p>
    <w:p>
      <w:pPr>
        <w:ind w:left="54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General -- The Plan is a qualified profit-sharing plan sponsored by the Productos Electronicos Industriales division of Northrop Grumman Electronicos, Inc. (the "Company"). The Plan includes a 401(k) feature and employer matching contributions.</w:t>
      </w:r>
    </w:p>
    <w:p>
      <w:pPr>
        <w:spacing w:after="0" w:line="176" w:lineRule="exact"/>
        <w:rPr>
          <w:rFonts w:ascii="Courier New" w:cs="Courier New" w:eastAsia="Courier New" w:hAnsi="Courier New"/>
          <w:sz w:val="15"/>
          <w:szCs w:val="15"/>
          <w:color w:val="auto"/>
        </w:rPr>
      </w:pPr>
    </w:p>
    <w:p>
      <w:pPr>
        <w:ind w:left="54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was established by the Company on March 1, 1996 as a successor to the Westinghouse de Puerto Rico Retirement Savings Plan (the "Predecessor Plan"), maintained by Westinghouse de Puerto Rico, Inc. for the benefit of Puerto Rican employees of certain Westinghouse Electric Corporation affiliated companies who became employees of the Company, and any other subsequent eligible employees of the Company.</w:t>
      </w:r>
    </w:p>
    <w:p>
      <w:pPr>
        <w:spacing w:after="0" w:line="175" w:lineRule="exact"/>
        <w:rPr>
          <w:rFonts w:ascii="Courier New" w:cs="Courier New" w:eastAsia="Courier New" w:hAnsi="Courier New"/>
          <w:sz w:val="15"/>
          <w:szCs w:val="15"/>
          <w:color w:val="auto"/>
        </w:rPr>
      </w:pPr>
    </w:p>
    <w:p>
      <w:pPr>
        <w:ind w:left="54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May 1, 1997, the Plan transferred all of its assets to the Northrop Grumman Corporation PEI Pension and 401(k) Plans Master Trust (the "PEI Master Trust"), which is administered by Banco Popular de Puerto Rico (the "PEI Trustee"). On October 1, 2001, State Street Bank and Trust Company ("State Street") was appointed as agent to the PEI Trustee. State Street is responsible for tracking the individual assets and reporting month-end plan accounting to the PEI Trustee. Effective January 1, 2003, the PEI Trustee invested all of its assets in the Northrop Grumman Defined Contribution Plans Master Trust (the "DC Master Trust") held by State Street.</w:t>
      </w:r>
    </w:p>
    <w:p>
      <w:pPr>
        <w:spacing w:after="0" w:line="181" w:lineRule="exact"/>
        <w:rPr>
          <w:rFonts w:ascii="Courier New" w:cs="Courier New" w:eastAsia="Courier New" w:hAnsi="Courier New"/>
          <w:sz w:val="15"/>
          <w:szCs w:val="15"/>
          <w:color w:val="auto"/>
        </w:rPr>
      </w:pPr>
    </w:p>
    <w:p>
      <w:pPr>
        <w:ind w:left="54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 -- Plan participants may contribute between 1% and 8% of total compensation, in increments of 1% on a pre-tax basis. Basic contributions may be made in amounts of 1% to 4% of total compensation. Eligible employees who have authorized the maximum Basic contribution may make Supplementary contributions in amounts between 1% and 4% of total compensation. Contributions are subject to certain limitations.</w:t>
      </w:r>
    </w:p>
    <w:p>
      <w:pPr>
        <w:spacing w:after="0" w:line="175" w:lineRule="exact"/>
        <w:rPr>
          <w:rFonts w:ascii="Courier New" w:cs="Courier New" w:eastAsia="Courier New" w:hAnsi="Courier New"/>
          <w:sz w:val="15"/>
          <w:szCs w:val="15"/>
          <w:color w:val="auto"/>
        </w:rPr>
      </w:pPr>
    </w:p>
    <w:p>
      <w:pPr>
        <w:ind w:left="545" w:right="30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contributes a match of 50% of the amount of a participant's Basic contribution. The maximum matching contribution will not exceed 2% of the total compensation of the participant.</w:t>
      </w:r>
    </w:p>
    <w:p>
      <w:pPr>
        <w:spacing w:after="0" w:line="174" w:lineRule="exact"/>
        <w:rPr>
          <w:rFonts w:ascii="Courier New" w:cs="Courier New" w:eastAsia="Courier New" w:hAnsi="Courier New"/>
          <w:sz w:val="15"/>
          <w:szCs w:val="15"/>
          <w:color w:val="auto"/>
        </w:rPr>
      </w:pPr>
    </w:p>
    <w:p>
      <w:pPr>
        <w:ind w:left="54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 eligible employee may roll over any amount from another qualified plan or from an Individual Retirement Account into the Plan, provided that such rollover amount is paid to the Trustee within 60 days of the date the employee received the qualifying rollover distribution.</w:t>
      </w:r>
    </w:p>
    <w:p>
      <w:pPr>
        <w:spacing w:after="0" w:line="176" w:lineRule="exact"/>
        <w:rPr>
          <w:rFonts w:ascii="Courier New" w:cs="Courier New" w:eastAsia="Courier New" w:hAnsi="Courier New"/>
          <w:sz w:val="15"/>
          <w:szCs w:val="15"/>
          <w:color w:val="auto"/>
        </w:rPr>
      </w:pPr>
    </w:p>
    <w:p>
      <w:pPr>
        <w:ind w:left="54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Accounts -- A separate account is maintained for each participant, each of which has two subaccounts. Basic and Supplementary contributions are allocated to the participant's Contribution Account. Company matching contributions are allocated to the participant's Company Matching Contribution Account. Assets of the DC Master Trust are valued at the end of each month, and on any other date, and take into account earnings and losses of the Plan along with appreciation or depreciation, expenses and distributions. The benefit to which a participant is entitled is the benefit that can be provided from his/her vested account.</w:t>
      </w:r>
    </w:p>
    <w:p>
      <w:pPr>
        <w:spacing w:after="0" w:line="35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5" w:top="650" w:right="1440" w:bottom="1440" w:gutter="0" w:footer="0" w:header="0"/>
        </w:sectPr>
      </w:pPr>
    </w:p>
    <w:bookmarkStart w:id="7" w:name="page8"/>
    <w:bookmarkEnd w:id="7"/>
    <w:p>
      <w:pPr>
        <w:ind w:left="545" w:right="2839"/>
        <w:spacing w:after="0" w:line="251" w:lineRule="auto"/>
        <w:rPr>
          <w:sz w:val="20"/>
          <w:szCs w:val="20"/>
          <w:color w:val="auto"/>
        </w:rPr>
      </w:pPr>
      <w:r>
        <w:rPr>
          <w:rFonts w:ascii="Courier New" w:cs="Courier New" w:eastAsia="Courier New" w:hAnsi="Courier New"/>
          <w:sz w:val="15"/>
          <w:szCs w:val="15"/>
          <w:color w:val="auto"/>
        </w:rPr>
        <w:t>Vesting -- Plan participants are 100% vested in, and have a nonforfeitable right to, the balance of their Basic and Supplementary contributions at all times. Plan participants become 100% vested in Company contributions after three years of service and are 0% vested prior to that time. Company contributions become 100% vested upon the death of a participant. Rollovers are 100% vested at all times and are not subject to forfeiture.</w:t>
      </w:r>
    </w:p>
    <w:p>
      <w:pPr>
        <w:spacing w:after="0" w:line="176" w:lineRule="exact"/>
        <w:rPr>
          <w:sz w:val="20"/>
          <w:szCs w:val="20"/>
          <w:color w:val="auto"/>
        </w:rPr>
      </w:pPr>
    </w:p>
    <w:p>
      <w:pPr>
        <w:jc w:val="both"/>
        <w:ind w:left="545" w:right="3019"/>
        <w:spacing w:after="0" w:line="252" w:lineRule="auto"/>
        <w:rPr>
          <w:sz w:val="20"/>
          <w:szCs w:val="20"/>
          <w:color w:val="auto"/>
        </w:rPr>
      </w:pPr>
      <w:r>
        <w:rPr>
          <w:rFonts w:ascii="Courier New" w:cs="Courier New" w:eastAsia="Courier New" w:hAnsi="Courier New"/>
          <w:sz w:val="15"/>
          <w:szCs w:val="15"/>
          <w:color w:val="auto"/>
        </w:rPr>
        <w:t>Investment Options -- Upon enrollment in the Plan, each participant may direct that his or her accounts be invested in any of the following four investment funds within the DC Master Trust:</w:t>
      </w:r>
    </w:p>
    <w:p>
      <w:pPr>
        <w:spacing w:after="0" w:line="175" w:lineRule="exact"/>
        <w:rPr>
          <w:sz w:val="20"/>
          <w:szCs w:val="20"/>
          <w:color w:val="auto"/>
        </w:rPr>
      </w:pPr>
    </w:p>
    <w:p>
      <w:pPr>
        <w:ind w:left="825" w:right="2939"/>
        <w:spacing w:after="0" w:line="253" w:lineRule="auto"/>
        <w:rPr>
          <w:sz w:val="20"/>
          <w:szCs w:val="20"/>
          <w:color w:val="auto"/>
        </w:rPr>
      </w:pPr>
      <w:r>
        <w:rPr>
          <w:rFonts w:ascii="Courier New" w:cs="Courier New" w:eastAsia="Courier New" w:hAnsi="Courier New"/>
          <w:sz w:val="15"/>
          <w:szCs w:val="15"/>
          <w:color w:val="auto"/>
        </w:rPr>
        <w:t>Northrop Grumman Fund -- The Northrop Grumman Fund invests exclusively in Northrop Grumman Corporation common stock.</w:t>
      </w:r>
    </w:p>
    <w:p>
      <w:pPr>
        <w:spacing w:after="0" w:line="174" w:lineRule="exact"/>
        <w:rPr>
          <w:sz w:val="20"/>
          <w:szCs w:val="20"/>
          <w:color w:val="auto"/>
        </w:rPr>
      </w:pPr>
    </w:p>
    <w:p>
      <w:pPr>
        <w:ind w:left="825" w:right="2939"/>
        <w:spacing w:after="0" w:line="252" w:lineRule="auto"/>
        <w:rPr>
          <w:sz w:val="20"/>
          <w:szCs w:val="20"/>
          <w:color w:val="auto"/>
        </w:rPr>
      </w:pPr>
      <w:r>
        <w:rPr>
          <w:rFonts w:ascii="Courier New" w:cs="Courier New" w:eastAsia="Courier New" w:hAnsi="Courier New"/>
          <w:sz w:val="15"/>
          <w:szCs w:val="15"/>
          <w:color w:val="auto"/>
        </w:rPr>
        <w:t>U.S. Equity Fund -- The U.S. Equity Fund consists of holdings in large sized U.S. company stocks. The fund focuses on companies with records of growing earnings and the potential for future dividend growth.</w:t>
      </w:r>
    </w:p>
    <w:p>
      <w:pPr>
        <w:spacing w:after="0" w:line="175" w:lineRule="exact"/>
        <w:rPr>
          <w:sz w:val="20"/>
          <w:szCs w:val="20"/>
          <w:color w:val="auto"/>
        </w:rPr>
      </w:pPr>
    </w:p>
    <w:p>
      <w:pPr>
        <w:ind w:left="825" w:right="2939"/>
        <w:spacing w:after="0" w:line="253" w:lineRule="auto"/>
        <w:rPr>
          <w:sz w:val="20"/>
          <w:szCs w:val="20"/>
          <w:color w:val="auto"/>
        </w:rPr>
      </w:pPr>
      <w:r>
        <w:rPr>
          <w:rFonts w:ascii="Courier New" w:cs="Courier New" w:eastAsia="Courier New" w:hAnsi="Courier New"/>
          <w:sz w:val="15"/>
          <w:szCs w:val="15"/>
          <w:color w:val="auto"/>
        </w:rPr>
        <w:t>Fixed Income Fund -- The Fixed Income Fund invests in publicly traded, high quality fixed income securities.</w:t>
      </w:r>
    </w:p>
    <w:p>
      <w:pPr>
        <w:spacing w:after="0" w:line="174" w:lineRule="exact"/>
        <w:rPr>
          <w:sz w:val="20"/>
          <w:szCs w:val="20"/>
          <w:color w:val="auto"/>
        </w:rPr>
      </w:pPr>
    </w:p>
    <w:p>
      <w:pPr>
        <w:jc w:val="both"/>
        <w:ind w:left="825" w:right="3299"/>
        <w:spacing w:after="0" w:line="252" w:lineRule="auto"/>
        <w:rPr>
          <w:sz w:val="20"/>
          <w:szCs w:val="20"/>
          <w:color w:val="auto"/>
        </w:rPr>
      </w:pPr>
      <w:r>
        <w:rPr>
          <w:rFonts w:ascii="Courier New" w:cs="Courier New" w:eastAsia="Courier New" w:hAnsi="Courier New"/>
          <w:sz w:val="15"/>
          <w:szCs w:val="15"/>
          <w:color w:val="auto"/>
        </w:rPr>
        <w:t>U.S. Bond Fund -- The U.S. Bond Fund invests in high-quality bond market through diversified portfolio of lower-quality, higher-risk corporate debt securities.</w:t>
      </w:r>
    </w:p>
    <w:p>
      <w:pPr>
        <w:spacing w:after="0" w:line="175" w:lineRule="exact"/>
        <w:rPr>
          <w:sz w:val="20"/>
          <w:szCs w:val="20"/>
          <w:color w:val="auto"/>
        </w:rPr>
      </w:pPr>
    </w:p>
    <w:p>
      <w:pPr>
        <w:ind w:left="545" w:right="2839"/>
        <w:spacing w:after="0" w:line="250" w:lineRule="auto"/>
        <w:rPr>
          <w:sz w:val="20"/>
          <w:szCs w:val="20"/>
          <w:color w:val="auto"/>
        </w:rPr>
      </w:pPr>
      <w:r>
        <w:rPr>
          <w:rFonts w:ascii="Courier New" w:cs="Courier New" w:eastAsia="Courier New" w:hAnsi="Courier New"/>
          <w:sz w:val="15"/>
          <w:szCs w:val="15"/>
          <w:color w:val="auto"/>
        </w:rPr>
        <w:t>Payment of Benefits -- All withdrawals from the Plan during employment shall be paid in cash. All distributions from the Plan upon retirement, termination or death shall be paid in cash and/or shares of employer stock held in the account. A participating employee may elect to withdraw all or a portion of the vested portion of his or her account only in the case of hardship, as defined by the Plan, and may make withdrawals twice per year but not more than once per month. If a participating employee retires or his or her employment is terminated, the vested portion of his or her account shall be distributed to him or her as soon as practicable following the next valuation date after retirement or termination occurs. Any nonvested portion of his or her account shall be forfeited at that time. In the case of death of a participating employee, his or her entire account shall be distributed in a lump sum to his or her beneficiary(ies).</w:t>
      </w:r>
    </w:p>
    <w:p>
      <w:pPr>
        <w:spacing w:after="0" w:line="183" w:lineRule="exact"/>
        <w:rPr>
          <w:sz w:val="20"/>
          <w:szCs w:val="20"/>
          <w:color w:val="auto"/>
        </w:rPr>
      </w:pPr>
    </w:p>
    <w:p>
      <w:pPr>
        <w:ind w:left="545" w:right="3119"/>
        <w:spacing w:after="0" w:line="251" w:lineRule="auto"/>
        <w:rPr>
          <w:sz w:val="20"/>
          <w:szCs w:val="20"/>
          <w:color w:val="auto"/>
        </w:rPr>
      </w:pPr>
      <w:r>
        <w:rPr>
          <w:rFonts w:ascii="Courier New" w:cs="Courier New" w:eastAsia="Courier New" w:hAnsi="Courier New"/>
          <w:sz w:val="15"/>
          <w:szCs w:val="15"/>
          <w:color w:val="auto"/>
        </w:rPr>
        <w:t>Forfeited Accounts -- Any amounts forfeited shall be used to reduce the Company's obligation to make company matching contributions under the Plan. In 2003, no employer contributions were reduced by forfeited nonvested amounts.</w:t>
      </w:r>
    </w:p>
    <w:p>
      <w:pPr>
        <w:spacing w:after="0" w:line="176" w:lineRule="exact"/>
        <w:rPr>
          <w:sz w:val="20"/>
          <w:szCs w:val="20"/>
          <w:color w:val="auto"/>
        </w:rPr>
      </w:pPr>
    </w:p>
    <w:p>
      <w:pPr>
        <w:ind w:left="545" w:hanging="545"/>
        <w:spacing w:after="0"/>
        <w:tabs>
          <w:tab w:leader="none" w:pos="54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ACCOUNTING POLICIES</w:t>
      </w:r>
    </w:p>
    <w:p>
      <w:pPr>
        <w:spacing w:after="0" w:line="184" w:lineRule="exact"/>
        <w:rPr>
          <w:rFonts w:ascii="Courier New" w:cs="Courier New" w:eastAsia="Courier New" w:hAnsi="Courier New"/>
          <w:sz w:val="15"/>
          <w:szCs w:val="15"/>
          <w:color w:val="auto"/>
        </w:rPr>
      </w:pPr>
    </w:p>
    <w:p>
      <w:pPr>
        <w:ind w:left="545" w:right="31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Accounting -- The accompanying financial statements have been prepared in accordance with accounting principles generally accepted in the United States of America.</w:t>
      </w:r>
    </w:p>
    <w:p>
      <w:pPr>
        <w:spacing w:after="0" w:line="174" w:lineRule="exact"/>
        <w:rPr>
          <w:rFonts w:ascii="Courier New" w:cs="Courier New" w:eastAsia="Courier New" w:hAnsi="Courier New"/>
          <w:sz w:val="15"/>
          <w:szCs w:val="15"/>
          <w:color w:val="auto"/>
        </w:rPr>
      </w:pPr>
    </w:p>
    <w:p>
      <w:pPr>
        <w:ind w:left="54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 -- The preparation of financial statements in conformity with accounting principles generally accepted in the United States of America requires management to make estimates and assumptions that affect the reported amounts of assets, liabilities and changes therein, and disclosure of contingent assets and liabilities. Actual results could differ from those estimates.</w:t>
      </w:r>
    </w:p>
    <w:p>
      <w:pPr>
        <w:spacing w:after="0" w:line="353"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5" w:top="650" w:right="1440" w:bottom="1440" w:gutter="0" w:footer="0" w:header="0"/>
        </w:sectPr>
      </w:pPr>
    </w:p>
    <w:bookmarkStart w:id="8" w:name="page9"/>
    <w:bookmarkEnd w:id="8"/>
    <w:p>
      <w:pPr>
        <w:ind w:left="545" w:right="2939"/>
        <w:spacing w:after="0" w:line="251" w:lineRule="auto"/>
        <w:rPr>
          <w:sz w:val="20"/>
          <w:szCs w:val="20"/>
          <w:color w:val="auto"/>
        </w:rPr>
      </w:pPr>
      <w:r>
        <w:rPr>
          <w:rFonts w:ascii="Courier New" w:cs="Courier New" w:eastAsia="Courier New" w:hAnsi="Courier New"/>
          <w:sz w:val="15"/>
          <w:szCs w:val="15"/>
          <w:color w:val="auto"/>
        </w:rPr>
        <w:t>Risk and Uncertainties -- The Plan invests in various securities, including U.S. government securities, corporate debt instruments and corporate stocks. Investment securities, in general, are normally exposed to various risks, such as interest rate, credit and overall market volatility. Due to the ongoing level of risk associated with investment securities, changes in the values of investment securities may occur in the near term, which could materially affect the amounts reported in the statements of net assets available for plan benefits.</w:t>
      </w:r>
    </w:p>
    <w:p>
      <w:pPr>
        <w:spacing w:after="0" w:line="175" w:lineRule="exact"/>
        <w:rPr>
          <w:sz w:val="20"/>
          <w:szCs w:val="20"/>
          <w:color w:val="auto"/>
        </w:rPr>
      </w:pPr>
    </w:p>
    <w:p>
      <w:pPr>
        <w:ind w:left="545" w:right="2939"/>
        <w:spacing w:after="0" w:line="251" w:lineRule="auto"/>
        <w:rPr>
          <w:sz w:val="20"/>
          <w:szCs w:val="20"/>
          <w:color w:val="auto"/>
        </w:rPr>
      </w:pPr>
      <w:r>
        <w:rPr>
          <w:rFonts w:ascii="Courier New" w:cs="Courier New" w:eastAsia="Courier New" w:hAnsi="Courier New"/>
          <w:sz w:val="15"/>
          <w:szCs w:val="15"/>
          <w:color w:val="auto"/>
        </w:rPr>
        <w:t>Investment Valuation and Income Recognition -- In the accompanying statements of net assets available for plan benefits, the Plan's interest in the master trusts is stated at fair value. Quoted market prices are used to value investments in the master trusts.</w:t>
      </w:r>
    </w:p>
    <w:p>
      <w:pPr>
        <w:spacing w:after="0" w:line="176" w:lineRule="exact"/>
        <w:rPr>
          <w:sz w:val="20"/>
          <w:szCs w:val="20"/>
          <w:color w:val="auto"/>
        </w:rPr>
      </w:pPr>
    </w:p>
    <w:p>
      <w:pPr>
        <w:ind w:left="545" w:right="2839"/>
        <w:spacing w:after="0" w:line="250" w:lineRule="auto"/>
        <w:rPr>
          <w:sz w:val="20"/>
          <w:szCs w:val="20"/>
          <w:color w:val="auto"/>
        </w:rPr>
      </w:pPr>
      <w:r>
        <w:rPr>
          <w:rFonts w:ascii="Courier New" w:cs="Courier New" w:eastAsia="Courier New" w:hAnsi="Courier New"/>
          <w:sz w:val="15"/>
          <w:szCs w:val="15"/>
          <w:color w:val="auto"/>
        </w:rPr>
        <w:t>Securities are valued at their market values based on information and financial publications of general circulation, statistical and valuation services, records of security exchanges, appraisals by qualified persons, transactions and bona fide offers in assets of the type in question and other information customarily used in the valuation of assets or if market values are not available, at their fair values as provided to the PEI Trustee by the party with authority to trade such securities (investment managers or the Investment Committee, as applicable). The PEI Trustee relies on the prices provided by State Street, pricing sources, the investment managers, or the Investment Committee as a certification as to value in performing any valuations or calculations required of the PEI Trustee.</w:t>
      </w:r>
    </w:p>
    <w:p>
      <w:pPr>
        <w:spacing w:after="0" w:line="183" w:lineRule="exact"/>
        <w:rPr>
          <w:sz w:val="20"/>
          <w:szCs w:val="20"/>
          <w:color w:val="auto"/>
        </w:rPr>
      </w:pPr>
    </w:p>
    <w:p>
      <w:pPr>
        <w:ind w:left="545" w:right="3019"/>
        <w:spacing w:after="0" w:line="252" w:lineRule="auto"/>
        <w:rPr>
          <w:sz w:val="20"/>
          <w:szCs w:val="20"/>
          <w:color w:val="auto"/>
        </w:rPr>
      </w:pPr>
      <w:r>
        <w:rPr>
          <w:rFonts w:ascii="Courier New" w:cs="Courier New" w:eastAsia="Courier New" w:hAnsi="Courier New"/>
          <w:sz w:val="15"/>
          <w:szCs w:val="15"/>
          <w:color w:val="auto"/>
        </w:rPr>
        <w:t>Purchases and sales of securities are recorded on a trade-date basis. Interest income is recorded on the accrual basis. Dividends are recorded on the ex-dividend date.</w:t>
      </w:r>
    </w:p>
    <w:p>
      <w:pPr>
        <w:spacing w:after="0" w:line="175" w:lineRule="exact"/>
        <w:rPr>
          <w:sz w:val="20"/>
          <w:szCs w:val="20"/>
          <w:color w:val="auto"/>
        </w:rPr>
      </w:pPr>
    </w:p>
    <w:p>
      <w:pPr>
        <w:ind w:left="545" w:right="2839"/>
        <w:spacing w:after="0" w:line="250" w:lineRule="auto"/>
        <w:rPr>
          <w:sz w:val="20"/>
          <w:szCs w:val="20"/>
          <w:color w:val="auto"/>
        </w:rPr>
      </w:pPr>
      <w:r>
        <w:rPr>
          <w:rFonts w:ascii="Courier New" w:cs="Courier New" w:eastAsia="Courier New" w:hAnsi="Courier New"/>
          <w:sz w:val="15"/>
          <w:szCs w:val="15"/>
          <w:color w:val="auto"/>
        </w:rPr>
        <w:t>Broker commissions, transfer taxes, and other charges and expenses incurred in connection with the purchase, sale or other disposition of securities or other investments held by the master trusts are added to the cost of the securities or other investments, or are deducted from the proceeds of the sale or other disposition thereof, as appropriate. Taxes (if any) on the assets of the funds, or on any gain resulting from the sale or other disposition of such assets, or on the earnings of the funds, are apportioned in such a manner as the trustees deem equitable among the participants and former participants (if any) whose interests in the Plan are affected, and the share of such taxes apportioned to each person is charged against his or her account of the Plan.</w:t>
      </w:r>
    </w:p>
    <w:p>
      <w:pPr>
        <w:spacing w:after="0" w:line="182" w:lineRule="exact"/>
        <w:rPr>
          <w:sz w:val="20"/>
          <w:szCs w:val="20"/>
          <w:color w:val="auto"/>
        </w:rPr>
      </w:pPr>
    </w:p>
    <w:p>
      <w:pPr>
        <w:ind w:left="545" w:right="2839"/>
        <w:spacing w:after="0" w:line="251" w:lineRule="auto"/>
        <w:rPr>
          <w:sz w:val="20"/>
          <w:szCs w:val="20"/>
          <w:color w:val="auto"/>
        </w:rPr>
      </w:pPr>
      <w:r>
        <w:rPr>
          <w:rFonts w:ascii="Courier New" w:cs="Courier New" w:eastAsia="Courier New" w:hAnsi="Courier New"/>
          <w:sz w:val="15"/>
          <w:szCs w:val="15"/>
          <w:color w:val="auto"/>
        </w:rPr>
        <w:t>The master trusts allocate investment income, realized gains and losses and unrealized appreciation and depreciation on the underlying securities to the participating plans monthly and daily, respectively, based on the market value of each plan's investment. The unrealized appreciation or depreciation in the aggregate current value of investments is the difference between current value and the cost of investments. The realized gain or loss on investments is the difference between the proceeds received and the average cost of the investments sold.</w:t>
      </w:r>
    </w:p>
    <w:p>
      <w:pPr>
        <w:spacing w:after="0" w:line="175" w:lineRule="exact"/>
        <w:rPr>
          <w:sz w:val="20"/>
          <w:szCs w:val="20"/>
          <w:color w:val="auto"/>
        </w:rPr>
      </w:pPr>
    </w:p>
    <w:p>
      <w:pPr>
        <w:ind w:left="545" w:right="2839"/>
        <w:spacing w:after="0" w:line="253" w:lineRule="auto"/>
        <w:rPr>
          <w:sz w:val="20"/>
          <w:szCs w:val="20"/>
          <w:color w:val="auto"/>
        </w:rPr>
      </w:pPr>
      <w:r>
        <w:rPr>
          <w:rFonts w:ascii="Courier New" w:cs="Courier New" w:eastAsia="Courier New" w:hAnsi="Courier New"/>
          <w:sz w:val="15"/>
          <w:szCs w:val="15"/>
          <w:color w:val="auto"/>
        </w:rPr>
        <w:t>Administrative expenses -- Administrative expenses of the Plan are paid by the Company.</w:t>
      </w:r>
    </w:p>
    <w:p>
      <w:pPr>
        <w:spacing w:after="0" w:line="174" w:lineRule="exact"/>
        <w:rPr>
          <w:sz w:val="20"/>
          <w:szCs w:val="20"/>
          <w:color w:val="auto"/>
        </w:rPr>
      </w:pPr>
    </w:p>
    <w:p>
      <w:pPr>
        <w:ind w:left="545"/>
        <w:spacing w:after="0"/>
        <w:rPr>
          <w:sz w:val="20"/>
          <w:szCs w:val="20"/>
          <w:color w:val="auto"/>
        </w:rPr>
      </w:pPr>
      <w:r>
        <w:rPr>
          <w:rFonts w:ascii="Courier New" w:cs="Courier New" w:eastAsia="Courier New" w:hAnsi="Courier New"/>
          <w:sz w:val="15"/>
          <w:szCs w:val="15"/>
          <w:color w:val="auto"/>
        </w:rPr>
        <w:t>Payment of Benefits -- Benefits are recorded when paid.</w:t>
      </w:r>
    </w:p>
    <w:p>
      <w:pPr>
        <w:spacing w:after="0" w:line="185" w:lineRule="exact"/>
        <w:rPr>
          <w:sz w:val="20"/>
          <w:szCs w:val="20"/>
          <w:color w:val="auto"/>
        </w:rPr>
      </w:pPr>
    </w:p>
    <w:p>
      <w:pPr>
        <w:ind w:left="545" w:hanging="545"/>
        <w:spacing w:after="0"/>
        <w:tabs>
          <w:tab w:leader="none" w:pos="54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84" w:lineRule="exact"/>
        <w:rPr>
          <w:rFonts w:ascii="Courier New" w:cs="Courier New" w:eastAsia="Courier New" w:hAnsi="Courier New"/>
          <w:sz w:val="15"/>
          <w:szCs w:val="15"/>
          <w:color w:val="auto"/>
        </w:rPr>
      </w:pPr>
    </w:p>
    <w:p>
      <w:pPr>
        <w:ind w:left="545" w:right="30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PEI Master Trust -- The investments of the Plan as of December 31, 2003 and 2002 are stated at fair values determined and reported by the PEI Trustee. Proportionate interests of each participating plan were ascertained on the basis of the PEI Trustee's plan accounting method for master trust arrangements. Plan assets represented 52% and 54% of total net assets reported by the PEI Trustee as of December 31, 2003 and 2002, respectively.</w:t>
      </w:r>
    </w:p>
    <w:p>
      <w:pPr>
        <w:spacing w:after="0" w:line="353"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5" w:top="650" w:right="1440" w:bottom="1440" w:gutter="0" w:footer="0" w:header="0"/>
        </w:sectPr>
      </w:pPr>
    </w:p>
    <w:bookmarkStart w:id="9" w:name="page10"/>
    <w:bookmarkEnd w:id="9"/>
    <w:p>
      <w:pPr>
        <w:ind w:right="3479"/>
        <w:spacing w:after="0" w:line="253" w:lineRule="auto"/>
        <w:rPr>
          <w:sz w:val="20"/>
          <w:szCs w:val="20"/>
          <w:color w:val="auto"/>
        </w:rPr>
      </w:pPr>
      <w:r>
        <w:rPr>
          <w:rFonts w:ascii="Courier New" w:cs="Courier New" w:eastAsia="Courier New" w:hAnsi="Courier New"/>
          <w:sz w:val="15"/>
          <w:szCs w:val="15"/>
          <w:color w:val="auto"/>
        </w:rPr>
        <w:t>The net assets of the PEI Master Trust at fair value consist of the following as of December 31, 2003 and 2002:</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2003</w:t>
            </w:r>
          </w:p>
        </w:tc>
        <w:tc>
          <w:tcPr>
            <w:tcW w:w="200" w:type="dxa"/>
            <w:vAlign w:val="bottom"/>
          </w:tcPr>
          <w:p>
            <w:pPr>
              <w:spacing w:after="0"/>
              <w:rPr>
                <w:sz w:val="14"/>
                <w:szCs w:val="14"/>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2002</w:t>
            </w:r>
          </w:p>
        </w:tc>
      </w:tr>
      <w:tr>
        <w:trPr>
          <w:trHeight w:val="355"/>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Assets:</w:t>
            </w:r>
          </w:p>
        </w:tc>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28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rPr>
              <w:t>Investment in Northrop Grumman Employee Benefit Plan Master Trust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$1,345,885</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996,613</w:t>
            </w:r>
          </w:p>
        </w:tc>
      </w:tr>
      <w:tr>
        <w:trPr>
          <w:trHeight w:val="177"/>
        </w:trPr>
        <w:tc>
          <w:tcPr>
            <w:tcW w:w="28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rPr>
              <w:t>Investment in Northrop Grumman Defined Contribution Plans Master Trust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1,433,306</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8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Temporary Investments</w:t>
            </w:r>
          </w:p>
        </w:tc>
        <w:tc>
          <w:tcPr>
            <w:tcW w:w="240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705,966</w:t>
            </w:r>
          </w:p>
        </w:tc>
      </w:tr>
      <w:tr>
        <w:trPr>
          <w:trHeight w:val="177"/>
        </w:trPr>
        <w:tc>
          <w:tcPr>
            <w:tcW w:w="28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240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467,268</w:t>
            </w:r>
          </w:p>
        </w:tc>
      </w:tr>
      <w:tr>
        <w:trPr>
          <w:trHeight w:val="177"/>
        </w:trPr>
        <w:tc>
          <w:tcPr>
            <w:tcW w:w="28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Dividends, Interest and Tax Receivable</w:t>
            </w:r>
          </w:p>
        </w:tc>
        <w:tc>
          <w:tcPr>
            <w:tcW w:w="240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828</w:t>
            </w:r>
          </w:p>
        </w:tc>
      </w:tr>
      <w:tr>
        <w:trPr>
          <w:trHeight w:val="177"/>
        </w:trPr>
        <w:tc>
          <w:tcPr>
            <w:tcW w:w="2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Net Assets of the Master Trust</w:t>
            </w:r>
          </w:p>
        </w:tc>
        <w:tc>
          <w:tcPr>
            <w:tcW w:w="240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$2,779,191</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2,170,675</w:t>
            </w:r>
          </w:p>
        </w:tc>
      </w:tr>
      <w:tr>
        <w:trPr>
          <w:trHeight w:val="177"/>
        </w:trPr>
        <w:tc>
          <w:tcPr>
            <w:tcW w:w="2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532"/>
        </w:trPr>
        <w:tc>
          <w:tcPr>
            <w:tcW w:w="7020" w:type="dxa"/>
            <w:vAlign w:val="bottom"/>
            <w:gridSpan w:val="3"/>
          </w:tcPr>
          <w:p>
            <w:pPr>
              <w:spacing w:after="0"/>
              <w:rPr>
                <w:sz w:val="20"/>
                <w:szCs w:val="20"/>
                <w:color w:val="auto"/>
              </w:rPr>
            </w:pPr>
            <w:r>
              <w:rPr>
                <w:rFonts w:ascii="Courier New" w:cs="Courier New" w:eastAsia="Courier New" w:hAnsi="Courier New"/>
                <w:sz w:val="15"/>
                <w:szCs w:val="15"/>
                <w:color w:val="auto"/>
              </w:rPr>
              <w:t>Investment income for the PEI Master Trust is as follows as of December</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31,</w:t>
            </w:r>
          </w:p>
        </w:tc>
        <w:tc>
          <w:tcPr>
            <w:tcW w:w="4340" w:type="dxa"/>
            <w:vAlign w:val="bottom"/>
          </w:tcPr>
          <w:p>
            <w:pPr>
              <w:ind w:left="100"/>
              <w:spacing w:after="0"/>
              <w:rPr>
                <w:sz w:val="20"/>
                <w:szCs w:val="20"/>
                <w:color w:val="auto"/>
              </w:rPr>
            </w:pPr>
            <w:r>
              <w:rPr>
                <w:rFonts w:ascii="Courier New" w:cs="Courier New" w:eastAsia="Courier New" w:hAnsi="Courier New"/>
                <w:sz w:val="15"/>
                <w:szCs w:val="15"/>
                <w:color w:val="auto"/>
              </w:rPr>
              <w:t>2003:</w:t>
            </w:r>
          </w:p>
        </w:tc>
        <w:tc>
          <w:tcPr>
            <w:tcW w:w="2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710"/>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Net appreciation in fair value of investments:</w:t>
            </w:r>
          </w:p>
        </w:tc>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55"/>
        </w:trPr>
        <w:tc>
          <w:tcPr>
            <w:tcW w:w="28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rPr>
              <w:t>Plan interest in Northrop Grumman Employee Benefit Plan Master Trust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$264,745</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28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rPr>
              <w:t>Plan interest in Northrop Grumman Defined Contribution Plans Master Trust</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155,920</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Total Investment Gain</w:t>
            </w:r>
          </w:p>
        </w:tc>
        <w:tc>
          <w:tcPr>
            <w:tcW w:w="240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$420,665</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532"/>
        </w:trPr>
        <w:tc>
          <w:tcPr>
            <w:tcW w:w="7020" w:type="dxa"/>
            <w:vAlign w:val="bottom"/>
            <w:gridSpan w:val="3"/>
          </w:tcPr>
          <w:p>
            <w:pPr>
              <w:spacing w:after="0"/>
              <w:rPr>
                <w:sz w:val="20"/>
                <w:szCs w:val="20"/>
                <w:color w:val="auto"/>
              </w:rPr>
            </w:pPr>
            <w:r>
              <w:rPr>
                <w:rFonts w:ascii="Courier New" w:cs="Courier New" w:eastAsia="Courier New" w:hAnsi="Courier New"/>
                <w:sz w:val="15"/>
                <w:szCs w:val="15"/>
                <w:color w:val="auto"/>
              </w:rPr>
              <w:t>DC Master Trust -- Plan assets represented 0.02% of total net assets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7020" w:type="dxa"/>
            <w:vAlign w:val="bottom"/>
            <w:gridSpan w:val="3"/>
          </w:tcPr>
          <w:p>
            <w:pPr>
              <w:spacing w:after="0"/>
              <w:rPr>
                <w:sz w:val="20"/>
                <w:szCs w:val="20"/>
                <w:color w:val="auto"/>
              </w:rPr>
            </w:pPr>
            <w:r>
              <w:rPr>
                <w:rFonts w:ascii="Courier New" w:cs="Courier New" w:eastAsia="Courier New" w:hAnsi="Courier New"/>
                <w:sz w:val="15"/>
                <w:szCs w:val="15"/>
                <w:color w:val="auto"/>
              </w:rPr>
              <w:t>reported by the trustee of the DC Master Trust as of December 31, 2003.</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7020" w:type="dxa"/>
            <w:vAlign w:val="bottom"/>
            <w:gridSpan w:val="3"/>
          </w:tcPr>
          <w:p>
            <w:pPr>
              <w:spacing w:after="0"/>
              <w:rPr>
                <w:sz w:val="20"/>
                <w:szCs w:val="20"/>
                <w:color w:val="auto"/>
              </w:rPr>
            </w:pPr>
            <w:r>
              <w:rPr>
                <w:rFonts w:ascii="Courier New" w:cs="Courier New" w:eastAsia="Courier New" w:hAnsi="Courier New"/>
                <w:sz w:val="15"/>
                <w:szCs w:val="15"/>
                <w:color w:val="auto"/>
              </w:rPr>
              <w:t>Proportionate interests of each participating plan were ascertained on the</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7020" w:type="dxa"/>
            <w:vAlign w:val="bottom"/>
            <w:gridSpan w:val="3"/>
          </w:tcPr>
          <w:p>
            <w:pPr>
              <w:spacing w:after="0"/>
              <w:rPr>
                <w:sz w:val="20"/>
                <w:szCs w:val="20"/>
                <w:color w:val="auto"/>
              </w:rPr>
            </w:pPr>
            <w:r>
              <w:rPr>
                <w:rFonts w:ascii="Courier New" w:cs="Courier New" w:eastAsia="Courier New" w:hAnsi="Courier New"/>
                <w:sz w:val="15"/>
                <w:szCs w:val="15"/>
                <w:color w:val="auto"/>
              </w:rPr>
              <w:t>basis of the trustee's plan accounting method for master trust</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7020" w:type="dxa"/>
            <w:vAlign w:val="bottom"/>
            <w:gridSpan w:val="3"/>
          </w:tcPr>
          <w:p>
            <w:pPr>
              <w:spacing w:after="0"/>
              <w:rPr>
                <w:sz w:val="20"/>
                <w:szCs w:val="20"/>
                <w:color w:val="auto"/>
              </w:rPr>
            </w:pPr>
            <w:r>
              <w:rPr>
                <w:rFonts w:ascii="Courier New" w:cs="Courier New" w:eastAsia="Courier New" w:hAnsi="Courier New"/>
                <w:sz w:val="15"/>
                <w:szCs w:val="15"/>
                <w:color w:val="auto"/>
              </w:rPr>
              <w:t>arrangements. The net assets of the DC Master Trust at fair value consist</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of the following as of December 31, 2003:</w:t>
            </w:r>
          </w:p>
        </w:tc>
        <w:tc>
          <w:tcPr>
            <w:tcW w:w="2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5"/>
        </w:trPr>
        <w:tc>
          <w:tcPr>
            <w:tcW w:w="2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40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2003</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Assets:</w:t>
            </w:r>
          </w:p>
        </w:tc>
        <w:tc>
          <w:tcPr>
            <w:tcW w:w="2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6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Temporary Investments</w:t>
            </w:r>
          </w:p>
        </w:tc>
        <w:tc>
          <w:tcPr>
            <w:tcW w:w="24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  152,963,469</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6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U.S. and Foreign Government Securities</w:t>
            </w:r>
          </w:p>
        </w:tc>
        <w:tc>
          <w:tcPr>
            <w:tcW w:w="24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411,233,413</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6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Corporate Debt Instruments</w:t>
            </w:r>
          </w:p>
        </w:tc>
        <w:tc>
          <w:tcPr>
            <w:tcW w:w="24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174,859,840</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6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Common Stock</w:t>
            </w:r>
          </w:p>
        </w:tc>
        <w:tc>
          <w:tcPr>
            <w:tcW w:w="24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2,487,376,512</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6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Common/Collective Trust Funds</w:t>
            </w:r>
          </w:p>
        </w:tc>
        <w:tc>
          <w:tcPr>
            <w:tcW w:w="24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1,507,330,059</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6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Guaranteed Insurance Contracts</w:t>
            </w:r>
          </w:p>
        </w:tc>
        <w:tc>
          <w:tcPr>
            <w:tcW w:w="24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1,757,340,661</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6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Other Investments</w:t>
            </w:r>
          </w:p>
        </w:tc>
        <w:tc>
          <w:tcPr>
            <w:tcW w:w="24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11,684,933</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6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Receivables or investments sold</w:t>
            </w:r>
          </w:p>
        </w:tc>
        <w:tc>
          <w:tcPr>
            <w:tcW w:w="24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28,549,033</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6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Dividends, Interest and Tax Receivable</w:t>
            </w:r>
          </w:p>
        </w:tc>
        <w:tc>
          <w:tcPr>
            <w:tcW w:w="24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8,511,236</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4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4340" w:type="dxa"/>
            <w:vAlign w:val="bottom"/>
          </w:tcPr>
          <w:p>
            <w:pPr>
              <w:ind w:left="560"/>
              <w:spacing w:after="0"/>
              <w:rPr>
                <w:sz w:val="20"/>
                <w:szCs w:val="20"/>
                <w:color w:val="auto"/>
              </w:rPr>
            </w:pPr>
            <w:r>
              <w:rPr>
                <w:rFonts w:ascii="Courier New" w:cs="Courier New" w:eastAsia="Courier New" w:hAnsi="Courier New"/>
                <w:sz w:val="15"/>
                <w:szCs w:val="15"/>
                <w:color w:val="auto"/>
              </w:rPr>
              <w:t>Total Assets</w:t>
            </w:r>
          </w:p>
        </w:tc>
        <w:tc>
          <w:tcPr>
            <w:tcW w:w="24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6,539,849,156</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5"/>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Liabilities:</w:t>
            </w:r>
          </w:p>
        </w:tc>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46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Due to broker for securities purchased</w:t>
            </w:r>
          </w:p>
        </w:tc>
        <w:tc>
          <w:tcPr>
            <w:tcW w:w="24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80,811,923</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4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4620" w:type="dxa"/>
            <w:vAlign w:val="bottom"/>
            <w:gridSpan w:val="2"/>
          </w:tcPr>
          <w:p>
            <w:pPr>
              <w:spacing w:after="0"/>
              <w:rPr>
                <w:sz w:val="20"/>
                <w:szCs w:val="20"/>
                <w:color w:val="auto"/>
              </w:rPr>
            </w:pPr>
            <w:r>
              <w:rPr>
                <w:rFonts w:ascii="Courier New" w:cs="Courier New" w:eastAsia="Courier New" w:hAnsi="Courier New"/>
                <w:sz w:val="15"/>
                <w:szCs w:val="15"/>
                <w:color w:val="auto"/>
              </w:rPr>
              <w:t>Net Assets of the Master Trust</w:t>
            </w:r>
          </w:p>
        </w:tc>
        <w:tc>
          <w:tcPr>
            <w:tcW w:w="24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$6,459,037,233</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2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4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pacing w:after="0" w:line="183"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As of December 31, 2003, DC Master Trust assets of $695,984,508 were on loan to third party borrowers under security lending agreements. Such assets could be subject to sale restrictions in the event security lending agreements are terminated and the securities have not been returned to the Plan.</w:t>
      </w:r>
    </w:p>
    <w:p>
      <w:pPr>
        <w:spacing w:after="0" w:line="354"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679"/>
          </w:cols>
          <w:pgMar w:left="780" w:top="650" w:right="1440" w:bottom="1440" w:gutter="0" w:footer="0" w:header="0"/>
        </w:sectPr>
      </w:pPr>
    </w:p>
    <w:bookmarkStart w:id="10" w:name="page11"/>
    <w:bookmarkEnd w:id="10"/>
    <w:p>
      <w:pPr>
        <w:ind w:left="545"/>
        <w:spacing w:after="0"/>
        <w:rPr>
          <w:sz w:val="20"/>
          <w:szCs w:val="20"/>
          <w:color w:val="auto"/>
        </w:rPr>
      </w:pPr>
      <w:r>
        <w:rPr>
          <w:rFonts w:ascii="Courier New" w:cs="Courier New" w:eastAsia="Courier New" w:hAnsi="Courier New"/>
          <w:sz w:val="15"/>
          <w:szCs w:val="15"/>
          <w:color w:val="auto"/>
        </w:rPr>
        <w:t>Investment (losses) income for the DC Master Trust is as follows as of</w:t>
      </w:r>
    </w:p>
    <w:p>
      <w:pPr>
        <w:spacing w:after="0" w:line="8" w:lineRule="exact"/>
        <w:rPr>
          <w:sz w:val="20"/>
          <w:szCs w:val="20"/>
          <w:color w:val="auto"/>
        </w:rPr>
      </w:pPr>
    </w:p>
    <w:p>
      <w:pPr>
        <w:ind w:left="545"/>
        <w:spacing w:after="0"/>
        <w:rPr>
          <w:sz w:val="20"/>
          <w:szCs w:val="20"/>
          <w:color w:val="auto"/>
        </w:rPr>
      </w:pPr>
      <w:r>
        <w:rPr>
          <w:rFonts w:ascii="Courier New" w:cs="Courier New" w:eastAsia="Courier New" w:hAnsi="Courier New"/>
          <w:sz w:val="15"/>
          <w:szCs w:val="15"/>
          <w:color w:val="auto"/>
        </w:rPr>
        <w:t>December 31, 2003:</w:t>
      </w:r>
    </w:p>
    <w:p>
      <w:pPr>
        <w:spacing w:after="0" w:line="200" w:lineRule="exact"/>
        <w:rPr>
          <w:sz w:val="20"/>
          <w:szCs w:val="20"/>
          <w:color w:val="auto"/>
        </w:rPr>
      </w:pPr>
    </w:p>
    <w:p>
      <w:pPr>
        <w:spacing w:after="0" w:line="340" w:lineRule="exact"/>
        <w:rPr>
          <w:sz w:val="20"/>
          <w:szCs w:val="20"/>
          <w:color w:val="auto"/>
        </w:rPr>
      </w:pPr>
    </w:p>
    <w:tbl>
      <w:tblPr>
        <w:tblLayout w:type="fixed"/>
        <w:tblInd w:w="545" w:type="dxa"/>
        <w:tblCellMar>
          <w:top w:w="0" w:type="dxa"/>
          <w:left w:w="0" w:type="dxa"/>
          <w:bottom w:w="0" w:type="dxa"/>
          <w:right w:w="0" w:type="dxa"/>
        </w:tblCellMar>
      </w:tblPr>
      <w:tr>
        <w:trPr>
          <w:trHeight w:val="172"/>
        </w:trPr>
        <w:tc>
          <w:tcPr>
            <w:tcW w:w="5780" w:type="dxa"/>
            <w:vAlign w:val="bottom"/>
          </w:tcPr>
          <w:p>
            <w:pPr>
              <w:spacing w:after="0"/>
              <w:rPr>
                <w:sz w:val="20"/>
                <w:szCs w:val="20"/>
                <w:color w:val="auto"/>
              </w:rPr>
            </w:pPr>
            <w:r>
              <w:rPr>
                <w:rFonts w:ascii="Courier New" w:cs="Courier New" w:eastAsia="Courier New" w:hAnsi="Courier New"/>
                <w:sz w:val="15"/>
                <w:szCs w:val="15"/>
                <w:color w:val="auto"/>
              </w:rPr>
              <w:t>Net appreciation (depreciation) in fair value of investments:</w:t>
            </w:r>
          </w:p>
        </w:tc>
        <w:tc>
          <w:tcPr>
            <w:tcW w:w="1420" w:type="dxa"/>
            <w:vAlign w:val="bottom"/>
          </w:tcPr>
          <w:p>
            <w:pPr>
              <w:spacing w:after="0"/>
              <w:rPr>
                <w:sz w:val="14"/>
                <w:szCs w:val="14"/>
                <w:color w:val="auto"/>
              </w:rPr>
            </w:pPr>
          </w:p>
        </w:tc>
      </w:tr>
      <w:tr>
        <w:trPr>
          <w:trHeight w:val="177"/>
        </w:trPr>
        <w:tc>
          <w:tcPr>
            <w:tcW w:w="5780" w:type="dxa"/>
            <w:vAlign w:val="bottom"/>
          </w:tcPr>
          <w:p>
            <w:pPr>
              <w:ind w:left="380"/>
              <w:spacing w:after="0"/>
              <w:rPr>
                <w:sz w:val="20"/>
                <w:szCs w:val="20"/>
                <w:color w:val="auto"/>
              </w:rPr>
            </w:pPr>
            <w:r>
              <w:rPr>
                <w:rFonts w:ascii="Courier New" w:cs="Courier New" w:eastAsia="Courier New" w:hAnsi="Courier New"/>
                <w:sz w:val="15"/>
                <w:szCs w:val="15"/>
                <w:color w:val="auto"/>
              </w:rPr>
              <w:t>U.S. and foreign government securities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(6,430,781)</w:t>
            </w:r>
          </w:p>
        </w:tc>
      </w:tr>
      <w:tr>
        <w:trPr>
          <w:trHeight w:val="177"/>
        </w:trPr>
        <w:tc>
          <w:tcPr>
            <w:tcW w:w="5780" w:type="dxa"/>
            <w:vAlign w:val="bottom"/>
          </w:tcPr>
          <w:p>
            <w:pPr>
              <w:ind w:left="380"/>
              <w:spacing w:after="0"/>
              <w:rPr>
                <w:sz w:val="20"/>
                <w:szCs w:val="20"/>
                <w:color w:val="auto"/>
              </w:rPr>
            </w:pPr>
            <w:r>
              <w:rPr>
                <w:rFonts w:ascii="Courier New" w:cs="Courier New" w:eastAsia="Courier New" w:hAnsi="Courier New"/>
                <w:sz w:val="15"/>
                <w:szCs w:val="15"/>
                <w:color w:val="auto"/>
              </w:rPr>
              <w:t>Corporate debt instruments</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9,472,406</w:t>
            </w:r>
          </w:p>
        </w:tc>
      </w:tr>
      <w:tr>
        <w:trPr>
          <w:trHeight w:val="177"/>
        </w:trPr>
        <w:tc>
          <w:tcPr>
            <w:tcW w:w="5780" w:type="dxa"/>
            <w:vAlign w:val="bottom"/>
          </w:tcPr>
          <w:p>
            <w:pPr>
              <w:ind w:left="380"/>
              <w:spacing w:after="0"/>
              <w:rPr>
                <w:sz w:val="20"/>
                <w:szCs w:val="20"/>
                <w:color w:val="auto"/>
              </w:rPr>
            </w:pPr>
            <w:r>
              <w:rPr>
                <w:rFonts w:ascii="Courier New" w:cs="Courier New" w:eastAsia="Courier New" w:hAnsi="Courier New"/>
                <w:sz w:val="15"/>
                <w:szCs w:val="15"/>
                <w:color w:val="auto"/>
              </w:rPr>
              <w:t>Common stock</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435,855,240</w:t>
            </w:r>
          </w:p>
        </w:tc>
      </w:tr>
      <w:tr>
        <w:trPr>
          <w:trHeight w:val="177"/>
        </w:trPr>
        <w:tc>
          <w:tcPr>
            <w:tcW w:w="5780" w:type="dxa"/>
            <w:vAlign w:val="bottom"/>
          </w:tcPr>
          <w:p>
            <w:pPr>
              <w:ind w:left="380"/>
              <w:spacing w:after="0"/>
              <w:rPr>
                <w:sz w:val="20"/>
                <w:szCs w:val="20"/>
                <w:color w:val="auto"/>
              </w:rPr>
            </w:pPr>
            <w:r>
              <w:rPr>
                <w:rFonts w:ascii="Courier New" w:cs="Courier New" w:eastAsia="Courier New" w:hAnsi="Courier New"/>
                <w:sz w:val="15"/>
                <w:szCs w:val="15"/>
                <w:color w:val="auto"/>
              </w:rPr>
              <w:t>Common/collective trust funds</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213,116,026</w:t>
            </w:r>
          </w:p>
        </w:tc>
      </w:tr>
      <w:tr>
        <w:trPr>
          <w:trHeight w:val="177"/>
        </w:trPr>
        <w:tc>
          <w:tcPr>
            <w:tcW w:w="5780" w:type="dxa"/>
            <w:vAlign w:val="bottom"/>
          </w:tcPr>
          <w:p>
            <w:pPr>
              <w:ind w:left="380"/>
              <w:spacing w:after="0"/>
              <w:rPr>
                <w:sz w:val="20"/>
                <w:szCs w:val="20"/>
                <w:color w:val="auto"/>
              </w:rPr>
            </w:pPr>
            <w:r>
              <w:rPr>
                <w:rFonts w:ascii="Courier New" w:cs="Courier New" w:eastAsia="Courier New" w:hAnsi="Courier New"/>
                <w:sz w:val="15"/>
                <w:szCs w:val="15"/>
                <w:color w:val="auto"/>
              </w:rPr>
              <w:t>Other investments</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260,091</w:t>
            </w:r>
          </w:p>
        </w:tc>
      </w:tr>
      <w:tr>
        <w:trPr>
          <w:trHeight w:val="177"/>
        </w:trPr>
        <w:tc>
          <w:tcPr>
            <w:tcW w:w="5780" w:type="dxa"/>
            <w:vAlign w:val="bottom"/>
          </w:tcPr>
          <w:p>
            <w:pPr>
              <w:spacing w:after="0"/>
              <w:rPr>
                <w:sz w:val="15"/>
                <w:szCs w:val="15"/>
                <w:color w:val="auto"/>
              </w:rPr>
            </w:pP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780" w:type="dxa"/>
            <w:vAlign w:val="bottom"/>
          </w:tcPr>
          <w:p>
            <w:pPr>
              <w:spacing w:after="0"/>
              <w:rPr>
                <w:sz w:val="15"/>
                <w:szCs w:val="15"/>
                <w:color w:val="auto"/>
              </w:rPr>
            </w:pP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652,272,982</w:t>
            </w:r>
          </w:p>
        </w:tc>
      </w:tr>
      <w:tr>
        <w:trPr>
          <w:trHeight w:val="177"/>
        </w:trPr>
        <w:tc>
          <w:tcPr>
            <w:tcW w:w="578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2,807,904</w:t>
            </w:r>
          </w:p>
        </w:tc>
      </w:tr>
      <w:tr>
        <w:trPr>
          <w:trHeight w:val="177"/>
        </w:trPr>
        <w:tc>
          <w:tcPr>
            <w:tcW w:w="5780" w:type="dxa"/>
            <w:vAlign w:val="bottom"/>
          </w:tcPr>
          <w:p>
            <w:pPr>
              <w:spacing w:after="0"/>
              <w:rPr>
                <w:sz w:val="20"/>
                <w:szCs w:val="20"/>
                <w:color w:val="auto"/>
              </w:rPr>
            </w:pPr>
            <w:r>
              <w:rPr>
                <w:rFonts w:ascii="Courier New" w:cs="Courier New" w:eastAsia="Courier New" w:hAnsi="Courier New"/>
                <w:sz w:val="15"/>
                <w:szCs w:val="15"/>
                <w:color w:val="auto"/>
              </w:rPr>
              <w:t>Dividends</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60,745,505</w:t>
            </w:r>
          </w:p>
        </w:tc>
      </w:tr>
      <w:tr>
        <w:trPr>
          <w:trHeight w:val="177"/>
        </w:trPr>
        <w:tc>
          <w:tcPr>
            <w:tcW w:w="578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87,034,461</w:t>
            </w:r>
          </w:p>
        </w:tc>
      </w:tr>
      <w:tr>
        <w:trPr>
          <w:trHeight w:val="177"/>
        </w:trPr>
        <w:tc>
          <w:tcPr>
            <w:tcW w:w="5780" w:type="dxa"/>
            <w:vAlign w:val="bottom"/>
          </w:tcPr>
          <w:p>
            <w:pPr>
              <w:spacing w:after="0"/>
              <w:rPr>
                <w:sz w:val="20"/>
                <w:szCs w:val="20"/>
                <w:color w:val="auto"/>
              </w:rPr>
            </w:pPr>
            <w:r>
              <w:rPr>
                <w:rFonts w:ascii="Courier New" w:cs="Courier New" w:eastAsia="Courier New" w:hAnsi="Courier New"/>
                <w:sz w:val="15"/>
                <w:szCs w:val="15"/>
                <w:color w:val="auto"/>
              </w:rPr>
              <w:t>Investment manager fees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(10,641,254)</w:t>
            </w:r>
          </w:p>
        </w:tc>
      </w:tr>
      <w:tr>
        <w:trPr>
          <w:trHeight w:val="177"/>
        </w:trPr>
        <w:tc>
          <w:tcPr>
            <w:tcW w:w="5780" w:type="dxa"/>
            <w:vAlign w:val="bottom"/>
          </w:tcPr>
          <w:p>
            <w:pPr>
              <w:spacing w:after="0"/>
              <w:rPr>
                <w:sz w:val="15"/>
                <w:szCs w:val="15"/>
                <w:color w:val="auto"/>
              </w:rPr>
            </w:pP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780" w:type="dxa"/>
            <w:vAlign w:val="bottom"/>
          </w:tcPr>
          <w:p>
            <w:pPr>
              <w:spacing w:after="0"/>
              <w:rPr>
                <w:sz w:val="20"/>
                <w:szCs w:val="20"/>
                <w:color w:val="auto"/>
              </w:rPr>
            </w:pPr>
            <w:r>
              <w:rPr>
                <w:rFonts w:ascii="Courier New" w:cs="Courier New" w:eastAsia="Courier New" w:hAnsi="Courier New"/>
                <w:sz w:val="15"/>
                <w:szCs w:val="15"/>
                <w:color w:val="auto"/>
              </w:rPr>
              <w:t>Total investment gain</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$ 792,219,598</w:t>
            </w:r>
          </w:p>
        </w:tc>
      </w:tr>
      <w:tr>
        <w:trPr>
          <w:trHeight w:val="177"/>
        </w:trPr>
        <w:tc>
          <w:tcPr>
            <w:tcW w:w="5780" w:type="dxa"/>
            <w:vAlign w:val="bottom"/>
          </w:tcPr>
          <w:p>
            <w:pPr>
              <w:spacing w:after="0"/>
              <w:rPr>
                <w:sz w:val="15"/>
                <w:szCs w:val="15"/>
                <w:color w:val="auto"/>
              </w:rPr>
            </w:pP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45" w:right="2939"/>
        <w:spacing w:after="0" w:line="251" w:lineRule="auto"/>
        <w:rPr>
          <w:sz w:val="20"/>
          <w:szCs w:val="20"/>
          <w:color w:val="auto"/>
        </w:rPr>
      </w:pPr>
      <w:r>
        <w:rPr>
          <w:rFonts w:ascii="Courier New" w:cs="Courier New" w:eastAsia="Courier New" w:hAnsi="Courier New"/>
          <w:sz w:val="15"/>
          <w:szCs w:val="15"/>
          <w:color w:val="auto"/>
        </w:rPr>
        <w:t>Other than the Plan's interests in the PEI Master Trust (which is, in turn, invested in the DC Master Trust), there are no assets held for investment that represent 5% or more of the Plan's net assets at December 31, 2003 and 2002.</w:t>
      </w:r>
    </w:p>
    <w:p>
      <w:pPr>
        <w:spacing w:after="0" w:line="176" w:lineRule="exact"/>
        <w:rPr>
          <w:sz w:val="20"/>
          <w:szCs w:val="20"/>
          <w:color w:val="auto"/>
        </w:rPr>
      </w:pPr>
    </w:p>
    <w:p>
      <w:pPr>
        <w:ind w:left="545" w:hanging="545"/>
        <w:spacing w:after="0"/>
        <w:tabs>
          <w:tab w:leader="none" w:pos="54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WITH PARTIES IN INTEREST</w:t>
      </w:r>
    </w:p>
    <w:p>
      <w:pPr>
        <w:spacing w:after="0" w:line="184" w:lineRule="exact"/>
        <w:rPr>
          <w:rFonts w:ascii="Courier New" w:cs="Courier New" w:eastAsia="Courier New" w:hAnsi="Courier New"/>
          <w:sz w:val="15"/>
          <w:szCs w:val="15"/>
          <w:color w:val="auto"/>
        </w:rPr>
      </w:pPr>
    </w:p>
    <w:p>
      <w:pPr>
        <w:ind w:left="545" w:right="347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had transactions with the PEI Trustee's and State Street's short-term investment funds, a liquidity pooled funds in which participation commences and terminates on a daily basis.</w:t>
      </w:r>
    </w:p>
    <w:p>
      <w:pPr>
        <w:spacing w:after="0" w:line="174" w:lineRule="exact"/>
        <w:rPr>
          <w:rFonts w:ascii="Courier New" w:cs="Courier New" w:eastAsia="Courier New" w:hAnsi="Courier New"/>
          <w:sz w:val="15"/>
          <w:szCs w:val="15"/>
          <w:color w:val="auto"/>
        </w:rPr>
      </w:pPr>
    </w:p>
    <w:p>
      <w:pPr>
        <w:ind w:left="545" w:hanging="545"/>
        <w:spacing w:after="0"/>
        <w:tabs>
          <w:tab w:leader="none" w:pos="54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TERMINATION</w:t>
      </w:r>
    </w:p>
    <w:p>
      <w:pPr>
        <w:spacing w:after="0" w:line="184" w:lineRule="exact"/>
        <w:rPr>
          <w:rFonts w:ascii="Courier New" w:cs="Courier New" w:eastAsia="Courier New" w:hAnsi="Courier New"/>
          <w:sz w:val="15"/>
          <w:szCs w:val="15"/>
          <w:color w:val="auto"/>
        </w:rPr>
      </w:pPr>
    </w:p>
    <w:p>
      <w:pPr>
        <w:ind w:left="545" w:right="30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it has not expressed any intent to do so, the Company has the right under the Plan to discontinue its contributions at any time and to terminate the Plan subject to the provisions of the Employee Retirement Income Security Act of 1974, as amended ("ERISA"). In the event of the Plan's termination, participants will become 100% vested in their accounts.</w:t>
      </w:r>
    </w:p>
    <w:p>
      <w:pPr>
        <w:spacing w:after="0" w:line="175" w:lineRule="exact"/>
        <w:rPr>
          <w:rFonts w:ascii="Courier New" w:cs="Courier New" w:eastAsia="Courier New" w:hAnsi="Courier New"/>
          <w:sz w:val="15"/>
          <w:szCs w:val="15"/>
          <w:color w:val="auto"/>
        </w:rPr>
      </w:pPr>
    </w:p>
    <w:p>
      <w:pPr>
        <w:ind w:left="545" w:hanging="545"/>
        <w:spacing w:after="0"/>
        <w:tabs>
          <w:tab w:leader="none" w:pos="54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INCOME TAX STATUS</w:t>
      </w:r>
    </w:p>
    <w:p>
      <w:pPr>
        <w:spacing w:after="0" w:line="184" w:lineRule="exact"/>
        <w:rPr>
          <w:rFonts w:ascii="Courier New" w:cs="Courier New" w:eastAsia="Courier New" w:hAnsi="Courier New"/>
          <w:sz w:val="15"/>
          <w:szCs w:val="15"/>
          <w:color w:val="auto"/>
        </w:rPr>
      </w:pPr>
    </w:p>
    <w:p>
      <w:pPr>
        <w:ind w:left="54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is intended to be qualified under the Internal Revenue Code of 1986, as amended (the "1986 Code") and the Puerto Rico Income Tax Code of 1994. The Plan obtained its latest determination letter dated December 11, 2000 in which the Internal Revenue Service determined that the Plan terms at the time of the determination letter application were in compliance with the applicable sections of the 1986 Code, and, therefore, the related trust is exempt from taxation. The Plan has been amended since receiving the determination letter. Although the amendments have not yet been filed for a favorable determination letter, management will make any changes necessary to maintain the Plan's tax-qualified status. However, management believes that the Plan and the related trust are designed and currently being operated in compliance with the applicable provisions of the 1986 Code and Puerto Rico Income Tax Code of 1994, and that the related trust was tax exempt as of the financial statement date. Therefore, no provision for income taxes has been included in the Plan's financial statements.</w:t>
      </w:r>
    </w:p>
    <w:p>
      <w:pPr>
        <w:spacing w:after="0" w:line="361"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5" w:top="650" w:right="1440" w:bottom="1440" w:gutter="0" w:footer="0" w:header="0"/>
        </w:sectPr>
      </w:pPr>
    </w:p>
    <w:bookmarkStart w:id="11" w:name="page12"/>
    <w:bookmarkEnd w:id="11"/>
    <w:p>
      <w:pPr>
        <w:ind w:left="545" w:hanging="545"/>
        <w:spacing w:after="0"/>
        <w:tabs>
          <w:tab w:leader="none" w:pos="54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 OF FINANCIAL STATEMENTS TO FORM 5500</w:t>
      </w:r>
    </w:p>
    <w:p>
      <w:pPr>
        <w:spacing w:after="0" w:line="184" w:lineRule="exact"/>
        <w:rPr>
          <w:rFonts w:ascii="Courier New" w:cs="Courier New" w:eastAsia="Courier New" w:hAnsi="Courier New"/>
          <w:sz w:val="15"/>
          <w:szCs w:val="15"/>
          <w:color w:val="auto"/>
        </w:rPr>
      </w:pPr>
    </w:p>
    <w:p>
      <w:pPr>
        <w:ind w:left="545"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reconciliation of net assets available for plan benefits per the financial statements to the Form 5500 as of December 31,</w:t>
      </w:r>
    </w:p>
    <w:p>
      <w:pPr>
        <w:ind w:left="54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2003 and 2002:</w:t>
      </w:r>
    </w:p>
    <w:p>
      <w:pPr>
        <w:spacing w:after="0" w:line="200" w:lineRule="exact"/>
        <w:rPr>
          <w:sz w:val="20"/>
          <w:szCs w:val="20"/>
          <w:color w:val="auto"/>
        </w:rPr>
      </w:pPr>
    </w:p>
    <w:p>
      <w:pPr>
        <w:spacing w:after="0" w:line="340" w:lineRule="exact"/>
        <w:rPr>
          <w:sz w:val="20"/>
          <w:szCs w:val="20"/>
          <w:color w:val="auto"/>
        </w:rPr>
      </w:pPr>
    </w:p>
    <w:tbl>
      <w:tblPr>
        <w:tblLayout w:type="fixed"/>
        <w:tblInd w:w="545" w:type="dxa"/>
        <w:tblCellMar>
          <w:top w:w="0" w:type="dxa"/>
          <w:left w:w="0" w:type="dxa"/>
          <w:bottom w:w="0" w:type="dxa"/>
          <w:right w:w="0" w:type="dxa"/>
        </w:tblCellMar>
      </w:tblPr>
      <w:tr>
        <w:trPr>
          <w:trHeight w:val="172"/>
        </w:trPr>
        <w:tc>
          <w:tcPr>
            <w:tcW w:w="6320" w:type="dxa"/>
            <w:vAlign w:val="bottom"/>
          </w:tcPr>
          <w:p>
            <w:pPr>
              <w:spacing w:after="0"/>
              <w:rPr>
                <w:sz w:val="14"/>
                <w:szCs w:val="14"/>
                <w:color w:val="auto"/>
              </w:rPr>
            </w:pPr>
          </w:p>
        </w:tc>
        <w:tc>
          <w:tcPr>
            <w:tcW w:w="140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2003</w:t>
            </w:r>
          </w:p>
        </w:tc>
        <w:tc>
          <w:tcPr>
            <w:tcW w:w="12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2002</w:t>
            </w:r>
          </w:p>
        </w:tc>
      </w:tr>
      <w:tr>
        <w:trPr>
          <w:trHeight w:val="355"/>
        </w:trPr>
        <w:tc>
          <w:tcPr>
            <w:tcW w:w="632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 benefits for the financial statements</w:t>
            </w:r>
          </w:p>
        </w:tc>
        <w:tc>
          <w:tcPr>
            <w:tcW w:w="14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$ 1,460,758</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$ 1,200,859</w:t>
            </w: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Less:  Amounts allocated to withdrawing participants</w:t>
            </w:r>
          </w:p>
        </w:tc>
        <w:tc>
          <w:tcPr>
            <w:tcW w:w="14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(1,495)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(9,345)</w:t>
            </w:r>
          </w:p>
        </w:tc>
      </w:tr>
      <w:tr>
        <w:trPr>
          <w:trHeight w:val="177"/>
        </w:trPr>
        <w:tc>
          <w:tcPr>
            <w:tcW w:w="6320" w:type="dxa"/>
            <w:vAlign w:val="bottom"/>
          </w:tcPr>
          <w:p>
            <w:pPr>
              <w:spacing w:after="0"/>
              <w:rPr>
                <w:sz w:val="15"/>
                <w:szCs w:val="15"/>
                <w:color w:val="auto"/>
              </w:rPr>
            </w:pPr>
          </w:p>
        </w:tc>
        <w:tc>
          <w:tcPr>
            <w:tcW w:w="26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320" w:type="dxa"/>
            <w:vAlign w:val="bottom"/>
          </w:tcPr>
          <w:p>
            <w:pPr>
              <w:spacing w:after="0"/>
              <w:rPr>
                <w:sz w:val="20"/>
                <w:szCs w:val="20"/>
                <w:color w:val="auto"/>
              </w:rPr>
            </w:pPr>
            <w:r>
              <w:rPr>
                <w:rFonts w:ascii="Courier New" w:cs="Courier New" w:eastAsia="Courier New" w:hAnsi="Courier New"/>
                <w:sz w:val="15"/>
                <w:szCs w:val="15"/>
                <w:color w:val="auto"/>
              </w:rPr>
              <w:t>Net assets per the Form 5500</w:t>
            </w:r>
          </w:p>
        </w:tc>
        <w:tc>
          <w:tcPr>
            <w:tcW w:w="14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$ 1,459,263</w:t>
            </w:r>
          </w:p>
        </w:tc>
        <w:tc>
          <w:tcPr>
            <w:tcW w:w="1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$ 1,191,514</w:t>
            </w:r>
          </w:p>
        </w:tc>
      </w:tr>
      <w:tr>
        <w:trPr>
          <w:trHeight w:val="177"/>
        </w:trPr>
        <w:tc>
          <w:tcPr>
            <w:tcW w:w="6320" w:type="dxa"/>
            <w:vAlign w:val="bottom"/>
          </w:tcPr>
          <w:p>
            <w:pPr>
              <w:spacing w:after="0"/>
              <w:rPr>
                <w:sz w:val="15"/>
                <w:szCs w:val="15"/>
                <w:color w:val="auto"/>
              </w:rPr>
            </w:pPr>
          </w:p>
        </w:tc>
        <w:tc>
          <w:tcPr>
            <w:tcW w:w="26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45" w:right="2839"/>
        <w:spacing w:after="0" w:line="256" w:lineRule="auto"/>
        <w:rPr>
          <w:sz w:val="20"/>
          <w:szCs w:val="20"/>
          <w:color w:val="auto"/>
        </w:rPr>
      </w:pPr>
      <w:r>
        <w:rPr>
          <w:rFonts w:ascii="Courier New" w:cs="Courier New" w:eastAsia="Courier New" w:hAnsi="Courier New"/>
          <w:sz w:val="15"/>
          <w:szCs w:val="15"/>
          <w:color w:val="auto"/>
        </w:rPr>
        <w:t>The following is a reconciliation of benefits paid to participants per the financial statements to the Form 5500 for the year ended December 31, 2003: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545" w:type="dxa"/>
        <w:tblCellMar>
          <w:top w:w="0" w:type="dxa"/>
          <w:left w:w="0" w:type="dxa"/>
          <w:bottom w:w="0" w:type="dxa"/>
          <w:right w:w="0" w:type="dxa"/>
        </w:tblCellMar>
      </w:tblPr>
      <w:tr>
        <w:trPr>
          <w:trHeight w:val="172"/>
        </w:trPr>
        <w:tc>
          <w:tcPr>
            <w:tcW w:w="6880" w:type="dxa"/>
            <w:vAlign w:val="bottom"/>
            <w:gridSpan w:val="2"/>
          </w:tcPr>
          <w:p>
            <w:pPr>
              <w:spacing w:after="0"/>
              <w:rPr>
                <w:sz w:val="20"/>
                <w:szCs w:val="20"/>
                <w:color w:val="auto"/>
              </w:rPr>
            </w:pPr>
            <w:r>
              <w:rPr>
                <w:rFonts w:ascii="Courier New" w:cs="Courier New" w:eastAsia="Courier New" w:hAnsi="Courier New"/>
                <w:sz w:val="15"/>
                <w:szCs w:val="15"/>
                <w:color w:val="auto"/>
              </w:rPr>
              <w:t>Benefits paid to participants per the financial statements</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$ 124,699</w:t>
            </w:r>
          </w:p>
        </w:tc>
      </w:tr>
      <w:tr>
        <w:trPr>
          <w:trHeight w:val="177"/>
        </w:trPr>
        <w:tc>
          <w:tcPr>
            <w:tcW w:w="52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6360" w:type="dxa"/>
            <w:vAlign w:val="bottom"/>
          </w:tcPr>
          <w:p>
            <w:pPr>
              <w:ind w:left="40"/>
              <w:spacing w:after="0"/>
              <w:rPr>
                <w:sz w:val="20"/>
                <w:szCs w:val="20"/>
                <w:color w:val="auto"/>
              </w:rPr>
            </w:pPr>
            <w:r>
              <w:rPr>
                <w:rFonts w:ascii="Courier New" w:cs="Courier New" w:eastAsia="Courier New" w:hAnsi="Courier New"/>
                <w:sz w:val="15"/>
                <w:szCs w:val="15"/>
                <w:color w:val="auto"/>
              </w:rPr>
              <w:t>Amounts allocated to withdrawing participants at December 31, 2003</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1,495</w:t>
            </w:r>
          </w:p>
        </w:tc>
      </w:tr>
      <w:tr>
        <w:trPr>
          <w:trHeight w:val="177"/>
        </w:trPr>
        <w:tc>
          <w:tcPr>
            <w:tcW w:w="52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6360" w:type="dxa"/>
            <w:vAlign w:val="bottom"/>
          </w:tcPr>
          <w:p>
            <w:pPr>
              <w:ind w:left="140"/>
              <w:spacing w:after="0"/>
              <w:rPr>
                <w:sz w:val="20"/>
                <w:szCs w:val="20"/>
                <w:color w:val="auto"/>
              </w:rPr>
            </w:pPr>
            <w:r>
              <w:rPr>
                <w:rFonts w:ascii="Courier New" w:cs="Courier New" w:eastAsia="Courier New" w:hAnsi="Courier New"/>
                <w:sz w:val="15"/>
                <w:szCs w:val="15"/>
                <w:color w:val="auto"/>
              </w:rPr>
              <w:t>Amounts allocated to withdrawing participants at December 31, 2002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(9,345)</w:t>
            </w:r>
          </w:p>
        </w:tc>
      </w:tr>
      <w:tr>
        <w:trPr>
          <w:trHeight w:val="177"/>
        </w:trPr>
        <w:tc>
          <w:tcPr>
            <w:tcW w:w="5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6880" w:type="dxa"/>
            <w:vAlign w:val="bottom"/>
            <w:gridSpan w:val="2"/>
          </w:tcPr>
          <w:p>
            <w:pPr>
              <w:spacing w:after="0"/>
              <w:rPr>
                <w:sz w:val="20"/>
                <w:szCs w:val="20"/>
                <w:color w:val="auto"/>
              </w:rPr>
            </w:pPr>
            <w:r>
              <w:rPr>
                <w:rFonts w:ascii="Courier New" w:cs="Courier New" w:eastAsia="Courier New" w:hAnsi="Courier New"/>
                <w:sz w:val="15"/>
                <w:szCs w:val="15"/>
                <w:color w:val="auto"/>
              </w:rPr>
              <w:t>Benefits paid per the Form 5500</w:t>
            </w: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$ 116,849</w:t>
            </w:r>
          </w:p>
        </w:tc>
      </w:tr>
      <w:tr>
        <w:trPr>
          <w:trHeight w:val="177"/>
        </w:trPr>
        <w:tc>
          <w:tcPr>
            <w:tcW w:w="5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45" w:right="3579"/>
        <w:spacing w:after="0" w:line="252" w:lineRule="auto"/>
        <w:rPr>
          <w:sz w:val="20"/>
          <w:szCs w:val="20"/>
          <w:color w:val="auto"/>
        </w:rPr>
      </w:pPr>
      <w:r>
        <w:rPr>
          <w:rFonts w:ascii="Courier New" w:cs="Courier New" w:eastAsia="Courier New" w:hAnsi="Courier New"/>
          <w:sz w:val="15"/>
          <w:szCs w:val="15"/>
          <w:color w:val="auto"/>
        </w:rPr>
        <w:t>Amounts allocated to withdrawing participants are recorded on the Form 5500 for benefit claims that have been processed and approved for payment prior to December 31 but not yet paid as of that date.</w:t>
      </w:r>
    </w:p>
    <w:p>
      <w:pPr>
        <w:spacing w:after="0" w:line="35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5" w:top="65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NORTHROP GRUMMAN PEI RETIREMENT SAVINGS PLAN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5500 SCHEDULE H, PART IV, LINE 4i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OF ASSETS (HELD AT END OF YEAR)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40"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Description of Investment, Including</w:t>
      </w:r>
    </w:p>
    <w:p>
      <w:pPr>
        <w:spacing w:after="0" w:line="8" w:lineRule="exact"/>
        <w:rPr>
          <w:sz w:val="20"/>
          <w:szCs w:val="20"/>
          <w:color w:val="auto"/>
        </w:rPr>
      </w:pPr>
    </w:p>
    <w:p>
      <w:pPr>
        <w:ind w:left="180"/>
        <w:spacing w:after="0"/>
        <w:tabs>
          <w:tab w:leader="none" w:pos="4580" w:val="left"/>
          <w:tab w:leader="none" w:pos="10120" w:val="left"/>
        </w:tabs>
        <w:rPr>
          <w:sz w:val="20"/>
          <w:szCs w:val="20"/>
          <w:color w:val="auto"/>
        </w:rPr>
      </w:pPr>
      <w:r>
        <w:rPr>
          <w:rFonts w:ascii="Courier New" w:cs="Courier New" w:eastAsia="Courier New" w:hAnsi="Courier New"/>
          <w:sz w:val="15"/>
          <w:szCs w:val="15"/>
          <w:color w:val="auto"/>
        </w:rPr>
        <w:t>Identity of Issue, Borrower,</w:t>
      </w:r>
      <w:r>
        <w:rPr>
          <w:sz w:val="20"/>
          <w:szCs w:val="20"/>
          <w:color w:val="auto"/>
        </w:rPr>
        <w:tab/>
      </w:r>
      <w:r>
        <w:rPr>
          <w:rFonts w:ascii="Courier New" w:cs="Courier New" w:eastAsia="Courier New" w:hAnsi="Courier New"/>
          <w:sz w:val="15"/>
          <w:szCs w:val="15"/>
          <w:color w:val="auto"/>
        </w:rPr>
        <w:t>Maturity Date, Rate of Interest,</w:t>
      </w:r>
      <w:r>
        <w:rPr>
          <w:sz w:val="20"/>
          <w:szCs w:val="20"/>
          <w:color w:val="auto"/>
        </w:rPr>
        <w:tab/>
      </w:r>
      <w:r>
        <w:rPr>
          <w:rFonts w:ascii="Courier New" w:cs="Courier New" w:eastAsia="Courier New" w:hAnsi="Courier New"/>
          <w:sz w:val="15"/>
          <w:szCs w:val="15"/>
          <w:color w:val="auto"/>
        </w:rPr>
        <w:t>Current</w:t>
      </w:r>
    </w:p>
    <w:p>
      <w:pPr>
        <w:spacing w:after="0" w:line="8" w:lineRule="exact"/>
        <w:rPr>
          <w:sz w:val="20"/>
          <w:szCs w:val="20"/>
          <w:color w:val="auto"/>
        </w:rPr>
      </w:pPr>
    </w:p>
    <w:p>
      <w:pPr>
        <w:ind w:left="460"/>
        <w:spacing w:after="0"/>
        <w:tabs>
          <w:tab w:leader="none" w:pos="4500" w:val="left"/>
          <w:tab w:leader="none" w:pos="10220" w:val="left"/>
        </w:tabs>
        <w:rPr>
          <w:sz w:val="20"/>
          <w:szCs w:val="20"/>
          <w:color w:val="auto"/>
        </w:rPr>
      </w:pPr>
      <w:r>
        <w:rPr>
          <w:rFonts w:ascii="Courier New" w:cs="Courier New" w:eastAsia="Courier New" w:hAnsi="Courier New"/>
          <w:sz w:val="15"/>
          <w:szCs w:val="15"/>
          <w:color w:val="auto"/>
        </w:rPr>
        <w:t>Lessor or Similar Party</w:t>
      </w:r>
      <w:r>
        <w:rPr>
          <w:sz w:val="20"/>
          <w:szCs w:val="20"/>
          <w:color w:val="auto"/>
        </w:rPr>
        <w:tab/>
      </w:r>
      <w:r>
        <w:rPr>
          <w:rFonts w:ascii="Courier New" w:cs="Courier New" w:eastAsia="Courier New" w:hAnsi="Courier New"/>
          <w:sz w:val="15"/>
          <w:szCs w:val="15"/>
          <w:color w:val="auto"/>
        </w:rPr>
        <w:t>Collateral, Par or Maturity Value</w:t>
      </w:r>
      <w:r>
        <w:rPr>
          <w:sz w:val="20"/>
          <w:szCs w:val="20"/>
          <w:color w:val="auto"/>
        </w:rPr>
        <w:tab/>
      </w:r>
      <w:r>
        <w:rPr>
          <w:rFonts w:ascii="Courier New" w:cs="Courier New" w:eastAsia="Courier New" w:hAnsi="Courier New"/>
          <w:sz w:val="15"/>
          <w:szCs w:val="15"/>
          <w:color w:val="auto"/>
        </w:rPr>
        <w:t>Value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 Northrop Grumman Defined</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Participation</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in Northrop Grumman</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Defined Contribution</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$1,391,441</w:t>
            </w:r>
          </w:p>
        </w:tc>
      </w:tr>
      <w:tr>
        <w:trPr>
          <w:trHeight w:val="177"/>
        </w:trPr>
        <w:tc>
          <w:tcPr>
            <w:tcW w:w="140" w:type="dxa"/>
            <w:vAlign w:val="bottom"/>
          </w:tcPr>
          <w:p>
            <w:pPr>
              <w:spacing w:after="0"/>
              <w:rPr>
                <w:sz w:val="15"/>
                <w:szCs w:val="15"/>
                <w:color w:val="auto"/>
              </w:rPr>
            </w:pPr>
          </w:p>
        </w:tc>
        <w:tc>
          <w:tcPr>
            <w:tcW w:w="3220" w:type="dxa"/>
            <w:vAlign w:val="bottom"/>
          </w:tcPr>
          <w:p>
            <w:pPr>
              <w:ind w:left="220"/>
              <w:spacing w:after="0"/>
              <w:rPr>
                <w:sz w:val="20"/>
                <w:szCs w:val="20"/>
                <w:color w:val="auto"/>
              </w:rPr>
            </w:pPr>
            <w:r>
              <w:rPr>
                <w:rFonts w:ascii="Courier New" w:cs="Courier New" w:eastAsia="Courier New" w:hAnsi="Courier New"/>
                <w:sz w:val="15"/>
                <w:szCs w:val="15"/>
                <w:color w:val="auto"/>
              </w:rPr>
              <w:t>Contribution Plans MasterTrust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Plans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Master</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Trust</w:t>
            </w:r>
          </w:p>
        </w:tc>
        <w:tc>
          <w:tcPr>
            <w:tcW w:w="3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5"/>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State Street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14,598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rPr>
              <w:t>of Participation in</w:t>
            </w:r>
          </w:p>
        </w:tc>
        <w:tc>
          <w:tcPr>
            <w:tcW w:w="3240" w:type="dxa"/>
            <w:vAlign w:val="bottom"/>
          </w:tcPr>
          <w:p>
            <w:pPr>
              <w:ind w:left="60"/>
              <w:spacing w:after="0"/>
              <w:rPr>
                <w:sz w:val="20"/>
                <w:szCs w:val="20"/>
                <w:color w:val="auto"/>
              </w:rPr>
            </w:pPr>
            <w:r>
              <w:rPr>
                <w:rFonts w:ascii="Courier New" w:cs="Courier New" w:eastAsia="Courier New" w:hAnsi="Courier New"/>
                <w:sz w:val="15"/>
                <w:szCs w:val="15"/>
                <w:color w:val="auto"/>
              </w:rPr>
              <w:t>the Cash/STIF Accounts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14,598</w:t>
            </w:r>
          </w:p>
        </w:tc>
      </w:tr>
      <w:tr>
        <w:trPr>
          <w:trHeight w:val="355"/>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220" w:type="dxa"/>
            <w:vAlign w:val="bottom"/>
          </w:tcPr>
          <w:p>
            <w:pPr>
              <w:ind w:left="40"/>
              <w:spacing w:after="0"/>
              <w:rPr>
                <w:sz w:val="20"/>
                <w:szCs w:val="20"/>
                <w:color w:val="auto"/>
              </w:rPr>
            </w:pPr>
            <w:r>
              <w:rPr>
                <w:rFonts w:ascii="Courier New" w:cs="Courier New" w:eastAsia="Courier New" w:hAnsi="Courier New"/>
                <w:sz w:val="15"/>
                <w:szCs w:val="15"/>
                <w:color w:val="auto"/>
              </w:rPr>
              <w:t>Northrop Grumman</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285 Shares of</w:t>
            </w:r>
          </w:p>
        </w:tc>
        <w:tc>
          <w:tcPr>
            <w:tcW w:w="5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Northrop Grumman Corporation Common Corporate Stock</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27,246</w:t>
            </w:r>
          </w:p>
        </w:tc>
      </w:tr>
    </w:tbl>
    <w:p>
      <w:pPr>
        <w:spacing w:after="0" w:line="5" w:lineRule="exact"/>
        <w:rPr>
          <w:sz w:val="20"/>
          <w:szCs w:val="20"/>
          <w:color w:val="auto"/>
        </w:rPr>
      </w:pPr>
    </w:p>
    <w:p>
      <w:pPr>
        <w:ind w:left="102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10240"/>
        <w:spacing w:after="0"/>
        <w:rPr>
          <w:sz w:val="20"/>
          <w:szCs w:val="20"/>
          <w:color w:val="auto"/>
        </w:rPr>
      </w:pPr>
      <w:r>
        <w:rPr>
          <w:rFonts w:ascii="Courier New" w:cs="Courier New" w:eastAsia="Courier New" w:hAnsi="Courier New"/>
          <w:sz w:val="15"/>
          <w:szCs w:val="15"/>
          <w:color w:val="auto"/>
        </w:rPr>
        <w:t>$1,433,285</w:t>
      </w:r>
    </w:p>
    <w:p>
      <w:pPr>
        <w:spacing w:after="0" w:line="8" w:lineRule="exact"/>
        <w:rPr>
          <w:sz w:val="20"/>
          <w:szCs w:val="20"/>
          <w:color w:val="auto"/>
        </w:rPr>
      </w:pPr>
    </w:p>
    <w:p>
      <w:pPr>
        <w:ind w:left="1024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tab/>
        <w:t>Party-in-interest</w:t>
      </w:r>
    </w:p>
    <w:p>
      <w:pPr>
        <w:spacing w:after="0" w:line="36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520"/>
          </w:cols>
          <w:pgMar w:left="240" w:top="650" w:right="139" w:bottom="1440" w:gutter="0" w:footer="0" w:header="0"/>
        </w:sectPr>
      </w:pPr>
    </w:p>
    <w:bookmarkStart w:id="13" w:name="page14"/>
    <w:bookmarkEnd w:id="13"/>
    <w:p>
      <w:pPr>
        <w:jc w:val="right"/>
        <w:ind w:right="2839"/>
        <w:spacing w:after="0"/>
        <w:rPr>
          <w:sz w:val="20"/>
          <w:szCs w:val="20"/>
          <w:color w:val="auto"/>
        </w:rPr>
      </w:pPr>
      <w:r>
        <w:rPr>
          <w:rFonts w:ascii="Courier New" w:cs="Courier New" w:eastAsia="Courier New" w:hAnsi="Courier New"/>
          <w:sz w:val="15"/>
          <w:szCs w:val="15"/>
          <w:color w:val="auto"/>
        </w:rPr>
        <w:t>Exb. 23</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REGISTERED PUBLIC ACCOUNTING FIRM</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We consent to the incorporation by reference in Registration Statement (No. 333-03959) of Northrop Grumman Corporation on Form S-8 of our report dated June 25, 2004, appearing in this annual report on Form 11-K of the Northrop Grumman PEI Retirement Savings Plan for the year ended December 31, 2003.</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25, 2004</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1"/>
    </w:lvl>
  </w:abstractNum>
  <w:abstractNum w:abstractNumId="1">
    <w:nsid w:val="238E1F29"/>
    <w:multiLevelType w:val="hybridMultilevel"/>
    <w:lvl w:ilvl="0">
      <w:lvlJc w:val="left"/>
      <w:lvlText w:val="%1."/>
      <w:numFmt w:val="upperLetter"/>
      <w:start w:val="2"/>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upperLetter"/>
      <w:start w:val="2"/>
    </w:lvl>
  </w:abstractNum>
  <w:abstractNum w:abstractNumId="4">
    <w:nsid w:val="507ED7AB"/>
    <w:multiLevelType w:val="hybridMultilevel"/>
    <w:lvl w:ilvl="0">
      <w:lvlJc w:val="left"/>
      <w:lvlText w:val="%1."/>
      <w:numFmt w:val="upperLetter"/>
      <w:start w:val="3"/>
    </w:lvl>
  </w:abstractNum>
  <w:abstractNum w:abstractNumId="5">
    <w:nsid w:val="2EB141F2"/>
    <w:multiLevelType w:val="hybridMultilevel"/>
    <w:lvl w:ilvl="0">
      <w:lvlJc w:val="left"/>
      <w:lvlText w:val="%1."/>
      <w:numFmt w:val="upperLetter"/>
      <w:start w:val="4"/>
    </w:lvl>
  </w:abstractNum>
  <w:abstractNum w:abstractNumId="6">
    <w:nsid w:val="41B71EFB"/>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2019-12-12T02:23:03Z</dcterms:created>
  <dcterms:modified xsi:type="dcterms:W3CDTF">2019-12-12T02:23:03Z</dcterms:modified>
</cp:coreProperties>
</file>