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80010</wp:posOffset>
            </wp:positionV>
            <wp:extent cx="2314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19685</wp:posOffset>
            </wp:positionV>
            <wp:extent cx="2314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87" w:lineRule="exact"/>
        <w:rPr>
          <w:sz w:val="24"/>
          <w:szCs w:val="24"/>
          <w:color w:val="auto"/>
        </w:rPr>
      </w:pPr>
    </w:p>
    <w:p>
      <w:pPr>
        <w:ind w:left="2260" w:hanging="781"/>
        <w:spacing w:after="0"/>
        <w:tabs>
          <w:tab w:leader="none" w:pos="2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 the fiscal year ended December 31, 2023</w:t>
      </w: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42" w:lineRule="exact"/>
        <w:rPr>
          <w:sz w:val="24"/>
          <w:szCs w:val="24"/>
          <w:color w:val="auto"/>
        </w:rPr>
      </w:pPr>
    </w:p>
    <w:p>
      <w:pPr>
        <w:ind w:left="2260" w:hanging="781"/>
        <w:spacing w:after="0"/>
        <w:tabs>
          <w:tab w:leader="none" w:pos="2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9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For the transition period from _____ to _____</w:t>
      </w:r>
    </w:p>
    <w:p>
      <w:pPr>
        <w:jc w:val="center"/>
        <w:ind w:right="-59"/>
        <w:spacing w:after="0"/>
        <w:rPr>
          <w:sz w:val="20"/>
          <w:szCs w:val="20"/>
          <w:color w:val="auto"/>
        </w:rPr>
      </w:pPr>
      <w:r>
        <w:rPr>
          <w:rFonts w:ascii="Times New Roman" w:cs="Times New Roman" w:eastAsia="Times New Roman" w:hAnsi="Times New Roman"/>
          <w:sz w:val="16"/>
          <w:szCs w:val="16"/>
          <w:color w:val="auto"/>
        </w:rPr>
        <w:t>Commission file number 1-16411</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auto"/>
        </w:rPr>
        <w:t>NORTHROP GRUMMAN CORPORATION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0" w:type="dxa"/>
            <w:vAlign w:val="bottom"/>
          </w:tcPr>
          <w:p>
            <w:pPr>
              <w:jc w:val="right"/>
              <w:ind w:right="2059"/>
              <w:spacing w:after="0"/>
              <w:rPr>
                <w:sz w:val="20"/>
                <w:szCs w:val="20"/>
                <w:color w:val="auto"/>
              </w:rPr>
            </w:pPr>
            <w:r>
              <w:rPr>
                <w:rFonts w:ascii="Times New Roman" w:cs="Times New Roman" w:eastAsia="Times New Roman" w:hAnsi="Times New Roman"/>
                <w:sz w:val="16"/>
                <w:szCs w:val="16"/>
                <w:b w:val="1"/>
                <w:bCs w:val="1"/>
                <w:color w:val="auto"/>
              </w:rPr>
              <w:t>80-0640649</w:t>
            </w:r>
          </w:p>
        </w:tc>
      </w:tr>
      <w:tr>
        <w:trPr>
          <w:trHeight w:val="168"/>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360" w:type="dxa"/>
            <w:vAlign w:val="bottom"/>
            <w:gridSpan w:val="2"/>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800" w:type="dxa"/>
            <w:vAlign w:val="bottom"/>
          </w:tcPr>
          <w:p>
            <w:pPr>
              <w:jc w:val="center"/>
              <w:ind w:right="123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0" w:type="dxa"/>
            <w:vAlign w:val="bottom"/>
          </w:tcPr>
          <w:p>
            <w:pPr>
              <w:jc w:val="center"/>
              <w:ind w:right="117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70"/>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60" w:type="dxa"/>
            <w:vAlign w:val="bottom"/>
            <w:gridSpan w:val="2"/>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2980 Fairview Park Drive</w:t>
            </w:r>
          </w:p>
        </w:tc>
        <w:tc>
          <w:tcPr>
            <w:tcW w:w="3800" w:type="dxa"/>
            <w:vAlign w:val="bottom"/>
          </w:tcPr>
          <w:p>
            <w:pPr>
              <w:spacing w:after="0"/>
              <w:rPr>
                <w:sz w:val="23"/>
                <w:szCs w:val="23"/>
                <w:color w:val="auto"/>
              </w:rPr>
            </w:pP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Falls Church, Virginia</w:t>
            </w:r>
          </w:p>
        </w:tc>
        <w:tc>
          <w:tcPr>
            <w:tcW w:w="3800" w:type="dxa"/>
            <w:vAlign w:val="bottom"/>
          </w:tcPr>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22042</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2"/>
          </w:tcPr>
          <w:p>
            <w:pPr>
              <w:jc w:val="center"/>
              <w:ind w:right="26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80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(Zip code)</w:t>
            </w: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3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(703) 280-2900</w:t>
            </w:r>
          </w:p>
        </w:tc>
        <w:tc>
          <w:tcPr>
            <w:tcW w:w="3800" w:type="dxa"/>
            <w:vAlign w:val="bottom"/>
          </w:tcPr>
          <w:p>
            <w:pPr>
              <w:spacing w:after="0"/>
              <w:rPr>
                <w:sz w:val="19"/>
                <w:szCs w:val="19"/>
                <w:color w:val="auto"/>
              </w:rPr>
            </w:pPr>
          </w:p>
        </w:tc>
      </w:tr>
      <w:tr>
        <w:trPr>
          <w:trHeight w:val="139"/>
        </w:trPr>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160" w:type="dxa"/>
            <w:vAlign w:val="bottom"/>
            <w:gridSpan w:val="3"/>
          </w:tcPr>
          <w:p>
            <w:pPr>
              <w:jc w:val="center"/>
              <w:ind w:right="1159"/>
              <w:spacing w:after="0" w:line="139"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88"/>
        </w:trPr>
        <w:tc>
          <w:tcPr>
            <w:tcW w:w="7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0" w:type="dxa"/>
            <w:vAlign w:val="bottom"/>
          </w:tcPr>
          <w:p>
            <w:pPr>
              <w:spacing w:after="0"/>
              <w:rPr>
                <w:sz w:val="16"/>
                <w:szCs w:val="16"/>
                <w:color w:val="auto"/>
              </w:rPr>
            </w:pPr>
          </w:p>
        </w:tc>
      </w:tr>
      <w:tr>
        <w:trPr>
          <w:trHeight w:val="104"/>
        </w:trPr>
        <w:tc>
          <w:tcPr>
            <w:tcW w:w="4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r>
      <w:tr>
        <w:trPr>
          <w:trHeight w:val="207"/>
        </w:trPr>
        <w:tc>
          <w:tcPr>
            <w:tcW w:w="46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0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6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NOC</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u w:val="single" w:color="auto"/>
          <w:color w:val="auto"/>
        </w:rPr>
        <w:t>None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7"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43"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highlight w:val="black"/>
        </w:rPr>
        <w:t>☒</w:t>
      </w:r>
    </w:p>
    <w:p>
      <w:pPr>
        <w:spacing w:after="0" w:line="81"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968" w:right="399" w:bottom="1440" w:gutter="0" w:footer="0" w:header="0"/>
        </w:sectPr>
      </w:pP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tabs>
          <w:tab w:leader="none" w:pos="128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4"/>
          <w:szCs w:val="14"/>
          <w:color w:val="auto"/>
        </w:rPr>
        <w:t>☐</w:t>
      </w:r>
    </w:p>
    <w:p>
      <w:pPr>
        <w:spacing w:after="0" w:line="4"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1540" w:space="140"/>
            <w:col w:w="9500"/>
          </w:cols>
          <w:pgMar w:left="320" w:top="968" w:right="399" w:bottom="1440" w:gutter="0" w:footer="0" w:header="0"/>
          <w:type w:val="continuous"/>
        </w:sect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33" w:lineRule="exact"/>
        <w:rPr>
          <w:sz w:val="24"/>
          <w:szCs w:val="24"/>
          <w:color w:val="auto"/>
        </w:rPr>
      </w:pPr>
    </w:p>
    <w:p>
      <w:pPr>
        <w:ind w:right="60"/>
        <w:spacing w:after="0" w:line="17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9" w:lineRule="exact"/>
        <w:rPr>
          <w:sz w:val="24"/>
          <w:szCs w:val="24"/>
          <w:color w:val="auto"/>
        </w:rPr>
      </w:pPr>
    </w:p>
    <w:p>
      <w:pPr>
        <w:ind w:left="14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highlight w:val="black"/>
        </w:rPr>
        <w:t>☒</w:t>
      </w:r>
    </w:p>
    <w:p>
      <w:pPr>
        <w:spacing w:after="0" w:line="81"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As of June 30, 2023, the aggregate market value of the common stock (based upon the closing price of the stock on the New York Stock Exchange) of the registrant held by non-affiliates was approximately $68.9 billion.</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22, 2024, 150,035,705 shares of common stock were outstanding.</w:t>
      </w:r>
    </w:p>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 w:lineRule="exact"/>
        <w:rPr>
          <w:sz w:val="24"/>
          <w:szCs w:val="24"/>
          <w:color w:val="auto"/>
        </w:rPr>
      </w:pPr>
    </w:p>
    <w:p>
      <w:pPr>
        <w:ind w:right="700"/>
        <w:spacing w:after="0" w:line="278" w:lineRule="auto"/>
        <w:rPr>
          <w:sz w:val="20"/>
          <w:szCs w:val="20"/>
          <w:color w:val="auto"/>
        </w:rPr>
      </w:pPr>
      <w:r>
        <w:rPr>
          <w:rFonts w:ascii="Times New Roman" w:cs="Times New Roman" w:eastAsia="Times New Roman" w:hAnsi="Times New Roman"/>
          <w:sz w:val="14"/>
          <w:szCs w:val="14"/>
          <w:color w:val="auto"/>
        </w:rPr>
        <w:t>Portions of Northrop Grumman Corporation’s Proxy Statement to be filed with the Securities and Exchange Commission pursuant to Regulation 14A for the 2024 Annual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500" w:type="dxa"/>
            <w:vAlign w:val="bottom"/>
            <w:gridSpan w:val="1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NORTHROP GRUMMAN CORPORATION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11"/>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59"/>
        </w:trPr>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880" w:type="dxa"/>
            <w:vAlign w:val="bottom"/>
            <w:gridSpan w:val="2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886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9200" w:type="dxa"/>
            <w:vAlign w:val="bottom"/>
            <w:gridSpan w:val="3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0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61"/>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7"/>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38"/>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9140" w:type="dxa"/>
            <w:vAlign w:val="bottom"/>
            <w:gridSpan w:val="3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10"/>
        </w:trPr>
        <w:tc>
          <w:tcPr>
            <w:tcW w:w="96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Overview</w:t>
            </w:r>
          </w:p>
        </w:tc>
        <w:tc>
          <w:tcPr>
            <w:tcW w:w="5560" w:type="dxa"/>
            <w:vAlign w:val="bottom"/>
            <w:tcBorders>
              <w:top w:val="single" w:sz="8" w:color="0000FF"/>
            </w:tcBorders>
            <w:gridSpan w:val="30"/>
          </w:tcPr>
          <w:p>
            <w:pPr>
              <w:spacing w:after="0"/>
              <w:rPr>
                <w:sz w:val="18"/>
                <w:szCs w:val="18"/>
                <w:color w:val="auto"/>
              </w:rPr>
            </w:pPr>
          </w:p>
        </w:tc>
        <w:tc>
          <w:tcPr>
            <w:tcW w:w="3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Operating Results</w:t>
            </w:r>
          </w:p>
        </w:tc>
        <w:tc>
          <w:tcPr>
            <w:tcW w:w="750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Segment Operating Results</w:t>
            </w:r>
          </w:p>
        </w:tc>
        <w:tc>
          <w:tcPr>
            <w:tcW w:w="784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Backlog</w:t>
            </w:r>
          </w:p>
        </w:tc>
        <w:tc>
          <w:tcPr>
            <w:tcW w:w="770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Critical Accounting Policies and Estimates</w:t>
            </w:r>
          </w:p>
        </w:tc>
        <w:tc>
          <w:tcPr>
            <w:tcW w:w="672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94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5"/>
          </w:tcPr>
          <w:p>
            <w:pPr>
              <w:spacing w:after="0"/>
              <w:rPr>
                <w:sz w:val="18"/>
                <w:szCs w:val="18"/>
                <w:color w:val="auto"/>
              </w:rPr>
            </w:pPr>
          </w:p>
        </w:tc>
        <w:tc>
          <w:tcPr>
            <w:tcW w:w="55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Consolidated Statements of Earnings and Comprehensive Income</w:t>
            </w:r>
          </w:p>
        </w:tc>
        <w:tc>
          <w:tcPr>
            <w:tcW w:w="508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w:t>
            </w:r>
          </w:p>
        </w:tc>
        <w:tc>
          <w:tcPr>
            <w:tcW w:w="648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94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7"/>
          </w:tcPr>
          <w:p>
            <w:pPr>
              <w:spacing w:after="0"/>
              <w:rPr>
                <w:sz w:val="18"/>
                <w:szCs w:val="18"/>
                <w:color w:val="auto"/>
              </w:rPr>
            </w:pPr>
          </w:p>
        </w:tc>
        <w:tc>
          <w:tcPr>
            <w:tcW w:w="54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1. Summary of Significant Accounting Policies</w:t>
            </w:r>
          </w:p>
        </w:tc>
        <w:tc>
          <w:tcPr>
            <w:tcW w:w="62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2. Dispositions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3. Earnings Per Share, Share Repurchases and Dividends on Common Stock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4. Accounts Receivable, Net</w:t>
            </w:r>
          </w:p>
        </w:tc>
        <w:tc>
          <w:tcPr>
            <w:tcW w:w="41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5. Unbilled Receivables, Net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6. Inventoried Costs, Net</w:t>
            </w:r>
          </w:p>
        </w:tc>
        <w:tc>
          <w:tcPr>
            <w:tcW w:w="260" w:type="dxa"/>
            <w:vAlign w:val="bottom"/>
            <w:tcBorders>
              <w:top w:val="single" w:sz="8" w:color="0000FF"/>
            </w:tcBorders>
            <w:gridSpan w:val="3"/>
          </w:tcPr>
          <w:p>
            <w:pPr>
              <w:spacing w:after="0"/>
              <w:rPr>
                <w:sz w:val="18"/>
                <w:szCs w:val="18"/>
                <w:color w:val="auto"/>
              </w:rPr>
            </w:pPr>
          </w:p>
        </w:tc>
        <w:tc>
          <w:tcPr>
            <w:tcW w:w="754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7. Income Taxes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8. Goodwill and Other Purchased Intangible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9. Fair Value of Financial Instruments</w:t>
            </w:r>
          </w:p>
        </w:tc>
        <w:tc>
          <w:tcPr>
            <w:tcW w:w="960" w:type="dxa"/>
            <w:vAlign w:val="bottom"/>
            <w:tcBorders>
              <w:top w:val="single" w:sz="8" w:color="0000FF"/>
            </w:tcBorders>
            <w:gridSpan w:val="7"/>
          </w:tcPr>
          <w:p>
            <w:pPr>
              <w:spacing w:after="0"/>
              <w:rPr>
                <w:sz w:val="18"/>
                <w:szCs w:val="18"/>
                <w:color w:val="auto"/>
              </w:rPr>
            </w:pPr>
          </w:p>
        </w:tc>
        <w:tc>
          <w:tcPr>
            <w:tcW w:w="59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10. Debt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11. 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12. Commitments and Contingencies</w:t>
            </w:r>
          </w:p>
        </w:tc>
        <w:tc>
          <w:tcPr>
            <w:tcW w:w="260" w:type="dxa"/>
            <w:vAlign w:val="bottom"/>
            <w:tcBorders>
              <w:top w:val="single" w:sz="8" w:color="0000FF"/>
            </w:tcBorders>
            <w:gridSpan w:val="3"/>
          </w:tcPr>
          <w:p>
            <w:pPr>
              <w:spacing w:after="0"/>
              <w:rPr>
                <w:sz w:val="18"/>
                <w:szCs w:val="18"/>
                <w:color w:val="auto"/>
              </w:rPr>
            </w:pPr>
          </w:p>
        </w:tc>
        <w:tc>
          <w:tcPr>
            <w:tcW w:w="668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13. 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right w:val="single" w:sz="8" w:color="0000FF"/>
            </w:tcBorders>
            <w:gridSpan w:val="7"/>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400" w:type="dxa"/>
            <w:vAlign w:val="bottom"/>
            <w:gridSpan w:val="21"/>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14. Stock Compensation Plans and Other Compensation Arrangements</w:t>
            </w:r>
          </w:p>
        </w:tc>
        <w:tc>
          <w:tcPr>
            <w:tcW w:w="450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15. Leases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16. Segment Information</w:t>
            </w:r>
          </w:p>
        </w:tc>
        <w:tc>
          <w:tcPr>
            <w:tcW w:w="7800" w:type="dxa"/>
            <w:vAlign w:val="bottom"/>
            <w:gridSpan w:val="10"/>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tcBorders>
              <w:top w:val="single" w:sz="8" w:color="0000FF"/>
            </w:tcBorders>
            <w:gridSpan w:val="8"/>
          </w:tcPr>
          <w:p>
            <w:pPr>
              <w:spacing w:after="0"/>
              <w:rPr>
                <w:sz w:val="18"/>
                <w:szCs w:val="18"/>
                <w:color w:val="auto"/>
              </w:rPr>
            </w:pPr>
          </w:p>
        </w:tc>
        <w:tc>
          <w:tcPr>
            <w:tcW w:w="346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20" w:type="dxa"/>
            <w:vAlign w:val="bottom"/>
            <w:gridSpan w:val="13"/>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09"/>
        </w:trPr>
        <w:tc>
          <w:tcPr>
            <w:tcW w:w="960" w:type="dxa"/>
            <w:vAlign w:val="bottom"/>
          </w:tcPr>
          <w:p>
            <w:pPr>
              <w:spacing w:after="0"/>
              <w:rPr>
                <w:sz w:val="18"/>
                <w:szCs w:val="18"/>
                <w:color w:val="auto"/>
              </w:rPr>
            </w:pPr>
          </w:p>
        </w:tc>
        <w:tc>
          <w:tcPr>
            <w:tcW w:w="9940" w:type="dxa"/>
            <w:vAlign w:val="bottom"/>
            <w:gridSpan w:val="17"/>
          </w:tcPr>
          <w:p>
            <w:pPr>
              <w:ind w:left="120"/>
              <w:spacing w:after="0"/>
              <w:rPr>
                <w:sz w:val="20"/>
                <w:szCs w:val="20"/>
                <w:color w:val="auto"/>
              </w:rPr>
            </w:pPr>
            <w:r>
              <w:rPr>
                <w:rFonts w:ascii="Times New Roman" w:cs="Times New Roman" w:eastAsia="Times New Roman" w:hAnsi="Times New Roman"/>
                <w:sz w:val="18"/>
                <w:szCs w:val="18"/>
                <w:color w:val="0000FF"/>
              </w:rPr>
              <w:t>Certain Trading Agreements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3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61"/>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40" w:type="dxa"/>
            <w:vAlign w:val="bottom"/>
            <w:gridSpan w:val="7"/>
          </w:tcPr>
          <w:p>
            <w:pPr>
              <w:spacing w:after="0"/>
              <w:rPr>
                <w:sz w:val="16"/>
                <w:szCs w:val="16"/>
                <w:color w:val="auto"/>
              </w:rPr>
            </w:pPr>
          </w:p>
        </w:tc>
        <w:tc>
          <w:tcPr>
            <w:tcW w:w="12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92</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6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48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r>
      <w:tr>
        <w:trPr>
          <w:trHeight w:val="461"/>
        </w:trPr>
        <w:tc>
          <w:tcPr>
            <w:tcW w:w="9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94</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gridSpan w:val="4"/>
          </w:tcPr>
          <w:p>
            <w:pPr>
              <w:spacing w:after="0"/>
              <w:rPr>
                <w:sz w:val="18"/>
                <w:szCs w:val="18"/>
                <w:color w:val="auto"/>
              </w:rPr>
            </w:pPr>
          </w:p>
        </w:tc>
        <w:tc>
          <w:tcPr>
            <w:tcW w:w="7040" w:type="dxa"/>
            <w:vAlign w:val="bottom"/>
            <w:gridSpan w:val="8"/>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380" w:type="dxa"/>
            <w:vAlign w:val="bottom"/>
            <w:gridSpan w:val="1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r>
      <w:tr>
        <w:trPr>
          <w:trHeight w:val="20"/>
        </w:trPr>
        <w:tc>
          <w:tcPr>
            <w:tcW w:w="9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ORGANIZATION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 For a discussion of risks associated with our operations,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The company originally was formed in 1939 in Hawthorne, California as Northrop Aircraft Incorporated and was reincorporated in Delaware in 1985, as Northrop Corporation. Northrop Corporation was a principal developer of flying wing technology, including the B-2 Spirit stealth aircraft. We developed into one of the largest defense technology companies in the world through a series of acquisitions, as well as organic growth, including the following:</w:t>
      </w:r>
    </w:p>
    <w:p>
      <w:pPr>
        <w:spacing w:after="0" w:line="36" w:lineRule="exact"/>
        <w:rPr>
          <w:sz w:val="20"/>
          <w:szCs w:val="20"/>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1994 - Acquired Grumman Corporation, a premier military aircraft systems integrator. The combined company was renamed Northrop Grumman Corporation;</w:t>
      </w:r>
    </w:p>
    <w:p>
      <w:pPr>
        <w:spacing w:after="0" w:line="26"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1996 - Acquired the defense and electronics businesses of Westinghouse Electric Corporation, developer of sophisticated radar and other electronics systems;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Litton Industries, Inc., a global electronics and information technology company and full service shipbuilder;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2001 - Acquired Newport News Shipbuilding Inc., designer and builder of nuclear-powered aircraft carriers and submarines;</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2002 - Acquired TRW Inc., developer of military and civil space systems and payloads, and integrator of complex, mission-enabling systems and services;</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2011 - Completed the spin-off of Huntington Ingalls Industries, Inc., operator of our former shipbuilding business, comprised largely of a part of Litton Industries and Newport News Shipbuilding;</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 Acquired Orbital ATK, Inc. (OATK), developer and producer of satellites and other space systems, launch vehicles and missile products;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 Completed the sale of our IT and mission support services business (the “IT services divestiture”) to Veritas Capital.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acquire or dispose of businesses and realign contracts, programs or businesses among and within our operating segments. Internal realignments are typically designed to leverage existing capabilities more fully and to enhance efficient development and delivery of products and services. At December 31, 2023, the company was aligned in four operating sectors, which also comprise our reportable segments: Aeronautics Systems, Defense Systems, Mission Systems and Space Systems.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military aircraft systems for the U.S. Air Force, the U.S. Navy, other U.S. government agencies, and international customers. Major products include strategic long-range strike aircraft; tactical fighter and air dominance aircraft; airborne battle management and command and control systems; and unmanned autonomous aircraft systems, including high-altitude long-endurance (HALE) strategic intelligence, surveillance and reconnaissance (ISR)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1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systems and vertical take-off and landing (VTOL) tactical ISR systems. Approximately 45 percent of this business is performed through restricted programs. Key programs include:</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the U.S. Air Force B-21 Raider long-range strike aircraft that defines sixth-generation technologies;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and sustainment services for the B-2 Spirit stealth aircraft;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Fuselage production for the F/A-18 Super Hornet and the F-35 Lighting II Joint Strike Fighter for use by U.S. and international forces;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E-2D Advanced Hawkeye battle management aircraft production for the U.S. Navy, Japan, and France;</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MQ-4C Triton, which provides wide area strategic ISR over vast ocean and coastal regions for maritime domain awareness to the U.S. Navy and Australia;</w:t>
      </w:r>
    </w:p>
    <w:p>
      <w:pPr>
        <w:spacing w:after="0" w:line="4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RQ-4 Global Hawk, which provides high resolution imagery of land masses for theater awareness and strategic ISR to the U.S. Air Force, Japan, and the Republic of Korea;</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Atlantic Treaty Organization (NATO) Alliance Ground Surveillance (AGS), a Global Hawk variant, for strategic ISR missions conducted in multinational theater operations;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MQ-8C Fire Scout, ship-based, VTOL tactical ISR systems that provide situational awareness and precision targeting for the U.S. Navy.</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DEFENSE SYSTEMS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Defense Systems is a leader in the design, development, integration and production of advanced tactical weapons and missile defense solutions, and a provider of sustainment, modernization and training services for manned and unmanned aircraft and electronics systems for the U.S. military and a broad range of international customers. Major products and services include integrated, all-domain command and control (C2) battle management systems, precision strike weapons; advanced propulsion, including high speed air-breathing and hypersonic systems; high-performance gun systems, ammunition, precision munitions and advanced fuzes; aircraft and mission systems logistics support, sustainment, operations and modernization; and warfighter training. Less than 5 percent of this business is performed through restricted programs. Key programs include:</w:t>
      </w:r>
    </w:p>
    <w:p>
      <w:pPr>
        <w:spacing w:after="0" w:line="66" w:lineRule="exact"/>
        <w:rPr>
          <w:sz w:val="20"/>
          <w:szCs w:val="20"/>
          <w:color w:val="auto"/>
        </w:rPr>
      </w:pPr>
    </w:p>
    <w:p>
      <w:pPr>
        <w:ind w:left="660" w:right="4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Air and Missile Defense Battle Command System (IBCS) for the U.S. Army and Poland, which is an open architecture system that seamlessly integrates sensors and effectors to deliver among the most advanced C2 systems for joint and coalition forces;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(30mm and 20mm) and Large (120mm) caliber tactical and training ammunition production;</w:t>
      </w:r>
    </w:p>
    <w:p>
      <w:pPr>
        <w:spacing w:after="0" w:line="9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Multiple Launch Rocket System (GMLRS) propulsion and warhead subsystems for a surface-to-surface system used to defeat targets using indirect precision fires;</w:t>
      </w:r>
    </w:p>
    <w:p>
      <w:pPr>
        <w:spacing w:after="0" w:line="40"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Navy’s Advanced Anti-Radiation Guided Missile (AARGM), a medium-range, air-to-surface missile, and its extended range variant, AARGM-ER;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Air Force’s Stand-In Attack Weapon (SiAW), an advanced capability air-to-surface tactical missile for the F-35;</w:t>
      </w:r>
    </w:p>
    <w:p>
      <w:pPr>
        <w:spacing w:after="0" w:line="9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Hypersonic Attack Cruise Missile (HACM) air-breathing, scramjet propulsion subsystem for the hypersonic air-launched cruise missile to travel at speeds of Mach 5 or greater;</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system sustainment and operations support for the F-35, B-2, P-3 Orion, E-6B Mercury, KC-30A multi-role tanker, C-27J transport, NATO AGS, Triton and restricted programs;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Guidance Kit (PGK), replaces conventional fuzes for artillery and mortar munitions and transforms them into Global Positioning System enabled precision guided weapons;</w:t>
      </w:r>
    </w:p>
    <w:p>
      <w:pPr>
        <w:spacing w:after="0" w:line="26"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Area Air Defense Command and Control (FAAD C2), the Army’s long-standing program of record for short range air defense and Counter Rocket, Artillery and Mortar (C-RAM), as well as the interim C2 for Counter Unmanned Aircraft Systems (C-UAS);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AAQ-24 sensor sustainment and repair for U.S. military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Electronics Mission Aircraft (SEMA) ISR support;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Distributed Mission Operations Network (DMON), a live, virtual, constructive, and synthetic simulation program for global training and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94"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command, control, communications and computers, intelligence, surveillance and reconnaissance (C4ISR) systems; radar, electro-optical/infrared (EO/IR) and acoustic sensors; electronic warfare systems; advanced communications and network systems; full spectrum cyber solutions; intelligence processing systems; advanced microelectronics; navigation and positioning sensors; and maritime power, propulsion and payload launch systems. Approximately 30 percent of this business is performed through restricted programs. Key unrestricted programs include:</w:t>
      </w:r>
    </w:p>
    <w:p>
      <w:pPr>
        <w:spacing w:after="0" w:line="7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Agile Beam Radar (SABR), an active electronically scanned array fire control radar system for F-16 aircraft;</w:t>
      </w:r>
    </w:p>
    <w:p>
      <w:pPr>
        <w:spacing w:after="0" w:line="10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fire control radar and Distributed Aperture System (DAS), which provides 360 degree field of view tracking, identifying, missile warning and night vision capabilities;</w:t>
      </w:r>
    </w:p>
    <w:p>
      <w:pPr>
        <w:spacing w:after="0" w:line="26" w:lineRule="exact"/>
        <w:rPr>
          <w:rFonts w:ascii="Times New Roman" w:cs="Times New Roman" w:eastAsia="Times New Roman" w:hAnsi="Times New Roman"/>
          <w:sz w:val="18"/>
          <w:szCs w:val="18"/>
          <w:color w:val="auto"/>
        </w:rPr>
      </w:pPr>
    </w:p>
    <w:p>
      <w:pPr>
        <w:ind w:left="660" w:right="10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F-35 Communications, Navigation and Identification (CNI) integrated avionics system, which provides secure communications and interoperability capabilities;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Ground/Air Task Oriented Radar (G/ATOR), a mobile multi-mode active electronically scanned array;</w:t>
      </w:r>
    </w:p>
    <w:p>
      <w:pPr>
        <w:spacing w:after="0" w:line="90"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Electronic Warfare Improvement Program (SEWIP) Block III, which protects surface ships from anti-ship missiles, provides early detection, signal analysis and threat warning;</w:t>
      </w:r>
    </w:p>
    <w:p>
      <w:pPr>
        <w:spacing w:after="0" w:line="4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Airborne Early Warning &amp; Control (AEW&amp;C). The centerpiece of the E-7 AEW&amp;C aircraft is the Multi-role Electronically Scanned Array (MESA) radar which enables 360 degree long range advanced air moving target indicator (AMTI) capabilities for Battle Management, Command and Control, and Maritime Surveillance;</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Aircraft and Common Infrared Countermeasures (LAIRCM, DoN LAIRCM, CIRCM) systems, which protect large aircraft as well as rotary wing and medium fixed wing aircraft from infrared missiles using advanced laser technology;</w:t>
      </w:r>
    </w:p>
    <w:p>
      <w:pPr>
        <w:spacing w:after="0" w:line="26"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Battlefield Airborne Communications Node (BACN), one of the first airborne gateway systems that allows platforms to communicate and securely share data;</w:t>
      </w:r>
    </w:p>
    <w:p>
      <w:pPr>
        <w:spacing w:after="0" w:line="40"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DDG Modernization, which is comprised of several subsystems to support modernization of Arleigh Burke-class guided missile destroyers including Integrated Bridge and Navigation Systems (IBNS) and ship control systems;</w:t>
      </w:r>
    </w:p>
    <w:p>
      <w:pPr>
        <w:spacing w:after="0" w:line="4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LITENING Advanced Targeting Pod, an electro-optical infrared sensor system for targeting and surveillance that enables aircrews to detect, acquire, identify and track targets at long ranges;</w:t>
      </w:r>
    </w:p>
    <w:p>
      <w:pPr>
        <w:spacing w:after="0" w:line="2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APR-39 DV(2) and EV(2) Radar Warning Receiver programs, which provide a digital radar warning receiver for the U.S. Army, Navy and Marines;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Exploitation and cyber programs, which provide cyber and intelligence domain support through unique intelligence and cyber capabilities;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 130J Radio Frequency Countermeasures system, which provides superior situational awareness and better enables aircraft survivability in operationally relevant environments;</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Global Positioning System (GPS) / Inertial Navigation Systems-Modernization (EGI-M) program, which provides state-of-the-art airborne navigation capabilities with an open architecture that enables rapid responses to future threats; and</w:t>
      </w:r>
    </w:p>
    <w:p>
      <w:pPr>
        <w:spacing w:after="0" w:line="40"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UH-60V Black Hawk integrated mission equipment package, which modernizes the U.S. Army’s Black Hawk helicopters with a glass cockpit, including an integrated computational system, visual display system and control display units, extending the life and mission capabilities of the UH-60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launch and strategic missile systems for national security, civil government, commercial and international customers. Major products include satellites and spacecraft systems, subsystems, sensors and payloads; ground systems; missile defense systems and interceptors; launch vehicles and related propulsion systems; and strategic missiles. Approximately 35 percent of this business is performed through restricted programs. Key unrestricted programs include:</w:t>
      </w:r>
    </w:p>
    <w:p>
      <w:pPr>
        <w:spacing w:after="0" w:line="4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Based Strategic Deterrent (GBSD) Engineering &amp; Manufacturing Development (EMD) program;</w:t>
      </w:r>
    </w:p>
    <w:p>
      <w:pPr>
        <w:spacing w:after="0" w:line="10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Missile defense systems, interceptors, targets, mission processing and boosters for the Missile Defense Agency's (MDA) Next-Generation Interceptor (NGI) and Ground-based Midcourse Defense Weapon Systems (GWS);</w:t>
      </w:r>
    </w:p>
    <w:p>
      <w:pPr>
        <w:spacing w:after="0" w:line="4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Development Agency Tracking and Transport layers providing missile warning/tracking and resilient, low-latency, high-volume data transport communication systems;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Overhead Persistent Infrared (Next Gen OPIR) program satellites and payloads providing data for missile defense;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production of solid rocket motors for NASA’s Space Launch System (SLS) heavy lift vehicle;</w:t>
      </w:r>
    </w:p>
    <w:p>
      <w:pPr>
        <w:spacing w:after="0" w:line="10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63-inch diameter Graphite Epoxy Motor (GEM 63) and the extended length variation (GEM 63XL) solid rocket boosters used to provide lift capability for the ATLAS V and Vulcan launch vehicles;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Medium-class solid rocket motors for the U.S. Navy's Trident II Fleet Ballistic Missile program;</w:t>
      </w:r>
    </w:p>
    <w:p>
      <w:pPr>
        <w:spacing w:after="0" w:line="103" w:lineRule="exact"/>
        <w:rPr>
          <w:rFonts w:ascii="Times New Roman" w:cs="Times New Roman" w:eastAsia="Times New Roman" w:hAnsi="Times New Roman"/>
          <w:sz w:val="18"/>
          <w:szCs w:val="18"/>
          <w:color w:val="auto"/>
        </w:rPr>
      </w:pPr>
    </w:p>
    <w:p>
      <w:pPr>
        <w:ind w:left="660" w:right="11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Evolved Strategic SATCOM (ESS) and Protected Tactical SATCOM (PTS) satellites and payloads providing survivable, protected communications to U.S. forces;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Intercontinental Ballistic Missile (ICBM) Ground Subsystem Support Contract (GSSC);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Cygnus spacecraft, used in the execution of our Commercial Resupply Services (CRS) contracts with NASA;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Habitation and Logistics Outpost (HALO) module in support of NASA’s Gateway;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Webb Space Telescope (JWST) operations and sustainment contract.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largest customer is the U.S. government. Sales to the U.S. government accounted for 86 percent, 86 percent and 85 percent of sales during the years ended December 31, 2023, 2022 and 2021, respectively. For further information on sales by customer type, contract type and geographic region, see Note 16 to the consolidated financial statements. See “Risk Factors” for further discussion regarding risks related to customer concentration.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compete with many companies in the defense, intelligence and federal civil markets. The Boeing Company, General Dynamics, L3Harris Technologies, Lockheed Martin, and RTX are some of our primary competitors. Key characteristics of our industry include long operating cycles and intense competition, which is evident through the number of competitors bidding on program opportunities and the number of competitor protests of U.S. government procurement awards.</w:t>
      </w:r>
    </w:p>
    <w:p>
      <w:pPr>
        <w:spacing w:after="0" w:line="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It is common in the defense industry for work on major programs to be shared among a number of companies.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portion of our business is considered to be seasonal.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December 31, 2023, total backlog, which is equivalent to the company’s remaining performance obligations, was $84.2 billion as compared with $78.7 billion at December 31, 2022. For further information, see “Backlog” 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100"/>
        <w:spacing w:after="0" w:line="352"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(MD&amp;A) and Note 1 to the consolidated financial statements. </w:t>
      </w:r>
      <w:r>
        <w:rPr>
          <w:rFonts w:ascii="Times New Roman" w:cs="Times New Roman" w:eastAsia="Times New Roman" w:hAnsi="Times New Roman"/>
          <w:sz w:val="18"/>
          <w:szCs w:val="18"/>
          <w:b w:val="1"/>
          <w:bCs w:val="1"/>
          <w:color w:val="auto"/>
        </w:rPr>
        <w:t>INTELLECTUAL PROPERTY</w:t>
      </w:r>
    </w:p>
    <w:p>
      <w:pPr>
        <w:ind w:right="300"/>
        <w:spacing w:after="0" w:line="258" w:lineRule="auto"/>
        <w:rPr>
          <w:sz w:val="20"/>
          <w:szCs w:val="20"/>
          <w:color w:val="auto"/>
        </w:rPr>
      </w:pPr>
      <w:r>
        <w:rPr>
          <w:rFonts w:ascii="Times New Roman" w:cs="Times New Roman" w:eastAsia="Times New Roman" w:hAnsi="Times New Roman"/>
          <w:sz w:val="18"/>
          <w:szCs w:val="18"/>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experienced challenges with access to certain raw materials due to macroeconomic factors and several global events such as inflation, geopolitical conflicts and microelectronics shortages. In some cases, these challenges have significantly increased the cost and/or lead time required to obtain certain raw materials. Nonetheless, these challenges have not to date materially impacted our ability to perform on our contracts. See “Risk Factors” for further discussion regarding risks related to raw materials.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Fostering a culture that offers employees opportunities to live our values, deliver for our customers, and act responsibly and sustainably is central to our diverse and talented workforce. Our culture and values enable us to continue attracting qualified talent, particularly those with security clearances and requisite skills in multiple areas, including science, technology, engineering and math. This focus on our culture and workforce was a factor in our ability to hire approximately 14,500 new employees in 2023, and as of December 31, 2023, we have approximately 101,000 employees.</w:t>
      </w:r>
    </w:p>
    <w:p>
      <w:pPr>
        <w:spacing w:after="0" w:line="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human capital strategy is available in our Environmental, Social, and Governance (ESG) Report, which can be found on our company website. Information on our website, including our ESG Report, is not incorporated by reference into this Annual Report.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 and Culture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values reflect our priorities and form the bedrock of our culture:</w:t>
      </w:r>
    </w:p>
    <w:p>
      <w:pPr>
        <w:spacing w:after="0" w:line="85" w:lineRule="exact"/>
        <w:rPr>
          <w:sz w:val="20"/>
          <w:szCs w:val="20"/>
          <w:color w:val="auto"/>
        </w:rPr>
      </w:pPr>
    </w:p>
    <w:p>
      <w:pPr>
        <w:ind w:left="660" w:right="2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the right thing – we earn trust, act with ethics, integrity and transparency, treat everyone with respect, value diversity and foster safe and inclusive environments.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what we promise – we own the delivery of results, focused on quality.</w:t>
      </w:r>
    </w:p>
    <w:p>
      <w:pPr>
        <w:spacing w:after="0" w:line="90"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commit to shared success – we work together to focus on the mission and take accountability for the sustainable success of our people, customers, shareholders, suppliers and communities.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pioneer – with fierce curiosity, dedication and innovation, we seek to solve the world’s most challenging problems.</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our culture and values are vital to the ongoing success of the company, including our ability to attract and retain a talented and diverse workforce. Our values are also integral to our commitment to long-term sustainability, with robust ESG practices across our company. The company has a Standards of Business Conduct program. Our employees are empowered to raise concerns without fear of reprisal. In addition to full-time ethics professionals, we also have over 150 business conduct advisors who promote values and an ethical culture within the company.</w:t>
      </w:r>
    </w:p>
    <w:p>
      <w:pPr>
        <w:spacing w:after="0" w:line="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annual Employee Experience Survey gives employees a voice and a mechanism to provide feedback on our culture and empower our leaders to enhance the employee experience. This anonymous survey encourages employee candor on key engagement and inclusion drivers, including belonging, respect, a sense of personal work accomplishment and recommending the company to others. In 2023, 81 percent of employees responded to the survey, an indication that our employees believe their feedback matters, and our survey results exceeded many of the global norms of our third party vendor for both engagement and inclusion. Our leaders review the survey responses and work collaboratively with their teams to take meaningful actions based on survey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value diversity and belonging in its broadest sense, as an enabling force that helps us pioneer, perform and deliver on quality, which results in value for our shareholders, customers, and employees. Across our U.S. employee population, as of December 31, 2023, 25 percent are female, 38 percent are people of color, 18 percent are veterans and 8 percent are persons with disabilities. At the vice president level, 35 percent are female and 20 percent are people of color. We strive to reach all parts of the diverse talent pools available now and in the future because we recognize that we benefit from having coworkers with different ideas, perspectives and approaches to help us innovate.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w:t>
      </w:r>
    </w:p>
    <w:p>
      <w:pPr>
        <w:spacing w:after="0" w:line="29"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Northrop Grumman’s talent strategy is focused on four key pillars: broadening talent pools; enhancing the employee experience; building leaders of the future; and enabling new ways of working. Our strategy addresses the external and internal landscape and ensures that we are able to attract, retain and develop the workforce necessary to support the continued success of the business.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hold regular talent review discussions to ensure line of sight to talent at various levels of the organization. Succession plans are refreshed and reviewed to ensure a robust, diverse pipeline of talent and business continuity with a tight linkage to development. We focus on accelerating learning and development of our leaders by providing a combination of experiences, exposure and education.</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employee development programs strengthen employee skills aligned to our current and future business needs through on-the-job development, knowledge sharing and tools to support career growth. Employees utilize curated, career-specific resources such as My Learning Experience, a machine learning enabled content aggregator that creates a personalized learning experience for each employee. Our Education Assistance Program subsidizes tuition and other educational institution fees to support development through job-related degrees and certificates. Our early-in-career rotation program, Pathways, develops talent pipelines with both depth of critical skills and breadth of experiences. Our technical cohort programs cultivate technical, domain expertise and collaborative thought leadership for early through advanced career levels.</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 rapidly changing world, we maintain focus on keeping our team and our company prepared for the evolving future of work. In addition to offering our employees flexible work arrangements, caregiver support and mental health services that help our employees make their careers work within their lives, we also help our employees build the careers that will serve them into the future. We ensure that our employees have the tools and resources to develop their knowledge base and skill sets, so that they can continue to thrive at Northrop Grumman even in the midst of change. When our employees succeed and grow at work, our business succeeds and grows. Through a focus on our employees, we remain agile and innovative, adapting to the future as it unfolds before us. We provide many avenues for our employees to feel included, so we can hire, develop and retain the best people to support our common mission and better pioneer together.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Health and safety are a core focus in everything we do. People are our most valuable resource, and our goals have been, and continue to be, to keep our employees safe and position the company for long-term success.</w:t>
      </w:r>
    </w:p>
    <w:p>
      <w:pPr>
        <w:spacing w:after="0" w:line="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Risk and hazard identification, abatement and prevention are key components of Northrop Grumman’s safety program. Everyone has a responsibility to identify workplace hazards and we empower employees to report these hazards without fear of repercussion. We evaluate the effectiveness of our health and safety programs externally, through benchmarking with industry peers and the U.S. Bureau of Labor Statistics. Internally, we determine program effectiveness by conducting trend analyses of our past performance.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Agreements</w:t>
      </w:r>
    </w:p>
    <w:p>
      <w:pPr>
        <w:spacing w:after="0" w:line="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Approximately 4,100 employees are covered by 15 collective agreements in the U.S., of which we negotiated one renewal in 2023 and expect to negotiate five renewals in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for further discussion regarding risks related to our workforce and employee relations.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 Security Restrictions</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prohibited by the U.S. government from publicly discussing the details of certain classified programs. These programs are generally referred to as “restricted” in this Annual Report. The consolidated financial statements and financial information in this Annual Report reflect the operating results of our entire company, including restricted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which are regulations that govern cost accounting requirements for government contracts. Examples of costs incurred by us and not billed to the U.S. government in accordance with applicable FAR and CAS requirements include, but are not limited to, unallowable employee compensation, charitable donations, interest expense, advertising, and certain legal and travel costs.</w:t>
      </w:r>
    </w:p>
    <w:p>
      <w:pPr>
        <w:spacing w:after="0" w:line="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contracts typically fall into one of two contract types: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Cost-type contracts include cost plus fixed fee, cost plus award fee and cost plus incentive fee contracts. Cost-type contracts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6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Firm fixed-price contracts include a specified scope of work for a price that is a pre-determined, negotiated amount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subject to adjustment regardless of costs incurred by the contractor, absent changes by the customer. As a result, fixed-price contracts typically have more financial risk associated with unanticipated cost growth, but provide the opportunity for higher profit margins.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4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Profit margins on our contracts may vary materially depending on, among other things, the contract type, contract phase (e.g., development, low-rate production or mature production), negotiated fee arrangements, achievement of performance objectives, unexpected macroeconomic factors or other circumstances, and cost, schedule and technical performance.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and “Risk Factors” for further information regarding our contracts and Note 16 to the consolidated financial statements for sales by contract type.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for the year ended December 31, 2023, recognized by contract type and customer category: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00" w:type="dxa"/>
            <w:vAlign w:val="bottom"/>
          </w:tcPr>
          <w:p>
            <w:pPr>
              <w:spacing w:after="0"/>
              <w:rPr>
                <w:sz w:val="17"/>
                <w:szCs w:val="17"/>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8"/>
        </w:trPr>
        <w:tc>
          <w:tcPr>
            <w:tcW w:w="24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line="237" w:lineRule="exact"/>
              <w:rPr>
                <w:sz w:val="20"/>
                <w:szCs w:val="20"/>
                <w:color w:val="auto"/>
              </w:rPr>
            </w:pPr>
            <w:r>
              <w:rPr>
                <w:rFonts w:ascii="Times New Roman" w:cs="Times New Roman" w:eastAsia="Times New Roman" w:hAnsi="Times New Roman"/>
                <w:sz w:val="18"/>
                <w:szCs w:val="18"/>
                <w:color w:val="auto"/>
              </w:rPr>
              <w:t>Government</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line="237"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Total Sales</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Cost-type contracts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20,979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13,712</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4,120</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18,311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39,290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520" w:hanging="172"/>
        <w:spacing w:after="0" w:line="238" w:lineRule="auto"/>
        <w:tabs>
          <w:tab w:leader="none" w:pos="16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20" w:hanging="172"/>
        <w:spacing w:after="0" w:line="225"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operations are subject to and affected by federal, state, local and foreign laws, regulations and enforcement actions relating to protection of the environment. We have incurred and expect to continue to incur capital and operating costs to comply with applicable environmental laws and regulations and to achieve our environmental sustainability commitments. See “Risk Factors” and Notes 1 and 12 to the consolidated financial statements for further information regarding environmental matters.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2022, we announced our next generation environmental sustainability goals, and in 2023, we announced our goals for water and waste. These goals focus on Northrop Grumman’s facilities in addition to supply chain partners and customers:</w:t>
      </w:r>
    </w:p>
    <w:p>
      <w:pPr>
        <w:spacing w:after="0" w:line="4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zero greenhouse gas emissions in operations by 2035;</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50 percent of total electricity from renewable sources by 2030;</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10% of absolute water withdrawals, reuse 10% of water withdrawals and replenish 10% of water withdrawals, focusing in water-stressed regions — all by 2030;</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solid waste sent to landfill and incineration by 10% by 2030;</w:t>
      </w:r>
    </w:p>
    <w:p>
      <w:pPr>
        <w:spacing w:after="0" w:line="7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key customers, work to develop a pioneering product stewardship program focused on material efficiency, product design and life cycle assessment;</w:t>
      </w:r>
    </w:p>
    <w:p>
      <w:pPr>
        <w:spacing w:after="0" w:line="54"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Technology for Conservation initiatives in proximity to Northrop Grumman's U.S. locations by 2030, in collaboration with external partners.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environmental sustainability goals is available in our ESG Report, which can be found on our company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2980 Fairview Park Drive, Falls Church, Virginia 22042. Our telephone number is (703) 280-2900 and our home page is www.northropgrumman.com.</w:t>
      </w:r>
    </w:p>
    <w:p>
      <w:pPr>
        <w:spacing w:after="0" w:line="4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statements and other information about SEC registrants, including 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Economic Risks</w:t>
      </w:r>
    </w:p>
    <w:p>
      <w:pPr>
        <w:spacing w:after="0" w:line="104" w:lineRule="exact"/>
        <w:rPr>
          <w:sz w:val="20"/>
          <w:szCs w:val="20"/>
          <w:color w:val="auto"/>
        </w:rPr>
      </w:pPr>
    </w:p>
    <w:p>
      <w:pPr>
        <w:ind w:right="4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3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primary customer is the U.S. government, from which we derived 86 percent of our sales in 2023; we have a number of large programs with the U.S. Department of the Air Force, in particular. The U.S. government has the ability to delay, modify or cancel ongoing competitions, procurements and programs, as well as to change its future acquisition strategy. We cannot predict the impact on existing, follow-on, replacement or future programs from potential changes in the threat and global security environment, defense spending levels, government and budgetary priorities, political leadership, procurement practices and strategy, inflation and other macroeconomic trends, military strategy; or broader changes in social, economic, security or political demands and priorities.</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U.S. government has the ability to terminate contracts, in whole or in part, for its convenience or for default based on performance. In the event of termination for convenience, contractors are generally protected by provisions covering reimbursement for costs incurred and profit on those costs up to the amount authorized under the contract, but not the anticipated profit that would have been earned. In the event of termination due to default, contractors may be required to pay for re-procurement costs in excess of the original contract price, net of the value of work accepted from the original contract, as well as other damages. Termination due to our default (or that of a teammate) could have a material adverse effect on our reputation, our ability to compete for other contracts and our financial position, results of operations and/or cash flows.</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Where program cost estimates exceed certain thresholds, our customer has been, and may in the future be, required to provide congressional notification of significant or critical cost increases (or breaches) under the Nunn-McCurdy Act, which, in some circumstances, could result in program restructure or termination. For example, in January 2024 the customer provided congressional notification that the Ground Based Strategic Deterrent (“Sentinel”) program is currently under a Nunn-McCurdy breach review.</w:t>
      </w:r>
    </w:p>
    <w:p>
      <w:pPr>
        <w:spacing w:after="0" w:line="5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U.S. government also has the ability to stop work under a contract for a limited period of time for its convenience. The U.S. government has invoked and could invoke this ability across a limited or broad number of contracts. In the event of a stop work order, contractors are typically protected by provisions covering reimbursement for costs incurred to date and for costs associated with the temporary stoppage of work plus a reasonable fee. However, such temporary stoppages often introduce inefficiencies and result in financial and other damages for which contractors may not be able to negotiate full recovery. In some cases, they have also ultimately resulted and could result in termination of a contract for convenience or reduced future orders.</w:t>
      </w:r>
    </w:p>
    <w:p>
      <w:pPr>
        <w:spacing w:after="0" w:line="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significant shift in government priorities, programs or strategies could have a material adverse effect on our financial position, results of operations and/or cash flows.</w:t>
      </w:r>
    </w:p>
    <w:p>
      <w:pPr>
        <w:spacing w:after="0" w:line="36" w:lineRule="exact"/>
        <w:rPr>
          <w:sz w:val="20"/>
          <w:szCs w:val="20"/>
          <w:color w:val="auto"/>
        </w:rPr>
      </w:pPr>
    </w:p>
    <w:p>
      <w:pPr>
        <w:jc w:val="both"/>
        <w:ind w:right="28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delays or reductions in appropriations for our programs and U.S. government funding more broadly, including a prolonged continuing resolution or breach of the debt ceiling, can negatively impact our business and programs and could have a material adverse effect on our financial position, results of operations and/or cash flows.</w:t>
      </w:r>
    </w:p>
    <w:p>
      <w:pPr>
        <w:spacing w:after="0" w:line="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U.S. government programs are subject to annual congressional budget authorization and appropriation processes. For many programs, Congress appropriates funds annually even though the program performance period may extend over several years. Programs are often partially funded initially, with additional funds committed only as Congress makes further appropriations. When we or our subcontractors incur costs in excess of funds obligated on a contract, we are generally at risk for reimbursement unless and until additional funds are obligated to the contract. We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predict what funding will ultimately be approved for individual programs. In addition, pressures on, as well as laws and plans relating to the federal budget, potential changes in priorities and defense spending, the timing and substance of the appropriations process, use of continuing resolutions (with restrictions, e.g., on new starts) and the federal debt limit (including a breach of the federal debt ceiling), have adversely affected and could adversely affect the amount and timing of funding for individual programs and delay purchasing or payments by our customers. In the event government funding for our significant programs is reduced, delayed or unavailable, or orders are reduced, our contracts or subcontracts, or competitions for such programs have at times been, and in the future may be, terminated or changed.</w:t>
      </w:r>
    </w:p>
    <w:p>
      <w:pPr>
        <w:spacing w:after="0" w:line="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U.S. continues to face an uncertain and changing political environment, along with substantial fiscal, economic and security challenges, which affect funding and budgetary priorities. The budget and macroeconomic environment, global security environment, political instability, and uncertainty surrounding the appropriations processes and the debt ceiling, remain significant short and long-term risks. See “Overview” in MD&amp;A. In addition, high deficit levels and high debt servicing costs could drive cuts to federal spending. Considerable uncertainty exists regarding how future budget and program decisions will unfold. If annual appropriations bills are not timely enacted, the U.S. government may continue to operate under a continuing resolution (potentially of extended duration), restricting new contract or program starts, presenting resource allocation challenges and placing limitations on budgets. We also may face a prolonged government shutdown that could lead to program cancellations, disruptions and/or stop work orders and could limit the U.S. government’s ability to progress programs and make timely payments. A prolonged shutdown could limit our ability to perform on our contracts and successfully compete for new work. If the statutory debt limit is not increased adequately, we could be obligated to work without receiving timely payments, and a prolonged breach could have far-reaching adverse consequences. If current macroeconomic pressures (especially from inflation and labor and supply chain challenges) are prolonged or worsen, and increased costs continue, then existing or anticipated appropriated and contracted funds may not be sufficient to cover costs incurred on existing or future programs.</w:t>
      </w:r>
    </w:p>
    <w:p>
      <w:pPr>
        <w:spacing w:after="0" w:line="5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Future funding for certain programs in which we participate may be reduced, delayed or cancelled. Budget cuts globally could adversely affect the viability of our subcontractors and suppliers. While we believe that our business is well-positioned in areas for future defense spending, changing priorities, budget pressures, defense spending cuts, challenges in the appropriations process, the possibility of a long-term continuing resolution (or series of continuing resolutions) and breach of the debt ceiling, ongoing fiscal debates and the global economic and security environment increase uncertainties and risk.</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Significant delays or reductions in appropriations for our current and future programs;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50" w:lineRule="exact"/>
        <w:rPr>
          <w:sz w:val="20"/>
          <w:szCs w:val="20"/>
          <w:color w:val="auto"/>
        </w:rPr>
      </w:pPr>
    </w:p>
    <w:p>
      <w:pPr>
        <w:ind w:right="1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Contract cost growth or changes in estimated contract revenues and costs can affect our profitability and our overall financial position.</w:t>
      </w:r>
    </w:p>
    <w:p>
      <w:pPr>
        <w:spacing w:after="0" w:line="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Contract accounting requires judgment, including in assessing risks, estimating contract revenues and costs, and predicting future performance. Given the size and nature of our many contracts, estimating total revenues and costs at completion is complex and subject to many variables. When there is sufficient information to assess expected future performance, we consider performance related incentives, awards and penalties in estimating revenue and profit rates. Suppliers’ expected performance, and the availability and costs of labor, materials and components, are also considered.</w:t>
      </w:r>
    </w:p>
    <w:p>
      <w:pPr>
        <w:spacing w:after="0" w:line="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operating income can be adversely affected when estimated contract costs increase, especially without comparable increases in revenue. There are many reasons estimated contract costs can increase, including inflation, labor challenges, supply chain challenges, and market and exchange rate volatility; delays or limitations in customer funding; design or other development challenges; production challenges (including from technical or quality issues and other performance concerns); inability to realize learning curves or other cost savings; changes in laws or regulations; actions necessary for long-term customer satisfaction; challenges caused by the global health environment; and natural disasters or environmental matters.</w:t>
      </w:r>
    </w:p>
    <w:p>
      <w:pPr>
        <w:spacing w:after="0" w:line="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aim to mitigate this risk through contract terms, and we have submitted and may submit requests for equitable adjustment (REAs), engineering change proposals or other claims to seek recovery in whole or in part for our increased costs. We have also sought, and will seek, other avenues, as appropriate, to compensate the company for certain unexpected cost increases. However, our contracts may not enable full recovery, and/or the government may disagree with our requests and may not have funding to cover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risk varies with the type of contract. Fixed-price contracts inherently tend to have more financial risk than cost-type contracts, including as a result of inflationary pressures, labor rates and shortages, and supplier challenges. In 2023, approximately half of our sales were derived from fixed-price contracts. We have more often entered into fixed-price contracts where costs can be more reasonably estimated based on actual experience, such as for mature production programs. However, our customers have sought, and may in the future seek, fixed-price contracts for development programs, combined development and production programs, or low-rate initial production programs, where the risks are greater. In addition, our contracts contain provisions relating to cost controls and audit rights. If we do not achieve our estimates or meet terms in our contracts, our profitability has at times been and may be reduced, and we have incurred and may incur losses.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of our fixed-price contracts include or may include fixed-price development work. This work is inherently more uncertain, and, as a result, there is typically more variability in estimates of the costs to complete the development stage. As work progresses into production, the risks associated with estimating total costs are typically reduced. While management uses its best judgment to estimate costs associated with fixed-price contracts, future events could result in significant adjustments.</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cost-type contracts, allowable costs are generally subject to reimbursement plus a fee. We often enter into cost-type contracts for development programs with complex design and technical challenges. These cost-type programs may have award or incentive fees that are uncertain and may be earned over extended periods or towards the end of the contract. In these cases, the financial risks are typically in recognizing profit, which ultimately may not be earned, or program cancellation if cost, schedule, or technical performance issues arise. We also face additional financial risk when solicitations require us to bid on cost-type development work and fixed-price production lots and/or options in one submission, or cost-type development work requiring us to provide certain items at our expense or with little or no fee. Ongoing macroeconomic challenges increase these risks.</w:t>
      </w:r>
    </w:p>
    <w:p>
      <w:pPr>
        <w:spacing w:after="0" w:line="5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Because of the significance of management’s judgments and the estimation processes, and the difficulties inherent in estimating future costs, particularly in a challenging macroeconomic environment, it is possible that we could see materially different results. Changes in underlying assumptions, circumstances or estimates, and the failure to recover on requests for equitable adjustments, engineering change proposals or other claims could have a material adverse effect on the profitability of one or more of our contracts and on our overall financial position, results of operations and/or cash flows. See “Critical Accounting Policies and Estimates” in MD&amp;A and Note 12 to the consolidated financial statements.</w:t>
      </w:r>
    </w:p>
    <w:p>
      <w:pPr>
        <w:spacing w:after="0" w:line="59" w:lineRule="exact"/>
        <w:rPr>
          <w:sz w:val="20"/>
          <w:szCs w:val="20"/>
          <w:color w:val="auto"/>
        </w:rPr>
      </w:pPr>
    </w:p>
    <w:p>
      <w:pPr>
        <w:ind w:right="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macroeconomic environment could negatively impact our business and our financial position, results of operations and/or cash flows could be materially adversely affected.</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financial position, results of operations and/or cash flows have been and may continue to be adversely impacted by the global macroeconomic environment, which has experienced extraordinary challenges, including high rates of inflation; increased interest rates; widespread disruptions in supply chains; workforce challenges, including labor shortages; and market volatility, including exchange rate volatility. These challenges have, among other things, led to increased costs, labor and supply shortages, and delays and disruption in performance, as well as competing demands for scarce resources. Those challenges have adversely impacted our customers, our industry, our company, our suppliers and others with whom we do business. While some aspects of the macroeconomic environment have improved, and we have been able to mitigate some of the challenges (especially with respect to labor shortages), other challenges persist. We cannot predict the future trajectory or duration of this risk, including how the macroeconomic environment will evolve or how it will continue to impact us.</w:t>
      </w:r>
    </w:p>
    <w:p>
      <w:pPr>
        <w:spacing w:after="0" w:line="7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work proactively to mitigate the challenges caused by the macroeconomic environment, including, in some cases, seeking the inclusion of economic price adjustment clauses or seeking to recover on requests for equitable adjustments, engineering change proposals or other claims. However, if we are unable to do so successfully, our financial position, results of operations and/or cash flows could be materially adversely affected.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our markets and bid protests may affect our ability to win new contracts and result in reduced revenues and market share.</w:t>
      </w:r>
    </w:p>
    <w:p>
      <w:pPr>
        <w:spacing w:after="0" w:line="94"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We operate in highly competitive markets and our competitors may have more financial capacity or more extensive or specialized engineering, manufacturing, marketing or servicing capabilities. They may be willing to accept more risk or lower profitability in competing for contracts. We have seen, and anticipate we will continue to see, increased competition in some of our core markets, especially as a result of our customers’ budget pressures, their focus on affordability and competition, and our own success in winning business. We are facing increasing competition in the U.S. and outside the U.S. from U.S., foreign and multinational firms, including new entrants, and anticipate that acquisitions within our industry could further increase competition. We are also facing increasing competition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1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and more limited access to various critical products, services and other supplies. In some instances, foreign companies may receive loans, subsidies and other assistance from their governments that may not be available to U.S. companies and foreign companies may be subject to fewer restrictions on technology transfer. Some customers, including the DoD, are turning to commercial contractors, rather than traditional defense contractors, for some products and services, and continue to utilize small business contractors or determine to source work internally. Our success in competing depends, in part, on our ability to remain cost-competitive, accurately anticipate our customers’ needs and successfully to effect our digital transformation strategy and adopt and integrate new digital manufacturing and operating technologies into our products and services.</w:t>
      </w:r>
    </w:p>
    <w:p>
      <w:pPr>
        <w:spacing w:after="0" w:line="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Bid protests can result in contract modifications or the award decision being reversed and loss of the contract award. Even where a bid protest does not result in such a loss, it can delay the start of contract activities and earnings.</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are unable to continue to compete successfully against our current or future competitors, or prevail in protests, or to prevail against other attempts to interfere with our ability to obtain and retain awards, we may experience declines in future revenues and market share, which could have a material adverse effect on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90" w:lineRule="exact"/>
        <w:rPr>
          <w:sz w:val="20"/>
          <w:szCs w:val="20"/>
          <w:color w:val="auto"/>
        </w:rPr>
      </w:pPr>
    </w:p>
    <w:p>
      <w:pPr>
        <w:ind w:right="1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3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size, nature and complexity of our business make us particularly susceptible to investigations, claims, disputes, enforcement actions, prosecutions, litigation and other legal proceedings (collectively “legal proceedings”), particularly those involving governments, which have at times been, and may continue to be, increasingly aggressive. We are and may become subject to legal proceedings globally (including criminal, civil and administrative) and across a broad array of matters, including, but not limited to, government contracts, cost accounting, financial accounting and reporting, false statements or claims, cybersecurity and pension accounting and other employee benefit plan matters. These matters can divert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awards. Certain allegations may lead to suspension or debarment from government contracts or suspension of export/import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pending or not ultimately substantiated or if fully indemnified or insured, can negatively impact our reputation among our customers and the public, and make it substantially more difficult for us to compete effectively for business, obtain and retain awards, ensure adequate funding for our programs or obtain adequate insurance in the future. Investigations, claims, disputes, enforcement actions, litigation or other legal proceedings could have a material adverse effect on our financial position, results of operations and/or cash flows. See Note 11 to the consolidated financial statements for information regarding investigations, claims and litigation.</w:t>
      </w:r>
    </w:p>
    <w:p>
      <w:pPr>
        <w:spacing w:after="0" w:line="57" w:lineRule="exact"/>
        <w:rPr>
          <w:sz w:val="20"/>
          <w:szCs w:val="20"/>
          <w:color w:val="auto"/>
        </w:rPr>
      </w:pPr>
    </w:p>
    <w:p>
      <w:pPr>
        <w:ind w:right="4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improper conduct of employees, agents, subcontractors, suppliers, business partners or joint ventures in which we participate can impact our reputation, our ability to do business and our financial position, results of operations and/or cash flows.</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implemented policies, training and other compliance controls, and have negotiated contractual terms designed to prevent misconduct by employees, agents or others working with us or on our behalf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intellectual property and contract terms. However, we cannot ensure that we will prevent all such misconduct committed by our employees, agents, suppliers, partners or others working with us or on our behalf. We have in the past experienced and may in the future experience such misconduct, despite a vigorous compliance program, our values and strong culture. This risk of improper conduct may increase as we continue to expand globally, with greater opportunities and demands to do more business with local and new partners, and in new environments. At the same time, law enforcement agencies are continuing to focus collaboratively on combating global corruption and other misconduct. In the ordinary course we form and are members of joint ventures or other business arrangements and/or invest in third parties with whom we do business. Notwithstanding our robust processes, we may be unable to prevent misconduct or violations of applicable laws by these joint ventures (including their officers, directors and employees) 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partners. Improper actions by our employees or those with whom or through whom we do business subjects us to risk of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54" w:lineRule="exact"/>
        <w:rPr>
          <w:sz w:val="20"/>
          <w:szCs w:val="20"/>
          <w:color w:val="auto"/>
        </w:rPr>
      </w:pPr>
    </w:p>
    <w:p>
      <w:pPr>
        <w:ind w:right="80" w:hanging="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and our partners are subject to various procurement and other laws, regulations and contract terms applicable to our industry, as well as those more broadly applicable to industry, and we could be adversely affected by changes in such laws, regulations or terms, or any negative findings by the U.S. government as to our compliance with them. We also may be adversely affected by changes in our customers’ business practices globally.</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U.S. government contractors (including their subcontractors and others with whom they do business) must comply with various specific procurement laws, regulations, rules and other legal requirements, as well as ones more broadly applicable. These various legal requirements, although sometimes customary in government contracting, increase costs and risks. They have been and are evolving at a significant pace. The costs are not always fully recoverable. New laws or other requirements, or changes to existing ones (including, for example, related to cyber, information protection, cost accounting, environment, sustainability, securities, competition, compensation costs, taxes, counterfeit parts, pensions, and use of certain non-US equipment) or more expansive interpretations or other changes in how government agencies construe existing ones, can significantly increase our costs and risks and reduce our profitability.</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in a highly regulated environment and are routinely audited and reviewed by the U.S. government and its agencies, such as the DCAA, Defense Contract Management Agency (DCMA) and the DoD Inspector General. These agencies review performance under our contracts, our cost structure and accounting, and our compliance, and the adequacy of our systems in meeting government requirements. Costs ultimately found to be unallowable or improperly allocated may not be reimbursed or may be refunded. When an audit uncovers improper or illegal activities, we are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In addition, we risk serious reputational harm in situations involving allegations of impropriety made against us or our business partners.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industry has experienced, and we expect it will continue to experience, significant changes to business practices globally, in part as a result of changes in the global security and threat environment and an increased focus on affordability, efficiencies, business systems, recovery of costs and a reprioritization of available defense funds. We have experienced and may continue to experience an increased number of audits and challenges to our claims and our business systems for current and past years, as well as longer periods to close audits, broader requests for information and an increased risk of withholdings of payments. The U.S. government has been pursuing and may continue to pursue policies that could negatively impact our profitability, including those that shift additional responsibility and performance risks to the contractor. Changes in procurement practices, including those favoring incentive-based fee arrangements; fixed price development or long-term production programs; different award criteria; non-traditional contract provisions; and contract negotiation offers that indicate what our costs should be, have affected and may in the future affect our profitability and predictability.</w:t>
      </w:r>
    </w:p>
    <w:p>
      <w:pPr>
        <w:spacing w:after="0" w:line="5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(including our subcontractors and others with whom we do business) also are subject to, and expected to perform in compliance with, a vast array of federal, state and local laws, regulations, contract terms and requirements related to our industry, our products and the businesses we operate, as well as those more broadly applicable to industry, such as securities laws and regulations. These requirements, whether specific to our industry or broadly applicable, may limit our ability to achieve our goals. If we are found to have violated any such requirements, or are found not to have acted responsibly, we may be subject to a wide array of actions, including contract modifications or termination; payment withholds; the loss of export/import privileges; administrative, civil or criminal judgments or penalties (including convictions, agreements, fines, damages and non-monetary relief); or suspension or debarment.</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or those with whom we do business do not comply with the laws, regulations, rules, contract terms and processes to which we are subject or if customer business practices or requirements change significantly, including with respect to allowable costs, it could affect our ability to compete and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2" w:lineRule="exact"/>
        <w:rPr>
          <w:sz w:val="20"/>
          <w:szCs w:val="20"/>
          <w:color w:val="auto"/>
        </w:rPr>
      </w:pPr>
    </w:p>
    <w:p>
      <w:pPr>
        <w:ind w:right="34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matters, including climate change, unforeseen costs associated with compliance and remediation efforts, and government and third party claims, could have a material adverse effect on our reputation and our financial position, results of operations and/or cash flows.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operations are subject to and affected by a variety of federal, state, local and foreign environmental laws and regulations, including as they may be expanded, otherwise changed or enforced differently over time. Compliance with these existing and evolving environmental laws and regulations requires, and is expected to continue to require, significant operating and capital costs. For example, some of these recently enacted laws and regulations prohibit the use of certain chemicals or other substances that are used in our business, which may require us to identify alternate sources, result in additional costs and/or otherwise impact our business and operations. New and evolving laws, regulations and rule makings globally are expected to impose different and more restrictive standards and require greater disclosures. They could also require capital investments, could adversely impact our ongoing operations, and could require changes on a more accelerated time frame. Our suppliers are expected to face similar challenges and incur additional compliance costs that may be passed on to us. These direct and indirect costs may adversely impact our results of operations and financial condition, and, if we are unable to comply with legislative and regulatory requirements or meet our sustainability objectives, our reputation and ability to do business could be negatively impacted. In addition, our customers’ requirements, priorities and ways of doing business with respect to environmental matters, and climate change specifically, also may have an impact on our business, operations and financial success. For example, in 2022, the SEC and FAR council issued proposed rule-makings on climate change. The proposed rules, depending on how they are finally adopted, as well as other changes the government might implement, could impose significant new burdens on the company and our suppliers, with significant potential costs and operational impacts, and adversely impact our ability to win business and operate successfully.</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Environmental matters may significantly impact our business and operations and present evolving risks and challenges. Environmental impacts, including climate change specifically, create short and long-term financial risks to our business globally. We have significant operations located in regions that have been, and may in the future be, exposed to significant weather events and other natural disasters. Increased worldwide focus on climate change has led to legislative and regulatory efforts to combat both potential causes and adverse impacts of climate change, including regulation of greenhouse gas emissions. New or more stringent laws and regulations related to greenhouse gas emissions and other climate change related concerns have affected and will likely continue to affect us, our suppliers and our customers. The company has set a goal to achieve net zero greenhouse gas emissions in our operations by 2035 and is committed to working to achieve its climate change and other sustainability goals. We are working to identify opportunities to utilize alternatives to fossil-based energy sources, to decrease our greenhouse gas emissions, to reduce our consumption of water and generation of waste, and to ensure our compliance with environmental regulations where we operate, enhancing our record of environmental sustainability. However, the costs of doing so may be greater than expected, and there can be no assurance the company will achieve its objectives, or meet the evolving sustainability expectations and standards of our investors and other external stakeholders.</w:t>
      </w:r>
    </w:p>
    <w:p>
      <w:pPr>
        <w:spacing w:after="0" w:line="5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may be subject to substantial administrative, civil or criminal fines, penalties or other sanctions (including suspension and debarment) for violations of environmental laws.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ind w:right="240"/>
        <w:spacing w:after="0" w:line="271" w:lineRule="auto"/>
        <w:rPr>
          <w:sz w:val="20"/>
          <w:szCs w:val="20"/>
          <w:color w:val="auto"/>
        </w:rPr>
      </w:pPr>
      <w:r>
        <w:rPr>
          <w:rFonts w:ascii="Times New Roman" w:cs="Times New Roman" w:eastAsia="Times New Roman" w:hAnsi="Times New Roman"/>
          <w:sz w:val="17"/>
          <w:szCs w:val="17"/>
          <w:color w:val="auto"/>
        </w:rPr>
        <w:t>We incur, and expect to continue to incur, substantial remediation costs related to the cleanup of pollutants previously released into the environment. Stricter or different remediation standards or enforcement of existing laws and regulations; new requirements, including regulation of new substances; discovery of previously unknown or more extensive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w:t>
      </w:r>
    </w:p>
    <w:p>
      <w:pPr>
        <w:spacing w:after="0" w:line="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and may become a party to various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and non-monetary relief, and adverse determinations on allowability or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Government and private parties also seek to hold us responsible for liabilities or obligations related to former operations that have been divested or spun-off and/or for which we believe other parties have agreed to be responsible and/or to indemnify us. These rights may not be sufficient to protect us.</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tax liabilities could affect our profitability and cash flow.</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income and other taxes in the U.S. and foreign jurisdictions. Changes in applicable tax laws and regulations, or their interpretation and application, including the possibility of retroactive effect, have affected and could affect our tax expense. In addition, the final determination of any tax audits or related litigation, in particular with regard to our positions on research credits and timing of revenue recognition under IRC Section 451(b), could be materially different from our historical income tax provisions and accruals.</w:t>
      </w:r>
    </w:p>
    <w:p>
      <w:pPr>
        <w:spacing w:after="0" w:line="5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may be subject to future tax audits and legal challenges involving OATK, which we acquired in 2018, or the spinoff of its then subsidiary Vista Outdoor, and we may be unable to obtain indemnification or we may be required to indemnify Vista.</w:t>
      </w:r>
    </w:p>
    <w:p>
      <w:pPr>
        <w:spacing w:after="0" w:line="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cyber and other security threats or disruptions.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defense contractor, we face significant cyber and other security threats. They include, among other things, attempts to gain unauthorized access to sensitive information or otherwise compromise the integrity, confidentiality and/or availability of our systems, hardware and networks, and the information on them; insider threats; ransomware; threats to the safety of our directors, officers and employees; threats to our facilities, infrastructure, products (we produce and use), and subcontractors or other suppliers (referred to inclusively as suppliers); and threats from terrorist acts, espionage, civil unrest and other acts of aggression. We are also subject to increasing government, customer and other cyber and security requirements, including disclosure obligations.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robust measures in place to address and mitigate cyber-related risks. However, we have experienced cyber attacks and expect we will continue to experience additional attacks in the future, including from nation states and non-state actors. We continue to invest in the cybersecurity and resiliency of our networks and products and to enhance our internal controls and processes, which are designed to help protect our systems and infrastructure, and the information they contain. These include timely detection of incidents through monitoring, training, incident response capabilities, and mitigating cyber and security risks to our data, systems, products and services. We also partner with the government and others in our industry to help protect national security. However, given the complex, continuing and evolving nature of cyber and other security threats, including threats from targeting by more advanced and persistent adversaries, including nation states and other actors, these efforts may not be fully effective, particularly against previously unknown vulnerabilities that could go undetected for an extended period.</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customers and partners (including our suppliers and joint ventures) to whom we entrust confidential data, and on whom we rely to provide products and services, face similar threats and growing requirements, including ones for which others may seek to hold us responsible. We depend on our customers, suppliers, and other business partners to implement and verify adequate controls and safeguards to protect against and report cyber incidents. If they fail to deter, detect or report cyber incidents in a timely manner, we may suffer financial and other harm, including to our information, operations, performance, employees and reputation.</w:t>
      </w:r>
    </w:p>
    <w:p>
      <w:pPr>
        <w:spacing w:after="0" w:line="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we implement various measures and controls to monitor and mitigate risks associated with these threats and to increase the cyber resiliency of our infrastructure and products, there can be no assurance that these processes will be sufficient. Successful attacks could lead to losses or misuse of sensitive information or capabilities; theft or corruption of data; harm to personnel, infrastructure or products; financial costs and liabilities; protracted disruptions in our operations and performance; and the misuse of our products, as well as damage to our reputation as a provider of cyber-related or cyber-protected goods and services. We have not always been able to and may in the future not always be able to obtain adequate insurance to cover our losses.</w:t>
      </w:r>
    </w:p>
    <w:p>
      <w:pPr>
        <w:spacing w:after="0" w:line="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Cyber threats, both on premises and in the cloud, are evolving and include, but are not limited to: malicious software, destructive malware, ransomware, attempts to gain unauthorized access to systems or data, disruption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operations, critical systems or denial of service attacks; unauthorized release of confidential, personal or other protected information (ours or that of our employees, customers or partners); corruption of data, networks or systems; harm to individuals; and loss of assets. We have been and could be impacted by cyber threats or other disruptions or vulnerabilities found in products or services we use or in our internal, partners’ or customers’ systems that are used in connection with our business. Some of these threats are zero-day attacks associated with previously unknown vulnerabilities in third party software or products we utilize in our business. Cyber events, if not prevented or effectively mitigated, have caused and could cause harm and require remedial actions. They could also damage our reputation, disrupt performance, impact our ability to obtain future insurance coverage, and lead to loss of business, regulatory actions, liabilities or other financial losses, for which we do not have adequate sources of recovery.</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provide systems, products and services to various customers who also face cyber threats. Our systems, products and services may not be able to detect or deter threats, or effectively to mitigate resulting losses. These losses could adversely affect our customers and our company.</w:t>
      </w:r>
    </w:p>
    <w:p>
      <w:pPr>
        <w:spacing w:after="0" w:line="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also face increasing and evolving disclosure obligations related to cyber and other security events. Despite rigorous processes, we risk failing to meet all our existing or future disclosure obligations and/or having our disclosures misinterpreted. National security or public safety considerations may also affect, or in limited instances prevent, our public disclosure of a cybersecurity incident in certain circumstances.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also face threats to our physical security, including to our facilities and the safety and well-being of our people. These threats could involve terrorism, insider threats, workplace violence, civil unrest, natural disasters, damaging weather, or fires, which could adversely affect our company. Our customers and suppliers face similar risks that, if realized, could also adversely impact our operations. Such acts could cause delays, manufacturing downtime, or other impacts that could detrimentally impact our ability to perform our operations. We could also incur unanticipated costs to remediate impacts and lost business.</w:t>
      </w:r>
    </w:p>
    <w:p>
      <w:pPr>
        <w:spacing w:after="0" w:line="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occurrence and impact of these various risks are difficult to predict, but one or more of them could have a material adverse effect on our financial position, results of operations and/or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win new competitions and meet the needs of our customers depends, in part, on our ability to maintain a qualified workforce.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operating results and growth opportunities are heavily dependent upon our ability to attract and retain sufficient qualified and diverse personnel who are or can reasonably be cleared (and obtain program access), who have the requisite skills in multiple areas, including science, technology, engineering and math, and who share our values and are able to operate effectively consistent with our culture. Outside the U.S., it is increasingly important that we are also able to attract and retain personnel with relevant local qualifications and experience. We continue to face increased competition for talent, both with traditional defense companies and commercial companies, globally, and with increasing wage rates. Although we have realized benefits from extensive hiring and retention programs in recent years, the risk of insufficient personnel may increase, either broadly or with respect to select critical staffing requirements. If necessary qualified personnel are more scarce or more difficult to attract or retain under reasonable terms, or if we experience a high level of attrition, generally or in particular areas, or if such personnel are increasingly unable to obtain security clearances or program access on a timely basis or are unable to be timely and effectively trained, we would expect higher labor-related costs and we could face challenges performing on various of our programs and meeting financial expectations. In addition, the macroeconomic environment, including continued challenges in the global labor market, may further affect our ability to hire, develop and retain the necessary talented and diverse workforce, and to maintain performance levels and our corporate culture. There is also the risk that we are unable to achieve our environmental, social and governance (ESG) goals which may be required by certain of our shareholders, employees, the government and other stakeholders, which could adversely impact our reputation, business and ability to hire and retain talent.</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our employees are covered by collective agreements. We generally have been able to renegotiate renewals to expiring agreements without significant disruption of operating activities. However, the environment appears to be shifting, and if, for example, we experience difficulties with renewals and renegotiations of existing collective agreements, or if our employees pursue new collective representation, we could incur additional expenses and impacts on operating efficiency and may be subject to work stoppages or other labor-related disruptions. Any such expenses or delays could adversely affect our performance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a qualified workforce, we may be unable to maintain our competitive position or achieve our results, and it could have a material adverse effect on our financial position, results of operations and/or cash flows.</w:t>
      </w:r>
    </w:p>
    <w:p>
      <w:pPr>
        <w:spacing w:after="0" w:line="36" w:lineRule="exact"/>
        <w:rPr>
          <w:sz w:val="20"/>
          <w:szCs w:val="20"/>
          <w:color w:val="auto"/>
        </w:rPr>
      </w:pPr>
    </w:p>
    <w:p>
      <w:pPr>
        <w:ind w:right="7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on other companies to provide raw materials, chemicals, parts and components and subsystems for our products, produce hardware elements and sub-assemblies, provide software and intellectual property, provide information about the parts they supply to us, and perform some of the services we need for our operations or provide to our customers, and to do so in compliance with all applicable laws, regulations and contract terms, while maintaining strong values and cultures. Disruptions or performance problems with our subcontractors or other suppliers (referred to inclusively as suppliers), unanticipated cost growth for the products and services they provide, failure to meet regulatory or contractual requirements, unethical behavior, or a misalignment between our contractual obligations to our customers and our agreement with our suppliers, have had and may continue to have various adverse impacts on the company, including on our ability to meet our commitments to customers and financial expectations. This risk of delays and disruptions in the supply chain, and supply chain challenges more broadly, has been and continues to be heightened globally, in the current macroeconomic environment.</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ability to perform our obligations on time is adversely affected if one or more of our suppliers is unable to provide the agreed-upon products, materials or information, or perform the agreed-upon services in a timely, compliant and cost-effective manner. We also may experience challenges performing if we are unable to use certain raw materials, chemicals or other substances due to laws or other regulations that restrict or prohibit the use of such items and cannot obtain a reasonable substitute on a cost-effective basis. Changes in political or economic conditions, including changes in demand, changes in the macroeconomic environment (including inflation and labor and supply chain challenges), changes in defense budgets and/or priorities, changes in the global security environment, changes in export/import restrictions, evolving requirements, or changes in access to critical technology and materials (including metals and components), among others, have adversely affected and could in the future adversely affect the financial stability of our suppliers and/or their ability to perform effectively. The inability of our suppliers to perform effectively has required and may require us to provide them additional support and/or to transition to alternate suppliers, if available, with additional costs and delays. We expect we will need to continue to provide additional resources to support certain of our suppliers in performing under our contracts. In addition, if we are unable to do that, we may face additional losses and liabilities under our current contracts and adversely impact the prospects for certain new ones.</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our U.S. government contracts, we are required to procure certain materials, components and parts from supply sources approved by the customer and/or are restricted from procuring products or services from certain sources. For example, we require assured access to certain microelectronics. Our ability to produce and/or deliver products will be significantly impacted if the microelectronics manufacturing supply chain is cut off or significantly delayed. For some components, there has been or may be only one supplier, or one domestic supplier. If that supplier cannot meet our needs or if we are unable to procure components from certain suppliers due to regulatory restrictions, we may be unable to find a suitable alternative and to meet our obligations.</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our suppliers are also facing increased regulatory requirements globally. We may be held responsible not only for our compliance, but that of our suppliers. Our procurement practices are intended to reduce the risk we procure counterfeit, unauthorized or otherwise non-compliant parts or materials. We rely on our suppliers also to comply with applicable laws and contract terms, to ensure the quality of their components and effectively to mitigate the risk of cyber and security threats or other disruptions to their performance.</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our suppliers are not financially viable, incur increased costs of delays, fail to comply with legal requirements, or otherwise fail to address these risks or meet their obligations to us, it could have a material adverse effect on our financial position, results of operations and/or cash flows.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 including risks related to geopolitical and economic factors, laws and regulations.</w:t>
      </w:r>
    </w:p>
    <w:p>
      <w:pPr>
        <w:spacing w:after="0" w:line="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are an important component of our strategy. Our international business (including our participation in joint ventures, requirements for local content, and our global supply chain) is subject to numerous political and economic factors, legal requirements, cross-cultural considerations and other risks associated with doing business globally. These risks differ in some respects from those associated with our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our exposure to such risks is expected to increase if and as our international business continues to grow.</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international business is generally subject to both U.S. and foreign laws, regulations and practices. Failure by us, our employees, partners or others with whom we work to comply with applicable laws and regulations could result in administrative, civil, commercial or criminal liabilities, including suspension or debarment from government contracts or suspension of export/import privileges. Failure to comply with local practices can adversely impact our ability to win and perform business. New regulations and requirements, or changes to existing ones in countries in which we operate can significantly increase our costs and risks of doing business internationally. Our customers outside of the U.S. also often have the ability to terminate contracts for convenience as well as for default based on performance. Suspension or debarment, or termination of a contract due to default could have a material adverse effect on our reputation, our ability to compete for other contracts and our financial position, results of operations and/or cash flows. Despite robust processes, we also face risks related to the unintended or unauthorized use of our products and resources.</w:t>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Changes in laws, political leadership and environment, and/or security risks may dramatically affect our ability to conduct or continue to conduct profitable business in international markets. Our international business is impacted by changes in U.S. and non-U.S. national policies and priorities, and geopolitical relationships, any of which may be influenced by changes in the global threat environment, political leadership, geopolitical and economic uncertainties, world events, government budgets, inflationary pressures, sanctions imposed in countries where we do business or seek to do business, and economic and political factors more generally. The U.S. and its allies continue to face a global security environment of heightened tensions and instability, threats from state and non-state actors, including major global powers, as well as terrorist organizations, emerging nuclear tensions, and diverse regional security concerns. Any of these factors may impact demand for our products and services, funding for programs, our ability to perform, our supply chain, export authorizations, purchasing decisions or customer payments. Global macroeconomic conditions, as well as fluctuations in foreign currency exchange rates and credit, are also likely to further impact our business.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contracts with non-U.S. customers in some cases include terms and reflect legal requirements that create additional risks. They may include requirements to hire, invest, manufacture or purchase locally, or specific financial obligations, including offset obligations, and they may provide for significant penalties if we fail to meet such requirements. They may also require us to enter into letters of credit, performance bonds, bank guarantees or other financial arrangements. If we are dependent on certain suppliers, as in the U.S., we face risks related to their failure to perform in accordance with legal requirements, particularly where we rely on a sole source supplier. Our ability to sell products globally could be adversely affected if we are unable to design our products on a cost effective basis or to obtain and retain all necessary export authorizations, which the U.S. government can deny, change or revoke for reasons outside our control. Our business outside of the U.S. also depends on our ability to attract and retain sufficient qualified personnel with the skills and/or security clearances in the markets in which we do business. We may need to partner successfully with non-U.S. companies, including through joint ventures, teaming agreements, co-production or other arrangements. This risk includes the ability to identify and negotiate appropriate arrangements with qualified and acceptable local partners, potential exposure for their actions, and the ability effectively to terminate these arrangements. This risk is complicated further when we partner with government-affiliated entities.</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products and services we provide, including those provided by suppliers and joint ventures, are sometimes in countries with unstable governments, economic or fiscal challenges, military or political conflicts, different business practices and/or developing legal systems. This may increase the risk to our employees, suppliers or other third parties, including for their safety, and increase our risk to a wide range of financial consequences and other liabilities, as well as loss of property or damage to our products.</w:t>
      </w:r>
    </w:p>
    <w:p>
      <w:pPr>
        <w:spacing w:after="0" w:line="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occurrence and impact of these factors is difficult to predict, but one or more of them could have a material adverse effect on our financial position, results of operations and/or cash flows.</w:t>
      </w:r>
    </w:p>
    <w:p>
      <w:pPr>
        <w:spacing w:after="0" w:line="36" w:lineRule="exact"/>
        <w:rPr>
          <w:sz w:val="20"/>
          <w:szCs w:val="20"/>
          <w:color w:val="auto"/>
        </w:rPr>
      </w:pPr>
    </w:p>
    <w:p>
      <w:pPr>
        <w:ind w:right="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3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especially of infectious diseases. The global health environment has contributed to business slowdowns or shutdowns, labor shortages, supply chain challenges, changes in government spending and requirements, regulatory challenges, inflationary pressures and market volatility. Although we aim to mitigate impacts of adverse changes in the global health environment, these changes can be unpredictable and we may be unable to effectively mitigate them. If a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epidemic, pandemic or similar outbreak were to occur or worsen, we likely would experience broad and varied impacts, including potentially to our workforce and supply chain, with inflationary pressures and increased costs (which may or may not be fully recoverable or insured), schedule and/or production delays, market volatility and other financial impacts. If any or all of these items were to occur, we could experience material adverse impacts on our business, financial position, results of operations and/or cash flows.</w:t>
      </w:r>
    </w:p>
    <w:p>
      <w:pPr>
        <w:spacing w:after="0" w:line="54" w:lineRule="exact"/>
        <w:rPr>
          <w:sz w:val="20"/>
          <w:szCs w:val="20"/>
          <w:color w:val="auto"/>
        </w:rPr>
      </w:pPr>
    </w:p>
    <w:p>
      <w:pPr>
        <w:ind w:right="160" w:hanging="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innovate, develop new products and technologies, progress and benefit from digital transformation and maintain technologies, facilities and equipment to win new competitions and meet the needs of our customers. Failure to do so or meet our contractual obligations that require innovative design could adversely affect our profitability, reputation and future prospects.</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including highly demanding operating conditions, to accomplish challenging missions. Our success depends upon our ability to develop technologically advanced, innovative and cost-effective products and services and market these products and services to our customers globally. Our ability to develop innovative and technologically advanced products depends on the talent of our workforce, continued funding for, and investment in, research and development projects, continued access to assured suppliers of important technologies and components, our ability to compete (including with commercial companies) and our ability to provide the people, technologies, facilities, equipment and financial capacity needed to develop and deliver those products and services with maximum efficiency. To perform on our contracts and to win new business, we also depend increasingly on our ability to progress successfully on our digital transformation. It is increasingly necessary to meet evolving customer requirements, to differentiate our offerings, and to achieve efficiencies that we and our suppliers/partners successfully develop digital based solutions and transform our operations. If we are unable to continue to develop new products and technologies in a timely fashion, and progress successfully to effect digital solutions and transformation, or if we fail to achieve market acceptance more rapidly than our competitors, we may be unable to maintain our competitive position and our future success could be materially adversely affected.</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aim to ensure that our technical solutions are responsibly developed, tested and operated. Problems and delays in the successful development and delivery of our solutions, including as a result of issues with our design, technology or operations, digital transformation, inability to achieve learning curve assumptions, artificial intelligence, manufacturing materials or components, or subcontractor (or other supplier) performance can prevent us from meeting requirements and create significant risk and liabilities. Similarly, failures to perform on schedule or otherwise to fulfill our contractual obligations can negatively impact our financial position, reputation and ability to win future business.</w:t>
      </w:r>
    </w:p>
    <w:p>
      <w:pPr>
        <w:spacing w:after="0" w:line="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our products cannot be tested and proven in all situations and are otherwise subject to unforeseen problems that can negatively affect revenue, schedule and profitability, and result in loss of life or property. They include loss on launch or flight of spacecraft, loss of aviation platforms, premature failure of products that cannot be accessed for repair or replacement, unintended explosions, problems with design, quality and workmanship, country of origin of procured materials, inadequate supplier components and degradation of product performance. Factors that may affect revenue and profitability also include: inaccurate cost estimates, design issues, human factors, unforeseen costs and expenses, diversion of management focus, loss of follow-on work, replacement obligations, and repayment to the government customer of certain contract cost and fee payments previously received.</w:t>
      </w:r>
    </w:p>
    <w:p>
      <w:pPr>
        <w:spacing w:after="0" w:line="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Certain contracts, primarily involving space satellite systems, contain provisions that entitle the customer to recover fees in the event of failure of the system upon launch or subsequent deployment for less than a specified period of time. Under such terms, we are generally required to forfeit fees previously recognized and/or collected.</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we are unable to meet our obligations, including due to issues regarding the design, development or manufacture of our products or services, or we experience launch, platform, satellite system or other failures, it could have a material adverse effect on our reputation, our ability to compete for other contracts and our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disruption caused by natural disasters that could adversely affect our profitability and our overall financial position.</w:t>
      </w:r>
    </w:p>
    <w:p>
      <w:pPr>
        <w:spacing w:after="0" w:line="9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have significant operations, including centers of excellence, located in regions that have been, and may in the future be, exposed to hurricanes, earthquakes, water levels, wildfires, windstorms, and other natural disasters. We expect our facilities, operations, employees and communities in the future, particularly at facilities in coastal areas and areas prone to extreme weather events and water scarcity to continue to be at risk for future natural disasters 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other weather events (which may be exacerbated by climate change). Climate related changes can impact natural disasters, including weather patterns, with the increased frequency and severity of significant weather events (e.g., flooding, hurricanes and tropical storms), natural hazards (e.g., increased wildfire risk), rising mean temperature and sea levels, and long-term changes in precipitation patterns (e.g., drought, desertification, and/or poor water quality). If a natural disaster occurs, our operations could be interrupted, our employees could be impacted, we could incur significant costs and our performance could be adversely affected. Our subcontractors and other suppliers have also been, and may in the future be, subject to natural disasters that could cause disruption and affect their ability to deliver or perform. Disruptions also impact the availability and cost of materials needed for manufacturing and could increase insurance and other operating costs, or result in a lack of available coverage. Although we take steps to mitigate these risks, including considering them in determining where to put new businesses, the damage and disruption resulting from natural disasters, which may increase, as well as delays in recovery, may be significant.</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insurance or other sources are unavailable or insufficient to recover all costs or if we experience a significant disruption to our business due to a natural disaster, it could have a material adverse effect on our financial position, results of operations and/or cash flows.</w:t>
      </w:r>
    </w:p>
    <w:p>
      <w:pPr>
        <w:spacing w:after="0" w:line="23" w:lineRule="exact"/>
        <w:rPr>
          <w:sz w:val="20"/>
          <w:szCs w:val="20"/>
          <w:color w:val="auto"/>
        </w:rPr>
      </w:pPr>
    </w:p>
    <w:p>
      <w:pPr>
        <w:ind w:right="3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products and services, including related to hazardous and high risk operations, which subjects us to various environmental, regulatory, financial, reputational and other risks.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and missile launches. We use and provide energetic materials, including in propulsion systems, which include products that involve highly explosive or flammable elements. We develop missile systems, and counter systems, including strategic deterrents, as well as subsystems and components. These and other activities subject us to various extraordinary risks, including (1) potential liabilities relating to nuclear or non-nuclear launch-related incidents, unintended initiation of energetic materials and explosions, including risk of personal injury, property damage and environmental harm; (2) harmful effects on the environment and human health that may result from nuclear-related activities, operations or incidents; the storage, handling and disposal of radioactive materials; and the development, testing and use of energetics, including in propulsion systems, and unintended explosions or releases and (3) to failed launches. We may be subject to reputational harm and potential liabilities arising out of such incidents or hazardous operations, whether or not the cause was within our control, and insurance may not be reasonably available. Under some circumstances, the U.S. government and prime contractors may provide for certain indemnification and other protection, including pursuant to, or in connection with, Public Law</w:t>
      </w:r>
    </w:p>
    <w:p>
      <w:pPr>
        <w:spacing w:after="0" w:line="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85-804, 10 U.S.C. 3861, the Price-Anderson Nuclear Industries Indemnity Act, the NASA Space Act, the Commercial Space Launch Act and the Terrorism Risk Insurance Reauthorization Act, for certain risks, but those protections may not be available or adequate.</w:t>
      </w:r>
    </w:p>
    <w:p>
      <w:pPr>
        <w:spacing w:after="0" w:line="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of our products, such as medium and large caliber ammunition and propulsion systems, involve the use, manufacture and/or handling of a variety of explosive and flammable materials or other hazardous substances. These activities have resulted and may result in incidents that cause workplace injuries and fatalities, the temporary shut down or other disruption of manufacturing, production delays, environmental harm and expense, fines and liabilities to third parties. We have safety and loss prevention programs, which provide for pre-construction reviews, along with safety audits of operations involving explosive materials, to attempt to mitigate some such incidents, as well as potentially insurance coverage and indemnification, but they may not be successful.</w:t>
      </w:r>
    </w:p>
    <w:p>
      <w:pPr>
        <w:spacing w:after="0" w:line="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our customers may use our products and services in ways that can be unusually hazardous or risky, or in ways that are not intended, which may create potential liabilities for our company, as well as reputational harm.</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any of these risks were to materialize (e.g. if there was a nuclear incident, or an incident related to launch activities or the use of energetics or propulsion systems), and if insurance coverage or indemnification or other protection was not fully available, it could adversely affect our reputation and have a material adverse effect on our financial position, results of operations and/or cash flows.</w:t>
      </w:r>
    </w:p>
    <w:p>
      <w:pPr>
        <w:spacing w:after="0" w:line="50" w:lineRule="exact"/>
        <w:rPr>
          <w:sz w:val="20"/>
          <w:szCs w:val="20"/>
          <w:color w:val="auto"/>
        </w:rPr>
      </w:pPr>
    </w:p>
    <w:p>
      <w:pPr>
        <w:ind w:right="72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2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perform on our contracts and to win new business, we depend on our ability to develop, protect and exploit our intellectual property and also to access the intellectual property of others under reasonable terms. Increasing demands from our customers to access and obtain rights in our intellectual property, and positions taken by our suppliers and competitors challenge our ability to exploit, protect and access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at times seek to use or authorize others to use such intellectual property, including in competition with us and including where we do not believe they are entitled to do so. Governments continue to increase efforts to assert or obtain more extensive rights in intellectual property, which could reduce our ability to develop, protect and exploit certain of our intellectual property rights and to compete. Governments also decline at times to make intellectual property of others available to us under acceptable terms.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significantly upon proprietary technology, information, processes and know-how. We typically seek to protect this information, including by entering into intellectual property agreements with our employees and other parties such as consultants, teammates and subcontractors. These agreements and other measures may not provide adequate protection for our trade secrets and other proprietary information. In the event of an infringement of such intellectual property rights, a breach of a confidentiality agreement, a misuse or theft of our intellectual property or divulgence of proprietary information, we may not have adequate legal remedies. In addition, our trade secrets or other proprietary information may otherwise become known or be independently developed by competitors.</w:t>
      </w:r>
    </w:p>
    <w:p>
      <w:pPr>
        <w:spacing w:after="0" w:line="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some instances, our ability to win or perform contracts requires us to use third party intellectual property. This may require the government or our customer to provide rights to such third party intellectual property, or that we are able to negotiate directly with third parties to obtain necessary rights on reasonable terms. That may not be practicable.</w:t>
      </w:r>
    </w:p>
    <w:p>
      <w:pPr>
        <w:spacing w:after="0" w:line="54"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Our intellectual property is subject to challenge, invalidation, misappropriation or circumvention by third parties. Our access to and use of intellectual property licensed or otherwise obtained from third parties is also subject to challenges. Litigation to determine the scope of intellectual property rights, even if ultimately successful, could be costly and could divert management’s attention. Moreover, the laws concerning intellectual property rights vary among countries and the protection provided to our intellectual property by foreign laws and courts may not be favorable.</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we are unable adequately to exploit our intellectual property rights, to protect our intellectual property rights, to obtain rights to intellectual property of others, it could have a material adverse effect on our reputation, ability to compete for and perform on contracts, financial position, results of operations and/or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Other Risk Factors</w:t>
      </w:r>
    </w:p>
    <w:p>
      <w:pPr>
        <w:spacing w:after="0" w:line="104" w:lineRule="exact"/>
        <w:rPr>
          <w:sz w:val="20"/>
          <w:szCs w:val="20"/>
          <w:color w:val="auto"/>
        </w:rPr>
      </w:pPr>
    </w:p>
    <w:p>
      <w:pPr>
        <w:ind w:right="6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customer indemnifications or other liability protections may be unavailable or inadequate to cover all of our significant risks, which could adversely affect our profitability and overall financial position.</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endeavor to obtain insurance from financially solid, responsible, highly rated counterparties in established markets to cover significant risks and liabilities (including, for example, natural disasters, space launches and on-orbit operations, cyber security, hazardous operations, energetics and products liability). Not every risk or liability can be insured, and insurance coverage is not always reasonably available. The policy limits and terms of coverage reasonably obtainable may not be sufficient to cover actual losses or liabilities. For example, the space and property insurance markets are experiencing increased price volatility and capacity constraint. Due to recent increases in the frequency and severity of losses, insurers are decreasing limits, increasing pricing and some may exit the market. Even if insurance coverage is available, we are not always able to obtain it at a price or on terms acceptable to us or without increasing exclusions. Disputes with insurance carriers over the availability of coverage, and the insolvency of one or more of our insurers has affected and may continue to affect the availability or timing of recovery, as well as our ability to obtain insurance coverage at reasonable rates in the future. In some circumstances we may be entitled to certain legal protections or indemnifications from our customers through contractual provisions, laws or otherwise. However, these protections are not always available, are difficult to negotiate and obtain, are typically subject to certain terms or limitations, including the availability of funds, and may not be sufficient to cover our losses or liabilities. If insurance coverage, customer indemnifications and/or other legal protections are not available or are not sufficient to cover risks or losses, it could have a material adverse effect on our financial position, results of operations and/or cash flows.</w:t>
      </w:r>
    </w:p>
    <w:p>
      <w:pPr>
        <w:spacing w:after="0" w:line="48" w:lineRule="exact"/>
        <w:rPr>
          <w:sz w:val="20"/>
          <w:szCs w:val="20"/>
          <w:color w:val="auto"/>
        </w:rPr>
      </w:pPr>
    </w:p>
    <w:p>
      <w:pPr>
        <w:ind w:right="40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(OPB) obligations and related expenses and funding requirements may fluctuate significantly depending upon investment performance of plan assets, changes in actuarial assumptions, and legislative or other regulatory actions.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pension and OPB obligations and related expenses are dependent upon the investment performance of plan assets and various assumptions, including discount rates, mortality and the estimated long-term rates of return on plan assets. Changes in assumptions associated with our pension and OPB plans, investment performance of plan assets, and gains or losses associated with changes in valuation of marketable securities related to our non-qualified plans and other non-operating assets could have a material adverse effect on our financial position, results of operations and/or cash flows.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Funding requirements for our pension plans, including Pension Benefit Guaranty Corporation premiums, are subject to legislative and other government regulatory actions. In accordance with government regulations, pension plan cost recoveries under our U.S. government contracts may occur in different periods from when they are recognized for financial statement purposes or when pension funding is made. These timing differences, as well as government challenges to pension and OPB cost recovery, could have a material adverse effect on our financial position, results of operations and/or cash flows.</w:t>
      </w:r>
    </w:p>
    <w:p>
      <w:pPr>
        <w:spacing w:after="0" w:line="41" w:lineRule="exact"/>
        <w:rPr>
          <w:sz w:val="20"/>
          <w:szCs w:val="20"/>
          <w:color w:val="auto"/>
        </w:rPr>
      </w:pPr>
    </w:p>
    <w:p>
      <w:pPr>
        <w:ind w:right="180" w:hanging="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investments and/or recorded goodwill and other long-lived assets may become impaired, resulting in substantial losses and write-downs that would reduce our operating income.</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is an intangible asset that we recognize in connection with acquisitions of third-party businesses. Goodwill accounts for approximately 38 percent of our total assets as of December 31, 2023. Other long-lived assets principally comprise property, plant and equipment (PP&amp;E) used in operating our business. The cost of PP&amp;E utilized in support of our commercial business, including approximately $500 million of PP&amp;E used in our commercial space business, is not allocable to government contracts and is therefore subject to greater recoverability risk than PP&amp;E utilized in support of our U.S. government contracts. Although the fair value of our reporting units and the net realizable value of our other long-lived assets currently exceed their respective carrying values, changes in business conditions, the market-based inputs used in our goodwill impairment test, or our assumptions related to the recoverability of our long-lived assets, could result in significant write-offs of goodwill or other long-lived assets, which could have a material adverse effect on our financial condition and/or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holistic process for overseeing and managing cybersecurity and related risks. This process is supported by both management and our Board of Directors.</w:t>
      </w:r>
    </w:p>
    <w:p>
      <w:pPr>
        <w:spacing w:after="0" w:line="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Chief Information Office, which maintains our cybersecurity function, is led by our Chief Information Officer (CIO), who reports to our CEO. The Chief Information Security Officer (CISO) reports to the CIO and generally is responsible for management of cybersecurity risk and the protection and defense of our networks and systems. The CISO manages a team of cybersecurity professionals with broad experience and expertise, including in cybersecurity threat assessments and detection, mitigation technologies, cybersecurity training, incident response, cyber forensics, insider threats and regulatory compliance.</w:t>
      </w:r>
    </w:p>
    <w:p>
      <w:pPr>
        <w:spacing w:after="0" w:line="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Board of Directors is responsible for overseeing our enterprise risk management activities in general, and each of our Board committees assists the Board in the role of risk oversight. The full Board receives an update on the Company’s risk management process and the risk trends related to cybersecurity at least annually. The Audit and Risk Committee specifically assists the Board in its oversight of risks related to cybersecurity. To help ensure effective oversight, the Audit and Risk Committee receives reports on information security and cybersecurity from the CISO at least four times a year.</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the Company’s Enterprise Risk Management Council (ERMC) considers risks relating to cybersecurity, among other significant risks, and applicable mitigation plans to address such risks. The ERMC is comprised of the Executive Leadership Team, as well as the Chief Accounting Officer, Chief Compliance Officer, Corporate Secretary, Chief Sustainability Officer, Treasurer and Vice President, Internal Audit. The CIO and CISO attend each ERMC meeting. The ERMC meets during the year and receives periodic updates on cybersecurity risks from the CIO and CISO. We have an established process and playbook led by our CISO governing our assessment, response and notifications internally and externally upon the occurrence of a cybersecurity incident. Depending on the nature and severity of an incident, this process provides for escalating notification to our CEO and the Board (including our Lead Independent Director and the Audit and Risk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cybersecurity risk management includes the following key elements:</w:t>
      </w:r>
    </w:p>
    <w:p>
      <w:pPr>
        <w:spacing w:after="0" w:line="102" w:lineRule="exact"/>
        <w:rPr>
          <w:sz w:val="20"/>
          <w:szCs w:val="20"/>
          <w:color w:val="auto"/>
        </w:rPr>
      </w:pPr>
    </w:p>
    <w:p>
      <w:pPr>
        <w:ind w:left="660" w:right="18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Multi-Layered Defense and Continuous Monitoring </w:t>
      </w:r>
      <w:r>
        <w:rPr>
          <w:rFonts w:ascii="Times New Roman" w:cs="Times New Roman" w:eastAsia="Times New Roman" w:hAnsi="Times New Roman"/>
          <w:sz w:val="18"/>
          <w:szCs w:val="18"/>
          <w:color w:val="auto"/>
        </w:rPr>
        <w:t>– We work to protect our computing environments and products from cybersecurity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multi-layered defenses and apply lessons learned from our defense and monitoring efforts to help prevent future attacks. We utilize data analytics to detect anomalies and search for cyber threats. Our Cybersecurity Operations Center provides comprehensive cyber threat detection and response capabilities and maintains a 24x7 monitoring system which complements the technology, processes and threat detection techniques we use to monitor, manage and mitigate cybersecurity threats. From time to time, we engage third party consultants or other advisors to assist in assessing, identifying and/or managing cybersecurity threats. We also periodically use our Internal Audit function to conduct additional reviews and assessments.</w:t>
      </w:r>
    </w:p>
    <w:p>
      <w:pPr>
        <w:spacing w:after="0" w:line="47" w:lineRule="exact"/>
        <w:rPr>
          <w:rFonts w:ascii="Times New Roman" w:cs="Times New Roman" w:eastAsia="Times New Roman" w:hAnsi="Times New Roman"/>
          <w:sz w:val="18"/>
          <w:szCs w:val="18"/>
          <w:color w:val="auto"/>
        </w:rPr>
      </w:pPr>
    </w:p>
    <w:p>
      <w:pPr>
        <w:ind w:left="660" w:right="2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Insider Threats </w:t>
      </w:r>
      <w:r>
        <w:rPr>
          <w:rFonts w:ascii="Times New Roman" w:cs="Times New Roman" w:eastAsia="Times New Roman" w:hAnsi="Times New Roman"/>
          <w:sz w:val="18"/>
          <w:szCs w:val="18"/>
          <w:color w:val="auto"/>
        </w:rPr>
        <w:t>– We maintain an insider threat program designed to identify, assess, and address potential risks from within our Company.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evaluates potential risks consistent with industry practices, customer requirements and applicable law, including privacy and other considerations.</w:t>
      </w:r>
    </w:p>
    <w:p>
      <w:pPr>
        <w:spacing w:after="0" w:line="5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Sharing and Collaboration </w:t>
      </w:r>
      <w:r>
        <w:rPr>
          <w:rFonts w:ascii="Times New Roman" w:cs="Times New Roman" w:eastAsia="Times New Roman" w:hAnsi="Times New Roman"/>
          <w:sz w:val="18"/>
          <w:szCs w:val="18"/>
          <w:color w:val="auto"/>
        </w:rPr>
        <w:t>– We work with government, customer, industry and/or supplier partners, such as the National Defense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Sharing and Analysis Center and other government-industry partnerships, to gather and develop best practices and share information to address cyber threats. These relationships enable the rapid sharing of threat and vulnerability mitigation information across the defense industrial base and supply chain.</w:t>
      </w:r>
    </w:p>
    <w:p>
      <w:pPr>
        <w:spacing w:after="0" w:line="58"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Risk Assessments </w:t>
      </w:r>
      <w:r>
        <w:rPr>
          <w:rFonts w:ascii="Times New Roman" w:cs="Times New Roman" w:eastAsia="Times New Roman" w:hAnsi="Times New Roman"/>
          <w:sz w:val="18"/>
          <w:szCs w:val="18"/>
          <w:color w:val="auto"/>
        </w:rPr>
        <w:t>– We conduct information security assessments before sharing or allowing the hosting of sensitive data in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environments managed by third parties, and our standard terms and conditions contain contractual provisions requiring certain security protections.</w:t>
      </w:r>
    </w:p>
    <w:p>
      <w:pPr>
        <w:spacing w:after="0" w:line="38" w:lineRule="exact"/>
        <w:rPr>
          <w:rFonts w:ascii="Times New Roman" w:cs="Times New Roman" w:eastAsia="Times New Roman" w:hAnsi="Times New Roman"/>
          <w:sz w:val="18"/>
          <w:szCs w:val="18"/>
          <w:color w:val="auto"/>
        </w:rPr>
      </w:pPr>
    </w:p>
    <w:p>
      <w:pPr>
        <w:ind w:left="660" w:right="70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 We provide awareness training to our employees to help identify, avoid and mitigate cybersecurity threats.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with network access participate annually in required training, including spear phishing and other awareness training. We also periodically host tabletop exercises with management and other employees to practice rapid cyber incident response.</w:t>
      </w:r>
    </w:p>
    <w:p>
      <w:pPr>
        <w:spacing w:after="0" w:line="5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Engagement </w:t>
      </w:r>
      <w:r>
        <w:rPr>
          <w:rFonts w:ascii="Times New Roman" w:cs="Times New Roman" w:eastAsia="Times New Roman" w:hAnsi="Times New Roman"/>
          <w:sz w:val="18"/>
          <w:szCs w:val="18"/>
          <w:color w:val="auto"/>
        </w:rPr>
        <w:t>– We provide training and other resources to our suppliers to support cybersecurity resiliency in our supply chain.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our suppliers to comply with our standard information security terms and conditions, in addition to any requirements from our customers, as a condition of doing business with us, and require them to complete information security questionnaires to review and assess any potential cyber-related risks depending on the nature of the services being provided.</w:t>
      </w:r>
    </w:p>
    <w:p>
      <w:pPr>
        <w:spacing w:after="0" w:line="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we have experienced cybersecurity incidents in the past, to date none have materially affected the Company or our financial position, results of operations and/or cash flows. We continue to invest in the cybersecurity and resiliency of our networks and to enhance our internal controls and processes, which are designed to help protect our systems and infrastructure, and the information they contain. For more information regarding the risks we face from cybersecurity threats, please see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SEC filings. These risks and uncertainties are amplified by the global macroeconomic, security and political environments, including inflationary pressures, labor and supply chain challenges, which have caused and will continue to cause significant challenges, instability and uncertainty. They include: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right="20" w:hanging="332"/>
        <w:spacing w:after="0" w:line="312" w:lineRule="auto"/>
        <w:tabs>
          <w:tab w:leader="none" w:pos="3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1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90"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26"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 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talented and diverse workforce with the necessary security clearances to meet our performance obligations</w:t>
      </w:r>
    </w:p>
    <w:p>
      <w:pPr>
        <w:spacing w:after="0" w:line="130" w:lineRule="exact"/>
        <w:rPr>
          <w:rFonts w:ascii="Times New Roman" w:cs="Times New Roman" w:eastAsia="Times New Roman" w:hAnsi="Times New Roman"/>
          <w:sz w:val="18"/>
          <w:szCs w:val="18"/>
          <w:color w:val="auto"/>
        </w:rPr>
      </w:pPr>
    </w:p>
    <w:p>
      <w:pPr>
        <w:ind w:left="340" w:right="160" w:hanging="332"/>
        <w:spacing w:after="0" w:line="234" w:lineRule="auto"/>
        <w:tabs>
          <w:tab w:leader="none" w:pos="33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78" w:lineRule="exact"/>
        <w:rPr>
          <w:rFonts w:ascii="Arial" w:cs="Arial" w:eastAsia="Arial" w:hAnsi="Arial"/>
          <w:sz w:val="22"/>
          <w:szCs w:val="22"/>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related to health epidemics and pandemics and similar outbreaks</w:t>
      </w:r>
    </w:p>
    <w:p>
      <w:pPr>
        <w:spacing w:after="0" w:line="10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with our pension and other postretirement benefit plans and legislative or other regulatory actions impacting our pension and postretirement benefit obligations</w:t>
      </w:r>
    </w:p>
    <w:p>
      <w:pPr>
        <w:spacing w:after="0" w:line="40" w:lineRule="exact"/>
        <w:rPr>
          <w:sz w:val="20"/>
          <w:szCs w:val="20"/>
          <w:color w:val="auto"/>
        </w:rPr>
      </w:pPr>
    </w:p>
    <w:p>
      <w:pPr>
        <w:ind w:left="340" w:right="46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At December 31, 2023, we had approximately 51 million square feet of floor space at 459 separate locations, primarily in the U.S., for manufacturing, warehousing, research and testing, administration and various other uses. We leased to third parties approximately 37,000 square feet of our owned and leased facilities. The company’s major operations are at the following locations: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El Segundo, Mojave, Palmdale, Redondo Beach and San Diego, CA; Melbourne and St. Augustine, FL; Iuka and Moss Point, MS; Beavercreek, OH; Oklahoma City, OK; and Clearfield, UT.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Huntsville, AL; Mesa and Sierra Vista, AZ; Northridge, CA; Warner Robins, GA; Lake Charles, LA; Elkton, MD; Elk River and Plymouth, MN; Dulles, McLean and Radford, VA; and Keyser, WV. Locations outside the U.S. include Australia.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3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McClellan, San Diego, Sunnyvale and Woodland Hills, CA; Apopka, FL; Rolling Meadows, IL; Annapolis, Annapolis Junction, Elkridge, Halethorpe, Linthicum and Sykesville, MD; Bethpage and Williamsville, NY; Cincinnati, OH; Salt Lake City, UT; and Chantilly, Charlottesville and Fairfax, VA. Locations outside the U.S. include France, Germany, Italy and the United Kingdom.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3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Huntsville, AL; Chandler and Gilbert, AZ; Azusa, Carson, Los Angeles, Manhattan Beach, Oxnard, Redondo Beach and San Diego, CA; Aurora, Boulder, and Colorado Springs, CO; Beltsville, MD; Devens, MA;Clearfield, Corinne, Magna, Ogden, Roy and Tremonton, UT; and Dulles and Sterling, VA.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31, 2023:</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Square feet (in thousands)</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0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U.S. Government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Owned</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Leased</w:t>
            </w:r>
          </w:p>
        </w:tc>
        <w:tc>
          <w:tcPr>
            <w:tcW w:w="2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Owned/Leased</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3,179</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6,204</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3,302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1,367</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3,328</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8,033</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4,145</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9,546</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8,714</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246</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22,497</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22,637</w:t>
            </w: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6,176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11 and 12 to the consolidated financial statements.</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11 and 12 to the consolidated financial statements, and for further information on the risks we face from existing and future investigations, lawsuits, arbitration, claims, enforcement actions and other legal proceedings, please see “Risk Factors.”</w:t>
      </w: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800,000,000 shares authorized at a $1 par value per share, of which 150,109,271 shares and 153,157,924 shares were issued and outstanding as of December 31, 2023 and 2022,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10,000,000 shares authorized at a $1 par value per share, of which no shares were issued and outstanding as of December 31, 2023 and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NOC.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22, 2024, there were 18,531 common shareholders of record.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560" w:type="dxa"/>
            <w:vAlign w:val="bottom"/>
          </w:tcPr>
          <w:p>
            <w:pPr>
              <w:jc w:val="center"/>
              <w:ind w:left="3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192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 the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2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60" w:type="dxa"/>
            <w:vAlign w:val="bottom"/>
          </w:tcPr>
          <w:p>
            <w:pPr>
              <w:spacing w:after="0"/>
              <w:rPr>
                <w:sz w:val="15"/>
                <w:szCs w:val="15"/>
                <w:color w:val="auto"/>
              </w:rPr>
            </w:pPr>
          </w:p>
        </w:tc>
        <w:tc>
          <w:tcPr>
            <w:tcW w:w="118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7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04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in millions)</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2023 - October 27, 2023</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85,824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449.40</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85,824</w:t>
            </w:r>
          </w:p>
        </w:tc>
        <w:tc>
          <w:tcPr>
            <w:tcW w:w="1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1,441</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28, 2023 - November 24, 2023</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293,446</w:t>
            </w:r>
          </w:p>
        </w:tc>
        <w:tc>
          <w:tcPr>
            <w:tcW w:w="26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466.94</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293,446</w:t>
            </w: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1,304</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25, 2023 - December 31, 2023</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379,654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470.52</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379,654</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3,625</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758,924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466.75</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758,924</w:t>
            </w:r>
          </w:p>
        </w:tc>
        <w:tc>
          <w:tcPr>
            <w:tcW w:w="15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3,625</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w:t>
      </w:r>
    </w:p>
    <w:p>
      <w:pPr>
        <w:spacing w:after="0" w:line="73" w:lineRule="exact"/>
        <w:rPr>
          <w:rFonts w:ascii="Times New Roman" w:cs="Times New Roman" w:eastAsia="Times New Roman" w:hAnsi="Times New Roman"/>
          <w:sz w:val="19"/>
          <w:szCs w:val="19"/>
          <w:color w:val="auto"/>
          <w:vertAlign w:val="superscript"/>
        </w:rPr>
      </w:pPr>
    </w:p>
    <w:p>
      <w:pPr>
        <w:ind w:left="180" w:hanging="172"/>
        <w:spacing w:after="0"/>
        <w:tabs>
          <w:tab w:leader="none" w:pos="16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value remaining on December 31, 2023 includes an additional $2.5 billion share repurchase authorization approved by the company’s board of directors on December 6, 2023.</w:t>
      </w:r>
    </w:p>
    <w:p>
      <w:pPr>
        <w:spacing w:after="0" w:line="2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Among Northrop Grumman, the Standard &amp; Poor’s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5715</wp:posOffset>
            </wp:positionV>
            <wp:extent cx="4808855"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885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right="60" w:hanging="249"/>
        <w:spacing w:after="0" w:line="242" w:lineRule="auto"/>
        <w:tabs>
          <w:tab w:leader="none" w:pos="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Assumes $100 invested at the close of business on December 31, 2018, in Northrop Grumman Corporation common stock, the S&amp;P 500 Index and the S&amp;P A&amp;D Index.</w:t>
      </w:r>
    </w:p>
    <w:p>
      <w:pPr>
        <w:spacing w:after="0" w:line="3" w:lineRule="exact"/>
        <w:rPr>
          <w:rFonts w:ascii="Times New Roman" w:cs="Times New Roman" w:eastAsia="Times New Roman" w:hAnsi="Times New Roman"/>
          <w:sz w:val="22"/>
          <w:szCs w:val="22"/>
          <w:color w:val="auto"/>
        </w:rPr>
      </w:pPr>
    </w:p>
    <w:p>
      <w:pPr>
        <w:ind w:left="480" w:hanging="229"/>
        <w:spacing w:after="0"/>
        <w:tabs>
          <w:tab w:leader="none" w:pos="4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cumulative total return assumes reinvestment of dividends.</w:t>
      </w:r>
    </w:p>
    <w:p>
      <w:pPr>
        <w:spacing w:after="0" w:line="22" w:lineRule="exact"/>
        <w:rPr>
          <w:rFonts w:ascii="Times New Roman" w:cs="Times New Roman" w:eastAsia="Times New Roman" w:hAnsi="Times New Roman"/>
          <w:sz w:val="22"/>
          <w:szCs w:val="22"/>
          <w:color w:val="auto"/>
        </w:rPr>
      </w:pPr>
    </w:p>
    <w:p>
      <w:pPr>
        <w:ind w:left="500" w:hanging="249"/>
        <w:spacing w:after="0" w:line="239" w:lineRule="auto"/>
        <w:tabs>
          <w:tab w:leader="none" w:pos="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S&amp;P A&amp;D Index is comprised of Axon Enterprise, Inc., The Boeing Company, General Dynamics Corporation, Howmet Aerospace Inc., Huntington Ingalls Industries Inc., L3Harris Technologies, Inc., Lockheed Martin Corporation, Northrop Grumman Corporation, RTX Corporation, Textron Inc., and TransDigm Group Incorporated.</w:t>
      </w:r>
    </w:p>
    <w:p>
      <w:pPr>
        <w:spacing w:after="0" w:line="24" w:lineRule="exact"/>
        <w:rPr>
          <w:rFonts w:ascii="Times New Roman" w:cs="Times New Roman" w:eastAsia="Times New Roman" w:hAnsi="Times New Roman"/>
          <w:sz w:val="22"/>
          <w:szCs w:val="22"/>
          <w:color w:val="auto"/>
        </w:rPr>
      </w:pPr>
    </w:p>
    <w:p>
      <w:pPr>
        <w:ind w:left="500" w:hanging="249"/>
        <w:spacing w:after="0" w:line="239" w:lineRule="auto"/>
        <w:tabs>
          <w:tab w:leader="none" w:pos="4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graph is not deemed to be “filed” with the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20"/>
        <w:spacing w:after="0" w:line="31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10-K, as well as Part II, “Item 7. Management's Discussion and Analysis of Financial Condition and Results of Operations” of our Form 10-K for the year ended December 31, 2022 (“2022 Annual Report on Form 10-K”).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5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The conflict in Ukraine has increased global tensions and instability, highlighted threats and increased global demand, as well as further disrupted global supply chains. We continue to not anticipate significant adverse financial impacts directly from the ongoing conflict. We have experienced, and, while difficult to predict, may continue to experience a modest increase in demand for certain of our goods and services directly and indirectly related to the conflict in Ukraine, either through direct sales or if the U.S. provides increased military assistance and support to Ukraine.</w:t>
      </w:r>
    </w:p>
    <w:p>
      <w:pPr>
        <w:spacing w:after="0" w:line="1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More recently, the hostilities in Israel and the Gaza Strip have further heightened global tensions and instability. At this time, it is unknown whether hostilities in this region will escalate into an even larger conflict. The demand for our goods and services may increase, especially if the U.S. provides increased military assistance and support to Israel. We do not have a significant business presence in the region, and therefore do not anticipate significant adverse financial impacts directly from the current conflict.</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More broadly, the ongoing conflicts in Ukraine and Israel and threats elsewhere, particularly in the Pacific region, have heightened tensions and highlighted security requirements globally, including Europe, the Middle East and the Pacific region, as well as the U.S. These conflicts may result in increased demand for defense products and services from allies and partner nations, particularly in those areas. We are actively exploring both opportunities and risks associated with the broader global security environment.</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the U.S. and its allies, and the need for strong deterrence and a robust defense capability. We believe our capabilities, particularly in space, C4ISR, missile defense, battle management, advanced weapons, and survivable aircraft and mission systems should help our customers in the U.S. and globally defend against current and future threats and, as a result, continue to allow for long-term profitable business growth.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global economic environment has experienced extraordinary challenges, including high rates of inflation and inflationary pressures; widespread delays and disruptions in supply chains; business slowdowns or shutdowns; workforce challenges and labor shortfalls; and market volatility. Some of these challenges were due, in part, to the global health emergency caused by COVID-19, which the World Health organization declared ended in May 2023. Direct impacts of COVID-19 on our business during 2023 were limited, and we are not currently expecting significant direct impacts on our business going forward.</w:t>
      </w:r>
    </w:p>
    <w:p>
      <w:pPr>
        <w:spacing w:after="0" w:line="6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macroeconomic factors have contributed, and we expect will continue to contribute, to increased costs, delays, disruptions and other performance challenges, as well as increased competing demands for limited resources to address such increased costs and other challenges, for our company, our suppliers and partners, and our customers.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work hard to mitigate challenges caused by the current macroeconomic environment on our business, including by taking steps to support our suppliers and small businesses and enhancing our workforce through extensive hiring, development and retention efforts. However, the broader macroeconomic environment, including inflationary pressures and supply chain challenges, continued adversely to affect the company’s results for the year ended December 31, 2023. We cannot clearly predict how long these macroeconomic challenges will continue, how they will change over time, or what additional resources will be available, but we expect to see this challenging macroeconomic environment continue adversely to impact the global economy, our customers and suppliers, our industry and our company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Israel, threats in the Pacific regions and other security priorities, as well as global inflation, the national debt, and other domestic priorities, among other things, in the U.S. and globally, will continue to impact our customers’ budgets, spending and priorities, and our industry. The U.S. political environment, including the U.S. election cycle, may also impact defense budgets and priorities, issues related to the national debt, and government spending more broadly. We anticipate that issues related to budgetary priorities and defense spending levels, the debt ceiling, and the spending caps imposed by the Fiscal Responsibility Act of 2023 (FRA), particularly with respect to discretionary spending, will continue to be a subject of considerable debate, with a potentially significant impact on our programs and the company.</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Annual appropriations to fund the federal government for FY 2024 have not been enacted. Congress continues to pass short-term continuing resolutions (CR) to fund the federal government. The most recent “laddered” CR passed in January 2024 funds the government through March 2024, depending on the appropriation bill. If Congress does not pass full year appropriations or an additional CR before current funding expires, the federal government (or select departments) could face a shutdown and cease what are characterized as certain non-essential operations. Depending on the nature and duration of a potential shutdown, businesses that rely on government funding, including defense contractors, could be significantly impacted. If the federal government remains under a CR at the end of April 2024, the one percent discretionary spending cuts under the FRA could be triggered, potentially resulting in lower funding on the programs in which we participate.</w:t>
      </w:r>
    </w:p>
    <w:p>
      <w:pPr>
        <w:spacing w:after="0" w:line="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December 2023, the president signed the National Defense Authorization Act (NDAA) for FY 2024 which supports approximately $886 billion in FY 2024 funding for national defense, $842 billion of which is for the DoD.</w:t>
      </w:r>
    </w:p>
    <w:p>
      <w:pPr>
        <w:spacing w:after="0" w:line="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are expected to continue to be the subject of considerable debate, especially in light of the ongoing conflicts and heightened global tensions, the inflationary environment and political tensions. The results of those debates could have material impacts on defense spending broadly and the company’s programs in particular. We anticipate that the broader macroeconomic environment, with ongoing inflationary pressures, pockets of labor challenges, and supply chain disruption, among other considerations, will continue to play a significant role in the outcome of these debates and, in turn, on our industry and company.</w:t>
      </w:r>
    </w:p>
    <w:p>
      <w:pPr>
        <w:spacing w:after="0" w:line="4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further information on the global security and economic environment and U.S. political, budget and regulatory environment, including the risks related thereto, see “Liquidity and Capital Resources,” “Quantitative and Qualitative Disclosures About Market Risks” and “Risks Factors” included in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Ground-Based Strategic Deterrent (“GBSD” or “Sentinel”) Program Nunn-McCurdy Breach Review</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Due in part to the impact of macroeconomic factors, in January 2024 the customer provided congressional notification that the Sentinel program is currently under a Nunn-McCurdy breach review, which is required when total program cost estimates exceed certain defined thresholds. This notification, which has been driven primarily by increases in construction and procurement cost projections for the Production and Deployment phases, commences the process to achieve recertification for continuance of the program and update its baseline cost estimates. We are currently executing under a cost-type contract for the Engineering and Manufacturing Development phase, and the Production and Deployment phases are yet to be priced and negotiated. We are continuing to partner with our customer to address this critical mission. For more information, see “Risk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Information Solutions and Services (IS&amp;S) division of Defense Systems (excluding the Vinnell Arabia business); select cyber, intelligence and missions support programs, which were part of the former Cyber and Intelligence Mission Solutions (CIMS) division of Mission Systems; and the former Space Technical Services business unit of Space Systems. Operating results include sales and operating income for the IT and mission support services business prior to the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date; therefore, no sales and operating income were recognized for this business during the years ended December 31, 2023 and 2022. The company recorded sales of $162 million and pre-tax profit of $20 million for the IT and mission support services business during the year ended December 31,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Operating Performance Assessment and Reporting</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the applicable FAR and CAS requirements that govern our U.S. government business,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 of contract type and/or life cycle (e.g., cost-type, fixed-price, development, production, and/or sustainment).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accounting principles generally accepted in the United States of America (“GAAP” or “FAS”).</w:t>
      </w:r>
    </w:p>
    <w:p>
      <w:pPr>
        <w:spacing w:after="0" w:line="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Mark-to-market adjusted net earnings (MTM-adjusted net earnings) and MTM-adjusted earnings per share (MTM-adjusted EPS) exclude MTM pension and OPB (expense)/benefit and related tax impacts, which are generally only recognized during the fourth quarter. Transaction-adjusted net earnings and transaction-adjusted earnings per share (transaction-adjusted EPS) exclude the MTM impacts noted above, as well as impacts related to the IT services divestiture, including the gain on sale of the business, associated federal and state income tax expenses, transaction costs, and the make-whole premium for early debt redemption. These non-GAAP measures may be useful to investors and other users of our financial statements as supplemental measures in evaluating the company’s underlying financial performance by presenting the company’s operating results before the non-operational impact of pension and OPB actuarial gains and losses, and with regard to transaction-adjusted net earnings and EPS, the impact of certain divestiture activity. These measures are also consistent with how management views the underlying performance of the business as the impact of MTM accounting and the IT services divestiture are not considered in management’s assessment of the company’s operating performance or in its determination of incentive compensation awards.</w:t>
      </w:r>
    </w:p>
    <w:p>
      <w:pPr>
        <w:spacing w:after="0" w:line="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1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4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36,602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36,753</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33,001</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31,996</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93.5 %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90.2 %</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89.7 %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2,537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6.5 %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pension and OPB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(422)</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290</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12.4 %</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21.6 %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2,056</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4,896</w:t>
            </w:r>
          </w:p>
        </w:tc>
        <w:tc>
          <w:tcPr>
            <w:tcW w:w="3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7,005</w:t>
            </w:r>
          </w:p>
        </w:tc>
        <w:tc>
          <w:tcPr>
            <w:tcW w:w="12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13.53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31.47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 xml:space="preserve">2023 sales increased $2.7 billion, or 7 percent, </w:t>
      </w:r>
      <w:r>
        <w:rPr>
          <w:rFonts w:ascii="Times New Roman" w:cs="Times New Roman" w:eastAsia="Times New Roman" w:hAnsi="Times New Roman"/>
          <w:sz w:val="18"/>
          <w:szCs w:val="18"/>
          <w:color w:val="333333"/>
        </w:rPr>
        <w:t>due to higher sales at all four sectors. 2023 sales reflect continued strong demand for our products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services.</w:t>
      </w:r>
    </w:p>
    <w:p>
      <w:pPr>
        <w:spacing w:after="0" w:line="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16 to the consolidated financial statements for information regarding the company’s sales by customer type, contract type and geographic region for each of our segments.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2023 operating income decreased $1.1 billion, or 30 percent, primarily due to a $1.56 billion charge on the B-21 program at Aeronautics Systems, partially offset by higher operating income at Space Systems and Defense Systems. The B-21 charge relates to the low-rate initial production (LRIP) phase of the program and is due principally to a change in our assumptions regarding funding to mitigate the impact of macroeconomic disruptions on the program and higher projected manufacturing costs that reflect recent supplier negotiations and our experience in completing the first aircraft. The decrease was also offset by $311 million of lower unallocated corporate expense, largely due to higher deferred state tax benefits associated with the MTM adjustment and B-21 charge and lower intangible asset amortization and PP&amp;E step-up depreciation, as well as a $118 million reduction in the FAS/CAS operating adjustment. 2023 operating margin rate declined to 6.5 percent from 9.8 percent reflecting the items above.</w:t>
      </w:r>
    </w:p>
    <w:p>
      <w:pPr>
        <w:spacing w:after="0" w:line="6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2023 G&amp;A costs as a percentage of sales decreased to 10.2 percent from 10.6 percent, primarily due to higher sales, which more than offset our continued investments for future business opportunities.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Mark-to-Market Pension and OPB Benefit/Expense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pre-tax MTM (expense) benefit are presented in the table below:</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(losses) gains on projected benefit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9,662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Actuarial gains (losses) on plan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8"/>
              </w:rPr>
              <w:t>(8,430)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3"/>
        </w:trPr>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MTM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1,232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2023 MTM expense of $422 million was primarily driven by a 39 basis point decrease in the discount rate from year end 2022, partially offset by actual net plan asset returns of 11.1 percent compared to our 7.5 percent asset return assumption.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The 2023 effective tax rate (ETR) decreased to 12.4 percent from 16.1 percent in 2022 primarily due to lower earnings before income taxes as a result of the B-21 charge and MTM expense, which collectively reduced the 2023 ETR by 3.8 percentage points. The 2022 MTM benefit increased the 2022 ETR by 1.2 percentage points. See Note 7 to the consolidated financial statements for additional information.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earnings to MTM-adjusted net earnings and transaction-adjusted net earnings: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c>
          <w:tcPr>
            <w:tcW w:w="23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expense (benefit)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(benefit) expense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6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(benefit) expense of items above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net of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net earnings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Make-whole premium</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6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items above</w:t>
            </w:r>
            <w:r>
              <w:rPr>
                <w:rFonts w:ascii="Times New Roman" w:cs="Times New Roman" w:eastAsia="Times New Roman" w:hAnsi="Times New Roman"/>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Transaction adjustment, net of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Transaction-adjusted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62" w:lineRule="exact"/>
        <w:rPr>
          <w:sz w:val="20"/>
          <w:szCs w:val="20"/>
          <w:color w:val="auto"/>
        </w:rPr>
      </w:pPr>
    </w:p>
    <w:p>
      <w:pPr>
        <w:ind w:left="180" w:right="200" w:hanging="172"/>
        <w:spacing w:after="0" w:line="254" w:lineRule="auto"/>
        <w:tabs>
          <w:tab w:leader="none" w:pos="16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60" w:lineRule="exact"/>
        <w:rPr>
          <w:rFonts w:ascii="Times New Roman" w:cs="Times New Roman" w:eastAsia="Times New Roman" w:hAnsi="Times New Roman"/>
          <w:sz w:val="20"/>
          <w:szCs w:val="20"/>
          <w:color w:val="auto"/>
          <w:vertAlign w:val="superscript"/>
        </w:rPr>
      </w:pPr>
    </w:p>
    <w:p>
      <w:pPr>
        <w:ind w:left="180" w:right="540" w:hanging="172"/>
        <w:spacing w:after="0" w:line="238" w:lineRule="auto"/>
        <w:tabs>
          <w:tab w:leader="none" w:pos="16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65"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3" w:lineRule="exact"/>
        <w:rPr>
          <w:rFonts w:ascii="Times New Roman" w:cs="Times New Roman" w:eastAsia="Times New Roman" w:hAnsi="Times New Roman"/>
          <w:sz w:val="19"/>
          <w:szCs w:val="19"/>
          <w:color w:val="auto"/>
          <w:vertAlign w:val="superscript"/>
        </w:rPr>
      </w:pPr>
    </w:p>
    <w:p>
      <w:pPr>
        <w:ind w:left="180" w:right="100" w:hanging="172"/>
        <w:spacing w:after="0" w:line="254" w:lineRule="auto"/>
        <w:tabs>
          <w:tab w:leader="none" w:pos="16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2023 net earnings decreased $2.8 billion, or 58 percent, principally due to a $1.7 billion decrease in our MTM (expense) benefit, a $975 million reduction in the non-operating FAS pension benefit and the $1.1 billion decrease in operating income described above, partially offset by a $650 million decrease in income tax expense, a $107 million increase in returns on marketable securities related to our non-qualified benefit plans, and a $97 million gain recognized upon the sale of our minority investment in an Australian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90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7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MTM-adjusted EPS and transaction-adjusted EPS: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2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13.53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MTM expense (benefit)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2.78</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MTM-related deferred state tax (benefit) expense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20" w:type="dxa"/>
            <w:vAlign w:val="bottom"/>
          </w:tcPr>
          <w:p>
            <w:pPr>
              <w:spacing w:after="0"/>
              <w:rPr>
                <w:sz w:val="19"/>
                <w:szCs w:val="19"/>
                <w:color w:val="auto"/>
              </w:rPr>
            </w:pPr>
          </w:p>
        </w:tc>
        <w:tc>
          <w:tcPr>
            <w:tcW w:w="58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(benefit) expense of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MTM adjustment per share, net of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MTM-adjusted EPS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 per share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per share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Make-whole premium per share</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items above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per share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Transaction adjustment per share, net of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0" w:type="dxa"/>
            <w:vAlign w:val="bottom"/>
          </w:tcPr>
          <w:p>
            <w:pPr>
              <w:spacing w:after="0"/>
              <w:rPr>
                <w:sz w:val="20"/>
                <w:szCs w:val="20"/>
                <w:color w:val="auto"/>
              </w:rPr>
            </w:pPr>
          </w:p>
        </w:tc>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Transaction-adjusted EPS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62" w:lineRule="exact"/>
        <w:rPr>
          <w:sz w:val="20"/>
          <w:szCs w:val="20"/>
          <w:color w:val="auto"/>
        </w:rPr>
      </w:pPr>
    </w:p>
    <w:p>
      <w:pPr>
        <w:ind w:left="180" w:right="220" w:hanging="172"/>
        <w:spacing w:after="0" w:line="238"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deferred state tax impact in each period was calculated using the company’s blended state tax rate of 5.25 percent and is included in Unallocated corporate expense within operating income.</w:t>
      </w:r>
    </w:p>
    <w:p>
      <w:pPr>
        <w:spacing w:after="0" w:line="73" w:lineRule="exact"/>
        <w:rPr>
          <w:rFonts w:ascii="Times New Roman" w:cs="Times New Roman" w:eastAsia="Times New Roman" w:hAnsi="Times New Roman"/>
          <w:sz w:val="20"/>
          <w:szCs w:val="20"/>
          <w:color w:val="auto"/>
          <w:vertAlign w:val="superscript"/>
        </w:rPr>
      </w:pPr>
    </w:p>
    <w:p>
      <w:pPr>
        <w:ind w:left="180" w:right="560" w:hanging="172"/>
        <w:spacing w:after="0" w:line="254"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in each period was calculated by subtracting the deferred state tax impact from MTM benefit (expense) and applying the 21 percent federal statutory rate.</w:t>
      </w:r>
    </w:p>
    <w:p>
      <w:pPr>
        <w:spacing w:after="0" w:line="51"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3" w:lineRule="exact"/>
        <w:rPr>
          <w:rFonts w:ascii="Times New Roman" w:cs="Times New Roman" w:eastAsia="Times New Roman" w:hAnsi="Times New Roman"/>
          <w:sz w:val="19"/>
          <w:szCs w:val="19"/>
          <w:color w:val="auto"/>
          <w:vertAlign w:val="superscript"/>
        </w:rPr>
      </w:pPr>
    </w:p>
    <w:p>
      <w:pPr>
        <w:ind w:left="180" w:right="120" w:hanging="172"/>
        <w:spacing w:after="0" w:line="238"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2023 diluted earnings per share decreased $17.94, or 57 percent, reflecting the 58 percent decrease in net earnings described above and a 2 percent decrease in weighted-average diluted shares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For a more complete description of each segment’s products and services, see “Business.”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defined and calculated by other companies in the same manner and should not be considered in isolation or as alternatives to operating results presented in accordance with GAAP.</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2,537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(154)</w:t>
            </w:r>
          </w:p>
        </w:tc>
        <w:tc>
          <w:tcPr>
            <w:tcW w:w="34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8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48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 services divestiture – unallowable state taxes and transaction</w:t>
            </w:r>
          </w:p>
        </w:tc>
        <w:tc>
          <w:tcPr>
            <w:tcW w:w="280" w:type="dxa"/>
            <w:vAlign w:val="bottom"/>
          </w:tcPr>
          <w:p>
            <w:pPr>
              <w:spacing w:after="0"/>
              <w:rPr>
                <w:sz w:val="15"/>
                <w:szCs w:val="15"/>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Deferred state tax (benefit) expense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MTM adjustment</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Deferred state tax benefit of B-21 charge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4,253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11.6 %</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200" w:hanging="172"/>
        <w:spacing w:after="0" w:line="238" w:lineRule="auto"/>
        <w:tabs>
          <w:tab w:leader="none" w:pos="168"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deferred state tax (benefits) expenses associated with MTM (expense) benefit and the B-21 charge, which are recorded in Unallocated corporate expense (income) consistent with other changes in deferred state taxes.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Income and Margin Rate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2023 segment operating income decreased $1.5 billion, or 35 percent, and segment operating margin rate decreased to 7.0 percent primarily due to the B-21 charge at Aeronautics Systems. Operating income at Space Systems and Defense Systems was higher than in the prior year period.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decrease in our 2023 FAS/CAS operating adjustment is primarily due to lower FAS pension service expense resulting from changes in certain actuarial assumptions as of December 31,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 (Income)</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decrease in 2023 unallocated corporate expense is primarily due to higher deferred state tax benefits associated with the MTM adjustment and B-21 charge and lower intangible asset amortization and PP&amp;E step-up depreciation.</w:t>
      </w:r>
    </w:p>
    <w:p>
      <w:pPr>
        <w:spacing w:after="0" w:line="4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Estimate-At-Completion (EAC) Adjustments - </w:t>
      </w:r>
      <w:r>
        <w:rPr>
          <w:rFonts w:ascii="Times New Roman" w:cs="Times New Roman" w:eastAsia="Times New Roman" w:hAnsi="Times New Roman"/>
          <w:sz w:val="18"/>
          <w:szCs w:val="18"/>
          <w:color w:val="auto"/>
        </w:rPr>
        <w:t>We record changes in estimated contract earnings at completion (net EAC adjustments)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catch-up method of accounting. Net EAC adjustments can have a significant effect on reported sales and operating income and the aggregate amounts are presented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(1,230)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4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7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2"/>
                <w:szCs w:val="22"/>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AERONAUTICS SYSTEMS</w:t>
      </w:r>
    </w:p>
    <w:p>
      <w:pPr>
        <w:spacing w:after="0" w:line="9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Aeronautics Systems is a leader in the design, development, production, integration, sustainment and modernization of military aircraft systems for the U.S. Air Force, the U.S. Navy, other U.S. government agencies, and international customers. Major products include strategic long-range strike aircraft; tactical fighter and air dominance aircraft; airborne battle management and command and control systems; and unmanned autonomous aircraft systems, including high-altitude long-endurance (HALE) strategic intelligence, surveillance and reconnaissance (ISR) systems and vertical take-off and landing (VTOL) tactical ISR systems.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10,786</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10,531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58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NM</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(4.4)%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2023 sales increased $255 million, or 2 percent, primarily due to higher volume on restricted programs, partially offset by a $191 million decrease on the F/A-18 program largely due to post Multi-Year Procurement 4 (MYP4) contract award timing, a $131 million decrease on the Joint Surveillance and Target Attack Radar System (JSTARS) program as that program nears completion and a decrease on the E-2 program largely related to higher material volume in the prior year.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2023 operating income decreased $1.6 billion and operating margin rate decreased to (4.4) percent primarily due to the previously described $1.56 billion charge recorded on the LRIP phase of the B-21 program, inclusive of a $143 million unfavorable EAC adjustment for the first LRIP lot. The prior year period includes $133 million of favorable EAC adjustments on the engineering, manufacturing and development phase of the B-21 program and a</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$38 million gain on a property sale. Apart from the B-21 EAC adjustments noted above, net EAC adjustments across the sector were $58 million higher than in the prior year.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DEFENSE SYSTEMS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Defense Systems is a leader in the design, development, integration and production of advanced tactical weapons and missile defense solutions, and a provider of sustainment, modernization and training services for manned and unmanned aircraft and electronics systems for the U.S. military and a broad range of international customers. Major products and services include integrated, all-domain command and control (C2) battle management systems, precision strike weapons; advanced propulsion, including high speed air-breathing and hypersonic systems; high-performance gun systems, ammunition, precision munitions and advanced fuzes; aircraft and mission systems logistics support, sustainment, operations and modernization; and warfighter training.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5,862</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5,579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664</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12.1 %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11.9 %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jc w:val="both"/>
        <w:ind w:right="220"/>
        <w:spacing w:after="0" w:line="290" w:lineRule="auto"/>
        <w:rPr>
          <w:sz w:val="20"/>
          <w:szCs w:val="20"/>
          <w:color w:val="auto"/>
        </w:rPr>
      </w:pPr>
      <w:r>
        <w:rPr>
          <w:rFonts w:ascii="Times New Roman" w:cs="Times New Roman" w:eastAsia="Times New Roman" w:hAnsi="Times New Roman"/>
          <w:sz w:val="17"/>
          <w:szCs w:val="17"/>
          <w:color w:val="auto"/>
        </w:rPr>
        <w:t>2023 sales increased $283 million, or 5 percent, primarily due to higher volume on several programs, including ammunition programs, Guided Multiple Launch Rocket System (GMLRS), an international training program, Hypersonic Attack Cruise Missile (HACM), and Stand-in Attack Weapon (SiAW).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2023 operating income increased $46 million, or 7 percent, due to higher sales and a higher operating margin rate. Operating margin rate increased to 12.1 percent from 11.9 percent primarily due to the write-down of an unconsolidated joint venture investment in the prior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SYSTEMS</w:t>
      </w:r>
    </w:p>
    <w:p>
      <w:pPr>
        <w:spacing w:after="0" w:line="9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Mission Systems is a leader in advanced mission solutions and multifunction systems, primarily for the U.S. defense and intelligence community, and international customers. Major products and services include command, control, communications and computers, intelligence, surveillance and reconnaissance (C4ISR) systems; radar, electro-optical/infrared (EO/IR) and acoustic sensors; electronic warfare systems; advanced communications and network systems; full spectrum cyber solutions; intelligence processing systems; advanced microelectronics; navigation and positioning sensors; and maritime power, propulsion and payload launch systems.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10,895</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10,396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14.8 %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2023 sales increased $499 million, or 5 percent, primarily due to higher restricted sales on advanced microelectronics programs, as well as a $165 million increase on marine systems programs. These increases were partially offset by a $107 million decrease on the Ground/Air Task Oriented Radar (G/ATOR) program largely driven by the timing of material receipts and full-rate production (FRP) 5 contract award, as well as lower volume on airborne radar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2023 operating income decreased $9 million, or 1 percent, due to a lower operating margin rate, which more than offset higher sales. Operating margin rate decreased to 14.8 percent from 15.6 percent primarily due to a prior year $33 million benefit recognized in connection with a contract-related legal matter, as well as changes in contract mix toward more cost-type content.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SPACE SYSTEMS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Space Systems is a leader in delivering end-to-end mission solutions through the design, development, integration, production and operation of space, missile defense, launch and strategic missile systems for national security, civil government, commercial and international customers. Major products include satellites and spacecraft systems, subsystems, sensors and payloads; ground systems; missile defense systems and interceptors; launch vehicles and related propulsion systems; and strategic missiles.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13,946</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12,275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c>
          <w:tcPr>
            <w:tcW w:w="6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1,158</w:t>
            </w: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i w:val="1"/>
                <w:iCs w:val="1"/>
                <w:color w:val="auto"/>
              </w:rPr>
              <w:t>8.7 %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9.4 %</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2023 sales increased $1.7 billion, or 14 percent, primarily due to higher volume on restricted programs and ramp-up on development programs, including increases of $426 million on the Ground Based Strategic Deterrent (GBSD) program, $333 million on the Next-Generation Overhead Persistent Infrared Polar (NextGen Polar) program, $219 million on the Next Generation Interceptor (NGI) program, $119 million on the Space Development Agency (SDA) Tranche 1 Tracking Layer program and $102 million on the SDA Tranche 2 Transport Layer program. These increases were partially offset by a</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$172 million decrease for Commercial Resupply Services (CRS) missions and a $109 million decrease on the Habitation and Logistics Outpost (HALO)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2023 operating income increased $54 million, or 5 percent, due to higher sales, partially offset by a lower operating margin rate. Operating margin rate decreased to 8.7 percent from 9.4 percent primarily due to a prior year $96 million gain recognized in connection with a land exchange transaction, as well as lower net EAC adjustments driven by $100 million of unfavorable EAC adjustments on the HALO program in 2023. These decreases were partially offset by a $42 million benefit from insurance recoveries in our commercial space business during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Operating Costs</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60" w:type="dxa"/>
            <w:vAlign w:val="bottom"/>
          </w:tcPr>
          <w:p>
            <w:pPr>
              <w:spacing w:after="0"/>
              <w:rPr>
                <w:sz w:val="15"/>
                <w:szCs w:val="15"/>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7"/>
              </w:rPr>
              <w:t>and Expenses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and Expenses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8,157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8,942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2,389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10,786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11,259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10,531</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2,984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2,717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2,080</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1,836</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1,819</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798</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5,862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5,579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7,749</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6,669</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7,376</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6,291</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10,895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9,286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10,396</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2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12,007</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11,067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10,448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0" w:type="dxa"/>
            <w:vAlign w:val="bottom"/>
          </w:tcPr>
          <w:p>
            <w:pPr>
              <w:spacing w:after="0"/>
              <w:rPr>
                <w:sz w:val="1"/>
                <w:szCs w:val="1"/>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1,832</w:t>
            </w:r>
          </w:p>
        </w:tc>
        <w:tc>
          <w:tcPr>
            <w:tcW w:w="2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1,572</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w:t>
            </w:r>
          </w:p>
        </w:tc>
        <w:tc>
          <w:tcPr>
            <w:tcW w:w="3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13,946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12,734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12,275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11,117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10,608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Product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30,897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29,293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28,522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25,292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Service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8,393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7,237</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8,080</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7,057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7,799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36,530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36,602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0"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8"/>
          <w:szCs w:val="18"/>
          <w:color w:val="auto"/>
        </w:rPr>
        <w:t>2023 product sales increased $2.4 billion, or 8 percent, due to an increase in product sales at all four sectors. The increase was principally driven by higher volume on restricted programs, GBSD and NGI at Space Systems, higher restricted sales at Mission Systems and Aeronautics Systems, and higher volume on ammunition programs, GMLRS, IBCS and HACM at Defense Systems.</w:t>
      </w:r>
    </w:p>
    <w:p>
      <w:pPr>
        <w:spacing w:after="0" w:line="5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2023 product costs increased $4.0 billion, or 16 percent, consistent with the higher product sales described above and reflect a lower operating margin rate principally due to the previously described $1.56 billion charge on the B-21 program at Aeronautics Systems and lower net EAC adjustments on Space Systems production programs.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2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2023 service sales increased $313 million, or 4 percent, due to an increase in service sales at all four sectors. The increase was principally driven by higher restricted sales at Space Systems and Aeronautics Systems, higher volume on restricted programs and F-35 sustainment at Mission Systems, and higher volume on an international training program at Defense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2023 service costs increased $180 million, or 3 percent, consistent with the higher service sales described above and reflects a higher operating margin rate on Space Systems service programs.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at December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6,346</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11,334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4,774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10,035</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30,440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46,855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84,230</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2023 net awards totaled $44.8 billion. Significant 2023 new awards include $15.5 billion for restricted programs (primarily at Space Systems, Aeronautics Systems and Mission Systems), $2.1 billion for F-35 programs (primarily at Aeronautics Systems and Mission Systems), $1.7 billion for E-2, $1.5 billion for Triton, $1.4 billion for SDA Tranche 2 Transport Layer, and $0.8 billion for GMLRS.</w:t>
      </w:r>
    </w:p>
    <w:p>
      <w:pPr>
        <w:spacing w:after="0" w:line="5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Subsequent Event </w:t>
      </w:r>
      <w:r>
        <w:rPr>
          <w:rFonts w:ascii="Times New Roman" w:cs="Times New Roman" w:eastAsia="Times New Roman" w:hAnsi="Times New Roman"/>
          <w:sz w:val="18"/>
          <w:szCs w:val="18"/>
          <w:color w:val="auto"/>
        </w:rPr>
        <w:t>– In January 2024, the company received a termination for convenience in our restricted Space business. The company expects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by approximately $2 billion during the first quarter of 2024 related to the termination.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$3.1 billion; $277 million was held outside of the U.S. by foreign subsidiaries.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2023, we renewed our one-year $500 million uncommitted credit facility. At December 31, 2023, there were no borrowings outstanding under these credit facilities. In February 2023, we issued $2.0 billion of unsecured senior notes for general corporate purposes, including debt repayment, share repurchases and working capital.</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principal contractual commitments include purchase obligations, repayments of long-term debt and related interest, and payments under operating leases. At December 31, 2023, we had $20.7 billion of purchase obligations, approximately half of which is short-term. Purchase obligations are largely comprised of open purchase order commitments to suppliers and subcontractors under U.S. government contracts. In most circumstances, our risk associated with the purchase obligations on our U.S. government contracts is limited to the termination liability provisions within those contracts. As such, we do not believe they represent a material liquidity risk to the company. At December 31, 2023, we had capital expenditure commitments of $1.4 billion, which we expect to satisfy with cash on hand. We also had provisions for uncertain tax positions of $2.0 billion, some or all of which could result in future cash payments to various taxing authorities. At this time, we are unable to estimate the timing and amount of any future cash outflows related to these uncertain tax positions.</w:t>
      </w:r>
    </w:p>
    <w:p>
      <w:pPr>
        <w:spacing w:after="0" w:line="5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 to the respective notes to the consolidated financial statements for further information about our share repurchase programs (Note 3), commercial paper, credit facilities and long-term debt (Note 10), standby letters of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credit and guarantees (Note 12), future minimum contributions for the company’s pension and OPB plans (Note 13), and lease payment obligations (Note 15).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Code (IRC) Section 174</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2022 cash from operations were reduced by approximately $900 million for federal estimated tax payments we made related to Section 174. As we finalized our 2022 federal tax return along with our continued analysis of research and development expenditures, we reduced the previously estimated impact of Section 174 on our tax liability for 2022 and 2023 to approximately $700 million and $500 million, respectively. Congress is considering legislation that would defer the amortization requirement to later years, possibly with retroactive effect. In the meantime, we expect to continue to make additional federal tax payments based on the current Section 174 tax law.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B-21 charge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3,875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r>
    </w:tbl>
    <w:p>
      <w:pPr>
        <w:spacing w:after="0" w:line="162" w:lineRule="exact"/>
        <w:rPr>
          <w:sz w:val="20"/>
          <w:szCs w:val="20"/>
          <w:color w:val="auto"/>
        </w:rPr>
      </w:pPr>
    </w:p>
    <w:p>
      <w:pPr>
        <w:ind w:left="180" w:right="400" w:hanging="172"/>
        <w:spacing w:after="0" w:line="252" w:lineRule="auto"/>
        <w:tabs>
          <w:tab w:leader="none" w:pos="168"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depreciation and amortization, non-cash lease expense, MTM (expense) benefit, stock based compensation expense, deferred income taxes and net periodic pension and OPB income.</w:t>
      </w:r>
    </w:p>
    <w:p>
      <w:pPr>
        <w:spacing w:after="0" w:line="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2023 cash provided by operating activities increased $974 million, or 34 percent, principally due to improved trade working capital largely driven by increased billings and cash collections, partially offset by higher supplier payments.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if any.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adjusted free cash flow: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Year Ended December 31</w:t>
            </w:r>
          </w:p>
        </w:tc>
        <w:tc>
          <w:tcPr>
            <w:tcW w:w="21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Change in</w:t>
            </w: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2023 adjusted free cash flow increased $479 million, or 30 percent, principally due to higher net cash provided by operating activities, partially offset by an increase in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2023 net cash used in investing activities increased $341 million principally due to higher capital expenditures. Proceeds from the sale of minority investments in 2023 were largely offset by cash received in 2022 from the sale of equipment to a customer.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2023 net cash used in financing activities decreased $852 million principally due to the issuance of $2.0 billion in long-term debt, partially offset by $1.05 billion in debt repayments. Cash returned to shareholders through share repurchases and dividends totaled $2.6 billion in each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often span a period of several years, estimation of revenue, cost, and progress toward completion requires the use of judgment. 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consider the impact of macroeconomic factors on our estimates, in particular on contract EACs that span several years. For example, during 2023, we included in our EACs management’s best estimate of the impact inflation has had and may continue to have on our contracts. We also included our current best estimate of the impact on our EACs of disruptions we have experienced and continue to experience in the supply chain. The volatility of the recent macroeconomic environment has added complexity to our estimation process and may result in our year end 2023 contract EACs having more variability in the future than they might otherwise have had if the estimates had been prepared in a more stable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These assessments require judgments and estimates that can be affected by any number of these factors over time, which may cause actual results to differ materially from those estimates as facts and circumstances change or become known to us.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performs on a broad portfolio of long-term contracts, including the development of complex and customized military platforms and systems, as well as advanced electronic equipment and software, that often include technology at the forefront of science. Cost estimates on fixed-price development contracts and early-stage/low-rate production contracts are inherently more uncertain as to future events than on mature, full-rate production contracts. As a result, there is typically more variability in those estimates and greater financial risk associated with unanticipated cost growth on fixed-price development contracts and early-stage/low-rate production contracts. Changes in estimates occur for a variety of reasons, including changes in contract scope, the resolution of risk at lower or higher cost than anticipated, unanticipated performance and other risks affecting contract costs, performance issues with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impacts of changes in estimates on our consolidated statements of earnings and comprehensive income, see “Segment Operating Results” and Note 1 to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The determination of projected benefit obligations, the fair value of plan assets, and pension and OPB expense for our retirement benefit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use of estimates and actuarial assumptions. We perform an annual review of our actuarial assumptions in consultation with our actuaries. When we determine changes in the assumptions are warranted, or as a result of plan amendments, future pension and OPB expense and our projected benefit obligation could increase or decrease materially.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 The discount rate represents the interest rate used to determine the present value of future cash flows currently expected to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5.15 percent at December 31, 2023 and 5.54 percent at December 31, 2022.</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effects of a hypothetical change in the discount rate may be nonlinear and asymmetrical for future years as the discount rate changes. Holding all other assumptions constant, an increase or decrease of 25 basis points in the December 31, 2023 discount rate assumption would have the following estimated effects on 2023 pension and OPB obligations, which would be reflected in the 2023 MTM expense (benefit), and 2024 expected pension and OPB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8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25 Basis Point</w:t>
            </w:r>
          </w:p>
        </w:tc>
        <w:tc>
          <w:tcPr>
            <w:tcW w:w="24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auto"/>
            </w:tcBorders>
            <w:vMerge w:val="continue"/>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 Rate</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Increase in Rate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pension and OPB obligation and MTM expense (benefit)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pension and OPB (benefit) expense</w:t>
            </w:r>
          </w:p>
        </w:tc>
        <w:tc>
          <w:tcPr>
            <w:tcW w:w="17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Balance Crediting Rate </w:t>
      </w:r>
      <w:r>
        <w:rPr>
          <w:rFonts w:ascii="Times New Roman" w:cs="Times New Roman" w:eastAsia="Times New Roman" w:hAnsi="Times New Roman"/>
          <w:sz w:val="18"/>
          <w:szCs w:val="18"/>
          <w:color w:val="auto"/>
        </w:rPr>
        <w:t>– A portion of the company’s pension obligation and resulting pension expense is based on a cash balance formula,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returns. The cash balance crediting rate used for FAS purposes tends to move in concert with the discount rate but has an offsetting effect on pension benefit obligations and the related MTM expense (benefit). The minimum cash balance crediting rate allowed under the plan is 2.25 percent. The cash balance crediting rate assumption has been set to 4.02 percent for all years. Holding all other assumptions constant, an increase or decrease of 25 basis points in the December 31, 2023 cash balance crediting rate assumption would have the following estimated effects on the 2023 pension benefit obligation, which would be reflected in the 2023 MTM expense (benefit), and 2024 expected pension expense: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40" w:type="dxa"/>
            <w:vAlign w:val="bottom"/>
          </w:tcPr>
          <w:p>
            <w:pPr>
              <w:spacing w:after="0"/>
              <w:rPr>
                <w:sz w:val="17"/>
                <w:szCs w:val="17"/>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 Basis Point</w:t>
            </w:r>
          </w:p>
        </w:tc>
        <w:tc>
          <w:tcPr>
            <w:tcW w:w="240" w:type="dxa"/>
            <w:vAlign w:val="bottom"/>
          </w:tcPr>
          <w:p>
            <w:pPr>
              <w:spacing w:after="0"/>
              <w:rPr>
                <w:sz w:val="17"/>
                <w:szCs w:val="17"/>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 Basis Point</w:t>
            </w:r>
          </w:p>
        </w:tc>
        <w:tc>
          <w:tcPr>
            <w:tcW w:w="0" w:type="dxa"/>
            <w:vAlign w:val="bottom"/>
          </w:tcPr>
          <w:p>
            <w:pPr>
              <w:spacing w:after="0"/>
              <w:rPr>
                <w:sz w:val="1"/>
                <w:szCs w:val="1"/>
                <w:color w:val="auto"/>
              </w:rPr>
            </w:pPr>
          </w:p>
        </w:tc>
      </w:tr>
      <w:tr>
        <w:trPr>
          <w:trHeight w:val="234"/>
        </w:trPr>
        <w:tc>
          <w:tcPr>
            <w:tcW w:w="582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Decrease in Rate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Increase in Rate</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pension obligation and MTM expense (benefit)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 pension (benefit) expense</w:t>
            </w:r>
          </w:p>
        </w:tc>
        <w:tc>
          <w:tcPr>
            <w:tcW w:w="2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Long-Term Rate of Return on Plan Assets – </w:t>
      </w:r>
      <w:r>
        <w:rPr>
          <w:rFonts w:ascii="Times New Roman" w:cs="Times New Roman" w:eastAsia="Times New Roman" w:hAnsi="Times New Roman"/>
          <w:sz w:val="18"/>
          <w:szCs w:val="18"/>
          <w:color w:val="auto"/>
        </w:rPr>
        <w:t>The expected long-term rate of return on plan assets (EROA) assumption reflects the average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plan asset returns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2023, the Investment Committee of the company’s benefit plans reviewed the plans’ major asset class allocations and approved an update to increase the target fixed-income asset allocation from 40% to 43%. The current asset allocation is now approximately 42% fixed-income, 27% public equities, 28% alternatives and 3% cash. At this time, the Investment Committee is not planning any significant changes to that mix. For further information on plan asset investments, see Note 13 to the consolidated financial statements.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2023 was approximately 10.7 percent and our 20-year and 30-year rolling average rates of return were approximately 7.9 percent and 8.7 percent, respectively, each determined on an arithmetic basis and net of expenses. Our 2023 return on plan assets, net of expenses, were approximately 11.1 percent.</w:t>
      </w:r>
    </w:p>
    <w:p>
      <w:pPr>
        <w:spacing w:after="0" w:line="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w:t>
      </w:r>
    </w:p>
    <w:p>
      <w:pPr>
        <w:spacing w:after="0" w:line="4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For determining 2023 FAS expense, we assumed an expected long-term rate of return on pension plan assets of 7.5 percent and an expected long-term rate of return on OPB plan assets of 7.23 percent. For 2024 FAS expense, we have assumed an expected long-term rate of return on pension plan assets of 7.5 percent and 7.12 percent on OPB plans. Holding all other assumptions constant, an increase or decrease of 25 basis points in our December 31, 2023 EROA assumption would have the following estimated effects on 2024 expected pension and OPB expense: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7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25 Basis Point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25 Basis Point</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vMerge w:val="continue"/>
          </w:tcPr>
          <w:p>
            <w:pPr>
              <w:spacing w:after="0"/>
              <w:rPr>
                <w:sz w:val="20"/>
                <w:szCs w:val="20"/>
                <w:color w:val="auto"/>
              </w:rPr>
            </w:pPr>
          </w:p>
        </w:tc>
        <w:tc>
          <w:tcPr>
            <w:tcW w:w="3780" w:type="dxa"/>
            <w:vAlign w:val="bottom"/>
            <w:tcBorders>
              <w:bottom w:val="single" w:sz="8" w:color="auto"/>
            </w:tcBorders>
          </w:tcPr>
          <w:p>
            <w:pPr>
              <w:jc w:val="center"/>
              <w:ind w:left="2590"/>
              <w:spacing w:after="0"/>
              <w:rPr>
                <w:sz w:val="20"/>
                <w:szCs w:val="20"/>
                <w:color w:val="auto"/>
              </w:rPr>
            </w:pPr>
            <w:r>
              <w:rPr>
                <w:rFonts w:ascii="Times New Roman" w:cs="Times New Roman" w:eastAsia="Times New Roman" w:hAnsi="Times New Roman"/>
                <w:sz w:val="18"/>
                <w:szCs w:val="18"/>
                <w:color w:val="auto"/>
                <w:w w:val="99"/>
              </w:rPr>
              <w:t>Decrease</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pension and OPB expense (benefit)</w:t>
            </w:r>
          </w:p>
        </w:tc>
        <w:tc>
          <w:tcPr>
            <w:tcW w:w="37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holding all other assumptions constant, an increase or decrease of 100 basis points in actual versus expected return on plan assets would have the following estimated effects on our 2024 MTM expense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100 Basis Point</w:t>
            </w:r>
          </w:p>
        </w:tc>
        <w:tc>
          <w:tcPr>
            <w:tcW w:w="26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100 Basis Point</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Increase</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MTM expense (benefit)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Estimated Fair Market Value of Plan Assets </w:t>
      </w:r>
      <w:r>
        <w:rPr>
          <w:rFonts w:ascii="Times New Roman" w:cs="Times New Roman" w:eastAsia="Times New Roman" w:hAnsi="Times New Roman"/>
          <w:sz w:val="18"/>
          <w:szCs w:val="18"/>
          <w:color w:val="auto"/>
        </w:rPr>
        <w:t>– For certain plan assets where the fair market value is not readily determinable, such as real estate,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hedge funds and opportunistic investments, we develop estimates of fair value using the best information available. Estimated fair values on these plan assets are based on redemption values and net asset values (NAV), as well as valuation methodologies that include third party appraisals, comparable transactions, discounted cash flow valuation models and public market data.</w:t>
      </w:r>
    </w:p>
    <w:p>
      <w:pPr>
        <w:spacing w:after="0" w:line="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Mortality Rate </w:t>
      </w:r>
      <w:r>
        <w:rPr>
          <w:rFonts w:ascii="Times New Roman" w:cs="Times New Roman" w:eastAsia="Times New Roman" w:hAnsi="Times New Roman"/>
          <w:sz w:val="18"/>
          <w:szCs w:val="18"/>
          <w:color w:val="auto"/>
        </w:rPr>
        <w:t>– Mortality assumptions are used to estimate life expectancies of plan participants. In October 2014, the Society of Actuaries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Experience Committee (RPEC) issued updated mortality tables and a mortality improvement scale, which reflected longer life expectancies than previously projected. In October 2019, the RPEC issued an updated mortality base table (the Private Retirement Plans Mortality table for 2012 (Pri-2012)), which we adopted after reviewing our own historical mortality experience. In October 2021, the RPEC released a new projection scale (MP-2021) that included additional underlying data for 2019, which included an increase in life expectancies relative to the prior year.</w:t>
      </w:r>
    </w:p>
    <w:p>
      <w:pPr>
        <w:spacing w:after="0" w:line="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RPEC did not release a MP-2022 or MP-2023 projection scale citing complexities in incorporating the substantial number of “excess deaths” in 2020 into their existing model and uncertainties about future expectations primarily related to COVID-19. As such, after considering the information released by the RPEC in October 2021 as well as the company’s recent mortality experience, we adopted the full MP-2021 projection scale while continuing to use the Pri-2012 White Collar table, supplemented with 50% of the Gradual Wear-Off illustration as outlined in the RPEC’s 2022 Mortality Improvement Update paper to reflect the future impacts of COVID-19, to develop our mortality assumptions used in calculating our pension and OPB obligations recognized at December 31, 2023, and the amounts estimated for our 2024 pension and OPB expense.</w:t>
      </w:r>
    </w:p>
    <w:p>
      <w:pPr>
        <w:spacing w:after="0" w:line="66" w:lineRule="exact"/>
        <w:rPr>
          <w:sz w:val="20"/>
          <w:szCs w:val="20"/>
          <w:color w:val="auto"/>
        </w:rPr>
      </w:pPr>
    </w:p>
    <w:p>
      <w:pPr>
        <w:ind w:right="1020"/>
        <w:spacing w:after="0" w:line="308" w:lineRule="auto"/>
        <w:rPr>
          <w:sz w:val="20"/>
          <w:szCs w:val="20"/>
          <w:color w:val="auto"/>
        </w:rPr>
      </w:pPr>
      <w:r>
        <w:rPr>
          <w:rFonts w:ascii="Times New Roman" w:cs="Times New Roman" w:eastAsia="Times New Roman" w:hAnsi="Times New Roman"/>
          <w:sz w:val="18"/>
          <w:szCs w:val="18"/>
          <w:color w:val="auto"/>
        </w:rPr>
        <w:t xml:space="preserve">For further information regarding our pension and OPB plans, see “Risk Factors” and Notes 1 and 13 to the consolidated financial statements. </w:t>
      </w:r>
      <w:r>
        <w:rPr>
          <w:rFonts w:ascii="Times New Roman" w:cs="Times New Roman" w:eastAsia="Times New Roman" w:hAnsi="Times New Roman"/>
          <w:sz w:val="18"/>
          <w:szCs w:val="18"/>
          <w:b w:val="1"/>
          <w:bCs w:val="1"/>
          <w:color w:val="auto"/>
        </w:rPr>
        <w:t>Litigation, Commitments and Contingencies</w:t>
      </w: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 We are subject to environmental laws and regulations in the jurisdictions in which we do or have done business.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 As we expect to be able to recover a portion of environmental remediation liabilities through overhead charges on government contracts, such amounts are deferred in prepaid expenses and other current assets (current portion) and other non-current assets until charged to contracts. We use judgment to evaluate the recoverability of our environmental remediation costs, assessing, among other things, U.S. government regulations, our U.S. government contract mix and past practices. Portions of the company’s environmental liabilities we do not expect to be recoverable have been expensed. As of December 31, 2023, we expect approximately 90 percent of the company’s environmental remediation costs to be recoverable; however, to the extent our judgments on the recoverability of our environmental remediation costs change or the unallowable portion of our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remediation costs otherwise increase, there could be a significant impact on our consolidated financial position, annual results of operations and/or cash flows.</w:t>
      </w:r>
    </w:p>
    <w:p>
      <w:pPr>
        <w:spacing w:after="0" w:line="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 Matters </w:t>
      </w:r>
      <w:r>
        <w:rPr>
          <w:rFonts w:ascii="Times New Roman" w:cs="Times New Roman" w:eastAsia="Times New Roman" w:hAnsi="Times New Roman"/>
          <w:sz w:val="18"/>
          <w:szCs w:val="18"/>
          <w:color w:val="auto"/>
        </w:rPr>
        <w:t>– The evaluation of tax positions taken in a filed tax return, or planned to be taken in a future tax return or claim, requires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We establish reserves for uncertain tax positions when, despite the belief that our tax positions are supportable, there remains uncertainty in a tax position taken in our filed tax returns or planned to be taken in a future tax return or claim. The company follows a recognition and measurement approach, considering the facts, circumstances, and information available at the reporting date. We exercise judgment in determining the level of evidence necessary and appropriate to support our assessment using all available information. The technical merits of a given tax position are derived from sources of authority in the tax law and their applicability to the facts and circumstances of the position. In measuring the tax position, the company considers the amounts and probabilities of the outcomes that could be realized upon settlement. When it is more likely than not that a tax position will be sustained, we record the largest amount of tax benefit with a greater than 50 percent likelihood of being realized upon ultimate settlement with a taxing authority. As of December 31, 2023, we have approximately $2.0 billion in unrecognized tax benefits. To the extent we prevail in matters for which reserves have been established or are required to pay amounts in excess of reserves, there could be a significant impact on our consolidated financial position, annual results of operations and/or cash flows.</w:t>
      </w:r>
    </w:p>
    <w:p>
      <w:pPr>
        <w:spacing w:after="0" w:line="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further information on litigation, commitments and contingencies, see “Risk Factors” and Note 1, Note 7, Note 11 and Note 12 to the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Long-Lived Assets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We allocate the purchase price of acquired businesses to the underlying tangible and intangible assets acquired and liabilities assumed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6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record property, plant and equipment (PP&amp;E) for capital assets used in operating our business. The cost of PP&amp;E utilized in support of our government contracts is generally allowable and allocable cost in accordance with applicable FAR and CAS requirements, which limits our risk of impairment on those assets. However, the cost of PP&amp;E utilized in support of our commercial business, including approximately $500 million of PP&amp;E used in our commercial space business, is not allocable to government contracts and is therefore subject to greater recoverability risk.</w:t>
      </w:r>
    </w:p>
    <w:p>
      <w:pPr>
        <w:spacing w:after="0" w:line="4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Testing </w:t>
      </w:r>
      <w:r>
        <w:rPr>
          <w:rFonts w:ascii="Times New Roman" w:cs="Times New Roman" w:eastAsia="Times New Roman" w:hAnsi="Times New Roman"/>
          <w:sz w:val="18"/>
          <w:szCs w:val="18"/>
          <w:color w:val="auto"/>
        </w:rPr>
        <w:t>– We test for impairment of goodwill annually at each of our reporting units, which comprise our operating segments. The 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goodwill impairment tests as of December 31, 2023 and 2022, respectively, indicated that the estimated fair value of each reporting unit significantly exceeded its respective carrying value. There were no impairment charges recorded in the years ended December 31, 2023, 2022 and 2021.</w:t>
      </w:r>
    </w:p>
    <w:p>
      <w:pPr>
        <w:spacing w:after="0" w:line="5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 During 2023, we determined there were no impairment indicators requiring us to perform an interim goodwill impairment test.</w:t>
      </w:r>
    </w:p>
    <w:p>
      <w:pPr>
        <w:spacing w:after="0" w:line="5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When testing goodwill for impairment, we compare the fair values of each of our reporting units to their respective carrying values. To determine the fair value of our reporting units, we primarily use the income approach based on the cash flows we expect the reporting units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5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test for impairment of our long-lived assets when events or changes in circumstances indicate that the carrying amount of these assets may not be recoverable. Our assessment is based on our projection of the undiscounted future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2023, 2022 and 2021.</w:t>
      </w:r>
    </w:p>
    <w:p>
      <w:pPr>
        <w:spacing w:after="0" w:line="54"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Impairment assessment inherently involves management judgments as to assumptions about expected future cash flows and the impact of market conditions on those assumptions. Due to the many variables inherent in developing the estimates used in our impairment analyses, differences in assumptions may have a material effect on the results of those impairment analyses.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RISK</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been and continue to be exposed to market risk with respect to our portfolio of marketable securities with a fair value of $339 million at December 31, 2023. These securities are exposed to market volatilities, changes in price and interest rates.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on variable-rate short-term credit facilities for which there were no borrowings outstanding at December 31, 2023. At December 31, 2023, we have $13.9 billion of long-term debt, primarily consisting of fixed-rate debt, with a fair value of approximately $13.4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 Additionally, if we were to refinance our long-term debt, it may be refinanced at higher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2023, foreign currency forward contracts with a notional amount of $286 million were outstanding. At December 31, 2023, a 10 percent unfavorable foreign exchange rate movement would not have a material impact on our consolidated financial position, annual results of operations and/or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global macroeconomic environment has experienced extraordinary challenges, including the highest rates of inflation in 40 years. The company, its subcontractors and other suppliers, have experienced, and continue to experience, increased pressures from heightened levels of inflation and the challenges of the current macroeconomic environment, which we have not been able to fully mitigate on a number of our fixed-price contracts, in particular on the LRIP phase of the B-21 program at Aeronautics Systems. We cannot predict how long these inflationary pressures will continue, or how they may change over time, but we expect to see continued impacts on the global economy, our customers, our industry and our company. If inflationary pressures continue to persist, they may continue to have an adverse impact on our consolidated financial position, results of operations and/or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Northrop Grumman Corporation and subsidiaries (the “Company”) as of December 31, 2023 and 2022, the related consolidated statements of earnings and comprehensive income, changes in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6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24, 2024 expressed an unqualified opinion on the Company’s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and risk committee and that (1) relate to accounts or disclosures that are material to the financial statements and</w:t>
      </w:r>
    </w:p>
    <w:p>
      <w:pPr>
        <w:ind w:firstLine="8"/>
        <w:spacing w:after="0" w:line="255"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0" w:lineRule="exact"/>
        <w:rPr>
          <w:sz w:val="20"/>
          <w:szCs w:val="20"/>
          <w:color w:val="auto"/>
        </w:rPr>
      </w:pPr>
    </w:p>
    <w:p>
      <w:pPr>
        <w:ind w:right="17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 Cost and Revenue Estimates for Development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1 to the financial statements, the Company recognizes substantially all revenue as control is transferred to the customer on their long-term contracts over time using the cost-to-cost method (cost incurred relative to total cost estimated at completion). Use of the cost-to-cost-method requires the Company to make reasonably dependable estimates regarding the revenue and costs associated with the design, manufacture and delivery of their products or services. The Company estimates profit on these contracts as the difference between total estimated sales and total estimated costs at completion and recognizes that profit as costs are incurred.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estimates on contracts requiring development work are inherently more uncertain as to future events than production contracts, and, as a result, there is typically more variability in those estimates. Certain of these contracts are fixed price in nature, which results in greater financial risk associated with unanticipated cost growth. Alternatively, cost-type contracts may have award or incentive fees that are subject to uncertainty and may be earned over extended periods or towards the end of the contract. As a result, the estimation of costs required to complete these contracts and the expected revenues that will be earned is complex and requires significant judgment.</w:t>
      </w:r>
    </w:p>
    <w:p>
      <w:pPr>
        <w:spacing w:after="0" w:line="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Given the judgment necessary to make reasonably dependable estimates regarding the revenue and costs associated with such contracts, auditing these estimates required extensive audit effort due to the complexity of the underlying programs and a high degree of auditor judgment when performing audit procedures and evaluating the results of those procedures.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related to the cost and revenue estimates for these development contracts included the following, among others:</w:t>
      </w:r>
    </w:p>
    <w:p>
      <w:pPr>
        <w:spacing w:after="0" w:line="104" w:lineRule="exact"/>
        <w:rPr>
          <w:sz w:val="20"/>
          <w:szCs w:val="20"/>
          <w:color w:val="auto"/>
        </w:rPr>
      </w:pPr>
    </w:p>
    <w:p>
      <w:pPr>
        <w:ind w:left="660" w:right="4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estimates of total costs and revenues on such contracts, including development costs and any related award or incentive fee estimates for the relevant performance obligations.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certain long-term contracts for testing and performed the following procedures:</w:t>
      </w:r>
    </w:p>
    <w:p>
      <w:pPr>
        <w:spacing w:after="0" w:line="103" w:lineRule="exact"/>
        <w:rPr>
          <w:rFonts w:ascii="Times New Roman" w:cs="Times New Roman" w:eastAsia="Times New Roman" w:hAnsi="Times New Roman"/>
          <w:sz w:val="18"/>
          <w:szCs w:val="18"/>
          <w:color w:val="auto"/>
        </w:rPr>
      </w:pPr>
    </w:p>
    <w:p>
      <w:pPr>
        <w:ind w:left="1300" w:right="3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recognition of revenue over time on such contracts was appropriate based on the terms and conditions of each contract, including whether continuous transfer of control to the customer occurred as progress was made toward fulfilling the performance obligation.</w:t>
      </w:r>
    </w:p>
    <w:p>
      <w:pPr>
        <w:spacing w:after="0" w:line="54" w:lineRule="exact"/>
        <w:rPr>
          <w:rFonts w:ascii="Times New Roman" w:cs="Times New Roman" w:eastAsia="Times New Roman" w:hAnsi="Times New Roman"/>
          <w:sz w:val="18"/>
          <w:szCs w:val="18"/>
          <w:color w:val="auto"/>
        </w:rPr>
      </w:pPr>
    </w:p>
    <w:p>
      <w:pPr>
        <w:ind w:left="1300" w:right="2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identification of distinct performance obligations by evaluating whether the underlying goods and services were highly interdependent and interrelated.</w:t>
      </w:r>
    </w:p>
    <w:p>
      <w:pPr>
        <w:spacing w:after="0" w:line="26" w:lineRule="exact"/>
        <w:rPr>
          <w:rFonts w:ascii="Times New Roman" w:cs="Times New Roman" w:eastAsia="Times New Roman" w:hAnsi="Times New Roman"/>
          <w:sz w:val="18"/>
          <w:szCs w:val="18"/>
          <w:color w:val="auto"/>
        </w:rPr>
      </w:pPr>
    </w:p>
    <w:p>
      <w:pPr>
        <w:ind w:left="1300" w:right="1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determination of the transaction price, including any award or incentive fees, based on the consideration expected to be received in accordance with the rights and obligations established under the contracts and any contractual modifications.</w:t>
      </w:r>
    </w:p>
    <w:p>
      <w:pPr>
        <w:spacing w:after="0" w:line="4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estimates of total cost and revenue for the performance obligation by:</w:t>
      </w:r>
    </w:p>
    <w:p>
      <w:pPr>
        <w:spacing w:after="0" w:line="10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of relevant program teams regarding any challenges related to the program.</w:t>
      </w:r>
    </w:p>
    <w:p>
      <w:pPr>
        <w:spacing w:after="0" w:line="90"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03" w:lineRule="exact"/>
        <w:rPr>
          <w:rFonts w:ascii="Times New Roman" w:cs="Times New Roman" w:eastAsia="Times New Roman" w:hAnsi="Times New Roman"/>
          <w:sz w:val="18"/>
          <w:szCs w:val="18"/>
          <w:color w:val="auto"/>
        </w:rPr>
      </w:pPr>
    </w:p>
    <w:p>
      <w:pPr>
        <w:ind w:left="1960" w:right="120" w:hanging="332"/>
        <w:spacing w:after="0" w:line="258" w:lineRule="auto"/>
        <w:tabs>
          <w:tab w:leader="none" w:pos="1956"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cost and revenue by performing corroborating inquiries with the Company’s program and business management, and testing management’s process used to develop the estimates based on their work plans, engineering specifications, program labor, and supplier contracts. This includes management’s process to identify macroeconomic impacts to certain programs, which could include forecasted cost impacts and assumptions on the ability to recover those costs.</w:t>
      </w:r>
    </w:p>
    <w:p>
      <w:pPr>
        <w:spacing w:after="0" w:line="61" w:lineRule="exact"/>
        <w:rPr>
          <w:rFonts w:ascii="Times New Roman" w:cs="Times New Roman" w:eastAsia="Times New Roman" w:hAnsi="Times New Roman"/>
          <w:sz w:val="18"/>
          <w:szCs w:val="18"/>
          <w:color w:val="auto"/>
        </w:rPr>
      </w:pPr>
    </w:p>
    <w:p>
      <w:pPr>
        <w:ind w:left="1960" w:right="220" w:hanging="332"/>
        <w:spacing w:after="0" w:line="282" w:lineRule="auto"/>
        <w:tabs>
          <w:tab w:leader="none" w:pos="1956"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selected changes to the estimates of costs and obtaining supporting documentation on timing and amounts of these changes in estimates.</w:t>
      </w:r>
    </w:p>
    <w:p>
      <w:pPr>
        <w:spacing w:after="0" w:line="2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the mathematical accuracy of management’s calculation of revenue recognized during the period for the performance obligations.</w:t>
      </w:r>
    </w:p>
    <w:p>
      <w:pPr>
        <w:spacing w:after="0" w:line="99" w:lineRule="exact"/>
        <w:rPr>
          <w:rFonts w:ascii="Times New Roman" w:cs="Times New Roman" w:eastAsia="Times New Roman" w:hAnsi="Times New Roman"/>
          <w:sz w:val="18"/>
          <w:szCs w:val="18"/>
          <w:color w:val="auto"/>
        </w:rPr>
      </w:pPr>
    </w:p>
    <w:p>
      <w:pPr>
        <w:ind w:right="4260"/>
        <w:spacing w:after="0" w:line="3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Taxes - Uncertain Tax Positions - Refer to Notes 1 and 7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Uncertain tax positions reflect the Company’s expected treatment of tax positions taken in a filed tax return, or planned to be taken in a future tax return or claim, which have not been reflected in measuring income tax expense or taxes payable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 The Company has recognized increased uncertain tax positions in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principally related to state apportionment, the methods of accounting associated with the timing of revenue recognition and related costs, and the 2017 Tax Act. Until the matters are resolved, the outcome is inherently uncertain.</w:t>
      </w:r>
    </w:p>
    <w:p>
      <w:pPr>
        <w:spacing w:after="0" w:line="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Auditing certain assumptions associated with the Company’s uncertain tax positions involved especially challenging judgments given the complexity and inherent subjectivity involved in evaluating the potential outcomes of these matters.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certain assumptions used in determining uncertain tax positions included the following, among others:</w:t>
      </w:r>
    </w:p>
    <w:p>
      <w:pPr>
        <w:spacing w:after="0" w:line="104" w:lineRule="exact"/>
        <w:rPr>
          <w:sz w:val="20"/>
          <w:szCs w:val="20"/>
          <w:color w:val="auto"/>
        </w:rPr>
      </w:pPr>
    </w:p>
    <w:p>
      <w:pPr>
        <w:ind w:left="660" w:right="2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relating to the identification and completeness of, and recognition for, uncertain tax positions, including management’s controls over the underlying key assumptions and inputs used to derive the estimates.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selected specific uncertain tax positions for testing and performed the following procedures:</w:t>
      </w:r>
    </w:p>
    <w:p>
      <w:pPr>
        <w:spacing w:after="0" w:line="103" w:lineRule="exact"/>
        <w:rPr>
          <w:rFonts w:ascii="Times New Roman" w:cs="Times New Roman" w:eastAsia="Times New Roman" w:hAnsi="Times New Roman"/>
          <w:sz w:val="18"/>
          <w:szCs w:val="18"/>
          <w:color w:val="auto"/>
        </w:rPr>
      </w:pPr>
    </w:p>
    <w:p>
      <w:pPr>
        <w:ind w:left="1300" w:right="1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Inquired of the Company’s tax department, financial reporting department, and other personnel directly involved in the development of the estimates.</w:t>
      </w:r>
    </w:p>
    <w:p>
      <w:pPr>
        <w:spacing w:after="0" w:line="40" w:lineRule="exact"/>
        <w:rPr>
          <w:rFonts w:ascii="Times New Roman" w:cs="Times New Roman" w:eastAsia="Times New Roman" w:hAnsi="Times New Roman"/>
          <w:sz w:val="18"/>
          <w:szCs w:val="18"/>
          <w:color w:val="auto"/>
        </w:rPr>
      </w:pPr>
    </w:p>
    <w:p>
      <w:pPr>
        <w:ind w:left="1300" w:right="2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supporting documentation and evaluated how the Company supported the position, including the assumptions and estimates used for measurement, and how the taxing authorities have historically challenged the tax position, if applicable.</w:t>
      </w:r>
    </w:p>
    <w:p>
      <w:pPr>
        <w:spacing w:after="0" w:line="2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uncertain tax position met the “more likely than not” recognition threshold.</w:t>
      </w:r>
    </w:p>
    <w:p>
      <w:pPr>
        <w:spacing w:after="0" w:line="103" w:lineRule="exact"/>
        <w:rPr>
          <w:rFonts w:ascii="Times New Roman" w:cs="Times New Roman" w:eastAsia="Times New Roman" w:hAnsi="Times New Roman"/>
          <w:sz w:val="18"/>
          <w:szCs w:val="18"/>
          <w:color w:val="auto"/>
        </w:rPr>
      </w:pPr>
    </w:p>
    <w:p>
      <w:pPr>
        <w:ind w:left="1300" w:right="4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appropriateness and consistency of the methodologies and assumptions used by management when developing these estimates.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calculations.</w:t>
      </w:r>
    </w:p>
    <w:p>
      <w:pPr>
        <w:sectPr>
          <w:pgSz w:w="11900" w:h="16838" w:orient="portrait"/>
          <w:cols w:equalWidth="0" w:num="1">
            <w:col w:w="11140"/>
          </w:cols>
          <w:pgMar w:left="320" w:top="360"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1975.</w:t>
      </w:r>
    </w:p>
    <w:p>
      <w:pPr>
        <w:spacing w:after="0" w:line="200" w:lineRule="exact"/>
        <w:rPr>
          <w:sz w:val="20"/>
          <w:szCs w:val="20"/>
          <w:color w:val="auto"/>
        </w:rPr>
      </w:pPr>
    </w:p>
    <w:p>
      <w:pPr>
        <w:sectPr>
          <w:pgSz w:w="11900" w:h="16838" w:orient="portrait"/>
          <w:cols w:equalWidth="0" w:num="2">
            <w:col w:w="200" w:space="540"/>
            <w:col w:w="10400"/>
          </w:cols>
          <w:pgMar w:left="320" w:top="36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91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5"/>
        </w:trPr>
        <w:tc>
          <w:tcPr>
            <w:tcW w:w="7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30,897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28,522</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27,868</w:t>
            </w:r>
          </w:p>
        </w:tc>
      </w:tr>
      <w:tr>
        <w:trPr>
          <w:trHeight w:val="229"/>
        </w:trPr>
        <w:tc>
          <w:tcPr>
            <w:tcW w:w="7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8,393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8,080</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36,602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26,226</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22,761</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22,309</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6,513</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6,367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r>
      <w:tr>
        <w:trPr>
          <w:trHeight w:val="230"/>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3,873</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36,753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33,001</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31,996</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2,537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530</w:t>
            </w:r>
          </w:p>
        </w:tc>
        <w:tc>
          <w:tcPr>
            <w:tcW w:w="38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(expense) benefit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7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2,346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5,836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29"/>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940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2,056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4,896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43"/>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13.57</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31.61</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37"/>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151.5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154.9</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13.53</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31.47</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36"/>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152.0</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155.6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43"/>
        </w:trPr>
        <w:tc>
          <w:tcPr>
            <w:tcW w:w="7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2,056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4,896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w:t>
            </w:r>
          </w:p>
        </w:tc>
        <w:tc>
          <w:tcPr>
            <w:tcW w:w="3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2,081</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3,109</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1,454</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5,693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1,109</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2,341</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13,706</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$7,964 for 2023 and $7,258 for 2022</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9,653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1,818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29"/>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17,517</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305</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2,525</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46,544</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43,755</w:t>
            </w:r>
          </w:p>
        </w:tc>
        <w:tc>
          <w:tcPr>
            <w:tcW w:w="0" w:type="dxa"/>
            <w:vAlign w:val="bottom"/>
          </w:tcPr>
          <w:p>
            <w:pPr>
              <w:spacing w:after="0"/>
              <w:rPr>
                <w:sz w:val="1"/>
                <w:szCs w:val="1"/>
                <w:color w:val="auto"/>
              </w:rPr>
            </w:pPr>
          </w:p>
        </w:tc>
      </w:tr>
      <w:tr>
        <w:trPr>
          <w:trHeight w:val="243"/>
        </w:trPr>
        <w:tc>
          <w:tcPr>
            <w:tcW w:w="8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2,110</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2,251</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4,193</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3,388</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11,942</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0" w:type="dxa"/>
            <w:vAlign w:val="bottom"/>
          </w:tcPr>
          <w:p>
            <w:pPr>
              <w:spacing w:after="0"/>
              <w:rPr>
                <w:sz w:val="1"/>
                <w:szCs w:val="1"/>
                <w:color w:val="auto"/>
              </w:rPr>
            </w:pPr>
          </w:p>
        </w:tc>
      </w:tr>
      <w:tr>
        <w:trPr>
          <w:trHeight w:val="22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$70 for 2023 and $1,072 for 2022</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13,786</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1,290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1,892</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2,839</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31,749</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28,443</w:t>
            </w:r>
          </w:p>
        </w:tc>
        <w:tc>
          <w:tcPr>
            <w:tcW w:w="0" w:type="dxa"/>
            <w:vAlign w:val="bottom"/>
          </w:tcPr>
          <w:p>
            <w:pPr>
              <w:spacing w:after="0"/>
              <w:rPr>
                <w:sz w:val="1"/>
                <w:szCs w:val="1"/>
                <w:color w:val="auto"/>
              </w:rPr>
            </w:pPr>
          </w:p>
        </w:tc>
      </w:tr>
      <w:tr>
        <w:trPr>
          <w:trHeight w:val="237"/>
        </w:trPr>
        <w:tc>
          <w:tcPr>
            <w:tcW w:w="8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2023—150,109,271 and 2022</w:t>
            </w:r>
          </w:p>
        </w:tc>
        <w:tc>
          <w:tcPr>
            <w:tcW w:w="240" w:type="dxa"/>
            <w:vAlign w:val="bottom"/>
          </w:tcPr>
          <w:p>
            <w:pPr>
              <w:spacing w:after="0"/>
              <w:rPr>
                <w:sz w:val="15"/>
                <w:szCs w:val="15"/>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—153,157,924</w:t>
            </w: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14,773</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w:t>
            </w: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14,795</w:t>
            </w: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46,544</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43,755</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2,056</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4,896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1,338</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expense (benefit)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(988)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B-21 charge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1,559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(308)</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247</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(658)</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3,875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2,901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37"/>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Divestiture of IT services business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(1,775)</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minority investments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197</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(1,582)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6"/>
        </w:trPr>
        <w:tc>
          <w:tcPr>
            <w:tcW w:w="7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1,995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(1,050)</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(1,500)</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(1,116)</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(1,052)</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(1,761)</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532</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2,577</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3,530</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3,109</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2,577</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7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15,312</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12,913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(1,519)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(1,497)</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2,056</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4,896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14,773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15,312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7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4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14,795</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15,312</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37"/>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7.34</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Northrop Grumman Corporation is a leading global aerospace and defense technology company. We deliver a broad range of products, services and solutions to U.S. and international customers, and principally to the U.S. Department of Defense and intelligence community. Our broad portfolio is aligned to support national security priorities and our solutions equip our customers with capabilities they need to connect, protect and advance humanity.</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Northrop Grumman and its subsidiaries and joint ventures or other investments for which we consolidate the financial results. Intercompany accounts, transactions and profits are eliminated in consolidation. Investments in equity securities and joint ventures where the company has significant influence, but not control, are accounted for using the equity method.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we changed the presentation of the components of other comprehensive income (loss), net of tax in the consolidated statement of earnings and comprehensive income. Prior period amounts have been recast to conform to current period presentation. This change in presentation had no impact on our previously reported comprehensive income in total.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conformity with U.S. GAAP. The preparation thereof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The majority of our sales are derived from long-term contracts with the U.S. government for the development or production of goods, the provision of services, or a combination of both. The company classifies sales as product or service based on the predominant attributes of each performance obligation.</w:t>
      </w:r>
    </w:p>
    <w:p>
      <w:pPr>
        <w:spacing w:after="0" w:line="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 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6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measurement towards satisfaction of its performance obligations. Revenue for contracts in which the control of goods produced does not transfer until delivery to the customer is recognized at a point in time (i.e., typically upon delivery).</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EAC adjustment.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the request of the National Aeronautics and Space Administration (NASA), Space Systems submitted an engineering change proposal (ECP) during the fourth quarter of 2023 for scope increases and other aspects of the Habitation and Logistics Outpost (HALO) contract largely stemming from evolving Lunar Gateway architecture and mission requirements. The ECP addresses both work performed and work expected to be performed by the company resulting from scope changes previously approved by NASA, as well as changes NASA has requested the company to propose but has not yet directed the company to perform. The company has begun negotiating with NASA on these various changes and other aspects of the HALO contract. The company’s 2023 results include $100 million of unfavorable EAC adjustments on the HALO contract and reflect our current best estimate of the outcome of the ECP negotiations assuming the terms of the current contract; however, if the outcome is less favorable than what we have assumed, it could have an adverse effect on our financial position, results of operations and/or cash flows.</w:t>
      </w:r>
    </w:p>
    <w:p>
      <w:pPr>
        <w:spacing w:after="0" w:line="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G&amp;A costs, is charged against income in the period the loss is identified.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Low-Rate Initial Production Options</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manufacturing, and design (EMD) and five low-rate initial production (LRIP) options in varying quantities. The EMD phase of the program is largely cost type and began at contract award. The LRIP options are largely fixed price and are expected to be awarded and executed through approximately the end of the decade. During the fourth quarter of 2023, the B-21 program entered flight testing and the company received an award for the first LRIP lot.</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previously disclosed it was reasonably possible one or more of the LRIP options could be performed at a loss principally due to the company’s estimate of the impact macroeconomic factors may have on our cost to complete the LRIP options, as well as ongoing discussions with our suppliers and our customer. During the fourth quarter of 2023, we again reviewed our estimated profitability on the LRIP phase of the program, and we now believe it is probable each of the first five LRIP lots will be performed at a loss. The loss is largely driven by a change in our assumptions regarding funding to mitigate the impact of macroeconomic disruptions on the LRIP phase of the program and higher projected manufacturing costs that reflect recent supplier negotiations and our experience in completing the first aircraft.</w:t>
      </w:r>
    </w:p>
    <w:p>
      <w:pPr>
        <w:spacing w:after="0" w:line="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projected loss across the five LRIP lots, which we recognized during the fourth quarter of 2023, is $1.56 billion. The loss comprises a $143 million unfavorable EAC adjustment for the first LRIP lot and a $1.37 billion loss contingency accrual and $45 million reduction of inventoried costs for the unexercised LRIP lots. As of December 31, 2023, $631 million of the loss contingency accrual is included in Other current liabilities and $740 million is included in Other non-current liabilities in the consolidated statement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If our estimated cost to complete the LRIP phase of the program changes or our assumptions regarding contract performance, quantities, or funding to mitigate the impact of macroeconomic disruptions are resolved more or less favorably than what we have estimated, our financial position, results of operations and/or cash flows could be materially affected.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EAC Adjustments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w:t>
            </w: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77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0.43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167"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21% federal statutory tax rate.</w:t>
      </w:r>
    </w:p>
    <w:p>
      <w:pPr>
        <w:spacing w:after="0" w:line="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EAC adjustments on a single performance obligation can have a significant effect on the company’s financial statements. When such adjustments occur, we generally disclose the nature, underlying conditions and financial impact of the adjustments. During the fourth quarter of 2023, we recorded a $143 million unfavorable EAC adjustment on the first LRIP lot of the B-21 program at Aeronautics Systems as described above. During 2023, we recorded $100 million of unfavorable EAC adjustments on the HALO program at Space Systems largely due to cost growth stemming from evolving Lunar Gateway architecture and mission requirements combined with macroeconomic challenges. During 2022, we recorded $133 million of favorable EAC adjustments on the EMD phase of the B-21 program at Aeronautics Systems. During 2021, we recorded $135 million of unfavorable EAC adjustments on the F-35 program at Aeronautics Systems. No other such adjustments were significant to the financial statements during the years ended December 31, 2023, 2022 and 2021.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IDIQ contracts are not included in backlog until the time an option or IDIQ task order is exercised or awarded.</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Company backlog as of December 31, 2023 was $84.2 billion. Of our December 31, 2023 backlog, we expect to recognize approximately 40 percent as revenue over the next 12 months and 65 percent as revenue over the next 24 months, with the remainder to be recognized thereafter.</w:t>
      </w:r>
    </w:p>
    <w:p>
      <w:pPr>
        <w:spacing w:after="0" w:line="3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Subsequent Event </w:t>
      </w:r>
      <w:r>
        <w:rPr>
          <w:rFonts w:ascii="Times New Roman" w:cs="Times New Roman" w:eastAsia="Times New Roman" w:hAnsi="Times New Roman"/>
          <w:sz w:val="18"/>
          <w:szCs w:val="18"/>
          <w:color w:val="auto"/>
        </w:rPr>
        <w:t>– In January 2024, the company received a termination for convenience in our restricted Space business. The company expects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by approximately $2 billion during the first quarter of 2024 related to the termination.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Contract assets are equivalent to and reflected as Unbilled receivables in the consolidated statements of financial position and are primarily related to long-term contracts where revenue recognized under the cost-to-cost method exceeds amounts billed to customers. Unbilled receivables are classified as current assets and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Contract liabilities are equivalent to and reflected as Advance payments and billings in excess of costs incurred in the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contract assets are as follows:</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2022</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5,693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 payments and amounts in excess of costs incurred</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(4,193)</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(3,609)</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20" w:type="dxa"/>
            <w:vAlign w:val="bottom"/>
          </w:tcPr>
          <w:p>
            <w:pPr>
              <w:spacing w:after="0"/>
              <w:rPr>
                <w:sz w:val="20"/>
                <w:szCs w:val="20"/>
                <w:color w:val="auto"/>
              </w:rPr>
            </w:pPr>
          </w:p>
        </w:tc>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2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change in the balances of the company’s contract assets and liabilities primarily results from timing differences between revenue recognition and customer billings and/or payments. Net contract assets as of December 31, 2023 decreased 37 percent from the prior year, primarily due to decreases in net contracts assets at Space Systems, Missions Systems and Aeronautics Systems.</w:t>
      </w:r>
    </w:p>
    <w:p>
      <w:pPr>
        <w:spacing w:after="0" w:line="4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years ended December 31, 2023, 2022 and 2021 that was included in the contract liability balance at the beginning of each year was $3.1 billion, $2.4 billion and $2.0 billion,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See Note 16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18"/>
          <w:szCs w:val="18"/>
          <w:color w:val="auto"/>
        </w:rPr>
        <w:t>In accordance with applicable FAR and CAS requirements, most general management and corporate expenses incurred at the segment and corporate locations are considered allowable and allocable costs to our U.S. government contracts.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Company-sponsored research and development activities primarily include efforts related to government programs. Company-sponsored IR&amp;D expenses totaled $1.2 billion, $1.2 billion and $1.1 billion in 2023, 2022 and 2021, respectively, which represented 3.0 percent, 3.3 percent and 3.2 percent of total sales, respectively. Customer-funded research and development activities are charged directly to the related contracts.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also recognized as a component of income tax expense.</w:t>
      </w:r>
    </w:p>
    <w:p>
      <w:pPr>
        <w:spacing w:after="0" w:line="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applicable FAR and CAS requirements, current state and local income and franchise taxes are generally considered allowable and allocable costs to our U.S. government contracts and are, therefore, recorded in operating costs and expenses. The company generally recognizes changes in deferred state taxes and unrecognized state tax benefits in unallocated corporate expenses.</w:t>
      </w:r>
    </w:p>
    <w:p>
      <w:pPr>
        <w:spacing w:after="0" w:line="4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Uncertain tax positions reflect the company’s expected treatment of tax positions taken in a filed tax return, or planned to be taken in a future tax return or claim.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6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NAV per share as a practical expedient. Marketable securities accounted for as trading are recorded at fair value on a recurring basis and are included in Other non-current assets in the consolidated statements of financial position.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Other, net in the consolidated statements of earnings and comprehensive income, while changes in the fair value of derivative financial instruments that are 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its exposure to foreign currency exchange risk related to receipts from customers and payments to suppliers denominated in foreign currencies (i.e., foreign currency forward contracts). For foreign currency forward contracts, where model-derived valuations are appropriate, the company utilizes the income approach to determine the fair value using internal models based on observable market inputs such as forward rates, interest rates, our own credit risk and our counterparties’ credit risks.</w:t>
      </w:r>
    </w:p>
    <w:p>
      <w:pPr>
        <w:spacing w:after="0" w:line="5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Inventoried Costs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Inventoried costs generally comprise costs associated with unsatisfied performance obligations on contracts accounted for using point in time revenue recognition, costs incurred in excess of existing contract requirements that are probable of recovery and other accrued contract costs that are expected to be recoverable when allocated to specific contracts. Product inventory primarily consists of raw materials and is stated at the lower of cost or net realizable value, generally using the average cost method.</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Inventoried costs include direct production costs, factory and engineering overhead, production tooling costs, and allowable G&amp;A. G&amp;A included in Inventoried costs, net was $65 million and $59 million as of December 31, 2023 and 2022, respectively. Inventoried costs are classified as current assets and include amounts related to contracts having production cycles longer than one year due to the long-cycle nature of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Policies</w:t>
      </w:r>
    </w:p>
    <w:p>
      <w:pPr>
        <w:spacing w:after="0" w:line="3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non-qualified employee retirement plans. As of December 31, 2023 and 2022, the carrying values associated with these policies were $399 million and $367 million, respectively, and are recorded in Other non-current assets in the consolidated statements of financial position.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Property, plant and equipment (PP&amp;E) are depreciated over the estimated useful lives of individual assets. Machinery and other equipment is primarily depreciated using declining-balance methods. The other asset categories are generally depreciated using the straight-line method. Depreciation expense is generally an allowable and allocable cost in accordance with applicable FAR and CAS requirements and is recorded in the same segment where the related assets are held. However, the additional depreciation expense related to the step-up in fair value of PP&amp;E acquired through business combinations is recorded in unallocated corporate expense within operating income as such depreciation is not allocable to government contracts and not considered part of management’s evaluation of segment operating performance. Major classes of PP&amp;E and their useful lives are as follows:</w:t>
      </w:r>
    </w:p>
    <w:p>
      <w:pPr>
        <w:spacing w:after="0" w:line="9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Useful life in years, $ in millions</w:t>
            </w:r>
          </w:p>
        </w:tc>
        <w:tc>
          <w:tcPr>
            <w:tcW w:w="3580" w:type="dxa"/>
            <w:vAlign w:val="bottom"/>
            <w:tcBorders>
              <w:top w:val="single" w:sz="8" w:color="auto"/>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color w:val="auto"/>
                <w:w w:val="99"/>
              </w:rPr>
              <w:t>Useful Life</w:t>
            </w:r>
          </w:p>
        </w:tc>
        <w:tc>
          <w:tcPr>
            <w:tcW w:w="5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580" w:type="dxa"/>
            <w:vAlign w:val="bottom"/>
            <w:shd w:val="clear" w:color="auto" w:fill="CCEEFF"/>
          </w:tcPr>
          <w:p>
            <w:pPr>
              <w:ind w:left="2440"/>
              <w:spacing w:after="0" w:line="223" w:lineRule="exact"/>
              <w:rPr>
                <w:sz w:val="20"/>
                <w:szCs w:val="20"/>
                <w:color w:val="auto"/>
              </w:rPr>
            </w:pPr>
            <w:r>
              <w:rPr>
                <w:rFonts w:ascii="Times New Roman" w:cs="Times New Roman" w:eastAsia="Times New Roman" w:hAnsi="Times New Roman"/>
                <w:sz w:val="18"/>
                <w:szCs w:val="18"/>
                <w:color w:val="auto"/>
              </w:rPr>
              <w:t>Up to 40</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Up to 45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58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Up to 20</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9,641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5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3-5</w:t>
            </w: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Borders>
              <w:bottom w:val="single" w:sz="8" w:color="auto"/>
            </w:tcBorders>
            <w:shd w:val="clear" w:color="auto" w:fill="CCEEFF"/>
          </w:tcPr>
          <w:p>
            <w:pPr>
              <w:jc w:val="center"/>
              <w:ind w:left="1870"/>
              <w:spacing w:after="0" w:line="230" w:lineRule="exact"/>
              <w:rPr>
                <w:sz w:val="20"/>
                <w:szCs w:val="20"/>
                <w:color w:val="auto"/>
              </w:rPr>
            </w:pPr>
            <w:r>
              <w:rPr>
                <w:rFonts w:ascii="Times New Roman" w:cs="Times New Roman" w:eastAsia="Times New Roman" w:hAnsi="Times New Roman"/>
                <w:sz w:val="18"/>
                <w:szCs w:val="18"/>
                <w:color w:val="auto"/>
                <w:w w:val="94"/>
              </w:rPr>
              <w:t>Lease Term</w:t>
            </w:r>
            <w:r>
              <w:rPr>
                <w:rFonts w:ascii="Times New Roman" w:cs="Times New Roman" w:eastAsia="Times New Roman" w:hAnsi="Times New Roman"/>
                <w:sz w:val="23"/>
                <w:szCs w:val="23"/>
                <w:color w:val="auto"/>
                <w:w w:val="94"/>
                <w:vertAlign w:val="superscript"/>
              </w:rPr>
              <w:t>(2)</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3,076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17,617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9,653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r>
    </w:tbl>
    <w:p>
      <w:pPr>
        <w:spacing w:after="0" w:line="167"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Land is not a depreciable asset.</w:t>
      </w:r>
    </w:p>
    <w:p>
      <w:pPr>
        <w:spacing w:after="0" w:line="65"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Leasehold improvements are depreciated over the shorter of the useful life of the asset or lease term.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2020, the company completed a sale of equipment to a customer on a restricted Aeronautics Systems program for</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$444 million. The company previously intended to use the equipment for internal purposes so we recognized the acquisition costs as capital expenditures and included the equipment in PP&amp;E. As we regularly sell this type of equipment to customers in the ordinary course of business, we recorded the sale as a revenue transaction and included the net book value of the equipment in Operating costs and expenses. Although we generally classify proceeds from revenue transactions as cash inflows from operating activities, we recognized the proceeds from this transaction as cash inflows from investing activities, consistent with our prior recognition of the cost to acquire the equipment as capital expenditures. The company received cash payments of $155 million and $84 million related to the equipment sale during 2022 and 2021, respectively, and included it in Proceeds from sale of equipment to a customer in the consolidated statements of cash flows. The company received no cash payments in 2023 related to the equipment sale.</w:t>
      </w:r>
    </w:p>
    <w:p>
      <w:pPr>
        <w:spacing w:after="0" w:line="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acquired $46 million of internal use software through long-term financing directly with the supplier. The software was recorded in PP&amp;E as a non-cash investing activity and the related liability was recorded in long-term debt as a non-cash financing activity. During the years ended December 31, 2023 and 2022, the company received lease incentives for landlord funded leasehold improvements of $55 million and $96 million, respectively, related to Space Systems real estate leases, which were recorded in PP&amp;E and included in non-cash investing activities.</w:t>
      </w:r>
    </w:p>
    <w:p>
      <w:pPr>
        <w:spacing w:after="0" w:line="62"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On December 28, 2022 the company acquired certain leased land in exchange for company-owned land, which had been used previously for production-related activities at Space Systems. The exchange was accounted for as a nonmonetary transaction, and the acquired land, valued at approximately</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$155 million, was recorded in PP&amp;E as a non-cash investing activity. The transaction resulted in a $96 million gain, which was reflected in operating costs and expenses in the consolidated statements of earnings and comprehensive income.</w:t>
      </w:r>
    </w:p>
    <w:p>
      <w:pPr>
        <w:spacing w:after="0" w:line="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Non-cash investing activities also include capital expenditures incurred but not yet paid of $75 million, $113 million and $91 million as of December 31, 2023, 2022 and 2021,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Minority Investment</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July 2023, the company sold its minority investment in an Australian business for AUD $235 million (the equivalent of $157 million upon settlement). The sale resulted in a pre-tax gain of $97 million, which is reflected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net on the consolidated statements of earnings and comprehensive income for the year ended December 31, 2023. Proceeds from the sale are included in investing activities on the consolidated statement of cash flows for the year ended December 31,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Goodwill and other purchased intangible asset balances are included in the identifiable assets of their assigned business segment. However, the company includes the amortization of other purchased intangible assets in unallocated corporate expense within operating income as such amortization is not allocable to government contracts and not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we determine whether a contract is or contains a lease and whether the lease should be classified as an operating or finance lease. Operating lease balances are included in Operating lease right-of-use assets, Other current liabilities, and Operating lease liabilities in our consolidated statements of financial position.</w:t>
      </w:r>
    </w:p>
    <w:p>
      <w:pPr>
        <w:spacing w:after="0" w:line="6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w:t>
      </w:r>
    </w:p>
    <w:p>
      <w:pPr>
        <w:spacing w:after="0" w:line="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define the initial lease term to include renewal options determined to be reasonably certain. We do not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Many of the company’s real property lease agreements contain incentives for tenant improvements, rent holidays or rent escalation clauses. For tenant improvement incentives received, if the incentive is determined to be a leasehold improvement owned by the lessee, the company generally records the incentives as a reduction to the right-of-use asset, which reduces rent expense over the lease term.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Finance leases are not material to our consolidated financial statements and the company is not a lessor in any material arrangements. We do not have any material restrictions or covenants in our lease agreements, sale-leaseback transactions, land easements or residual value guarantees.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Commitments and Contingencies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generally expensed as incurred. Due to the inherent uncertainties surrounding gain contingencies, we generally do not recognize potential gains until realized.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Costs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likely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and defined contribution retirement plans covering substantially all of its employees. In most cases, our defined contribution plans provide for a company match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employee contributions. The company also provides postretirement benefits other than pensions to eligible retirees and qualifying dependents, consisting principally of health care and life insurance benefits.</w:t>
      </w:r>
    </w:p>
    <w:p>
      <w:pPr>
        <w:spacing w:after="0" w:line="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liabilities, unamortized prior service credits and annual income or expense of the company’s defined benefit pension and OPB plans are determined using methodologies that involve several actuarial assumptions.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U.S. government regulations provide for the costs of pension and OPB plans to be charged to our contracts in accordance with applicable FAR and CAS requirements, we calculate retiree benefit plan costs under both FAS and CAS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 the plans is the same under either method. CAS retiree benefit plan costs are charged to contracts and are included in segment operating income, and the difference between the service cost component of FAS expense and total CAS expense (the “FAS/CAS operating adjustment”) is recorded in operating income at the consolidated company level. Not all net periodic pension expense is recognized in net earnings in the year incurred because it is allocated as production costs and a portion remains in inventory at the end of any given reporting period.</w:t>
      </w:r>
    </w:p>
    <w:p>
      <w:pPr>
        <w:spacing w:after="0" w:line="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Actuarial gains and losses are immediately recognized in net periodic benefit cost for FAS through MTM (expense) benefit upon annual remeasurement in the fourth quarter, or on an interim basis as triggering events warrant remeasurement. Prior service credits are recognized as a component of Accumulated other comprehensive loss and amortized into earnings in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company’s stock compensation plans are classified as equity plans. Compensation expense for stock awards is measured at the grant date based on the fair value of the award and is recognized over the vesting period (generally three years), net of estimated forfeitures. The company issues stock awards in the form of restricted performance stock rights and restricted stock rights.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 At each reporting date, the number of shares used to calculate compensation expense and diluted earnings per share is adjusted to reflect the number ultimately expected to vest.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Among other new disclosure requirements, ASU 2023-07 requires companies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evaluating the disclosure impact of ASU 2023-07; however, the standard will not have an impact on the company’s consolidated financial position, results of operations and/ or cash flows.</w:t>
      </w:r>
    </w:p>
    <w:p>
      <w:pPr>
        <w:spacing w:after="0" w:line="6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however, the standard will not have an impact on the company’s consolidated financial position, results of operations and/or cash flows.</w:t>
      </w:r>
    </w:p>
    <w:p>
      <w:pPr>
        <w:spacing w:after="0" w:line="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December 31, 2023, are not expected to have a material effect on the company’s consolidated financial position, annual results of operations and/or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DISPOSITIONS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Effective January 30, 2021, we completed the IT services divestiture for $3.4 billion in cash and recorded a pre-tax gain of $2.0 billion. The IT and mission support services business was comprised of the majority of the former Information Solutions and Services (IS&amp;S) division of Defense Systems (excluding the Vinnell Arabia business); select cyber, intelligence and missions support programs, which were part of the former Cyber and Intelligence Mission Solutions (CIMS) division of Mission Systems; and the former Space Technical Services business unit of Space Systems. Operating results include sales and operating income for the IT and mission support services business prior to the Divestiture date; therefore, no sales and operating income were recognized for this business during the years ended December 31, 2023 and 2022. The company recorded sales of $162 million and pre-tax profit of $20 million for the IT and mission support services business during the year ended December 31, 2021.</w:t>
      </w:r>
    </w:p>
    <w:p>
      <w:pPr>
        <w:spacing w:after="0" w:line="63" w:lineRule="exact"/>
        <w:rPr>
          <w:sz w:val="20"/>
          <w:szCs w:val="20"/>
          <w:color w:val="auto"/>
        </w:rPr>
      </w:pPr>
    </w:p>
    <w:p>
      <w:pPr>
        <w:ind w:right="3500"/>
        <w:spacing w:after="0" w:line="310" w:lineRule="auto"/>
        <w:rPr>
          <w:sz w:val="20"/>
          <w:szCs w:val="20"/>
          <w:color w:val="auto"/>
        </w:rPr>
      </w:pPr>
      <w:r>
        <w:rPr>
          <w:rFonts w:ascii="Times New Roman" w:cs="Times New Roman" w:eastAsia="Times New Roman" w:hAnsi="Times New Roman"/>
          <w:sz w:val="18"/>
          <w:szCs w:val="18"/>
          <w:b w:val="1"/>
          <w:bCs w:val="1"/>
          <w:color w:val="auto"/>
        </w:rPr>
        <w:t>3. EARNINGS PER SHARE, SHARE REPURCHASES AND DIVIDENDS ON COMMON STOCK Basic Earnings Per Share</w:t>
      </w:r>
    </w:p>
    <w:p>
      <w:pPr>
        <w:spacing w:after="0" w:line="1"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ind w:right="24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0.5 million, 0.7 million and 0.6 million shares for the years ended December 31, 2023, 2022 and 2021,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4, 2018, the company’s board of directors authorized a share repurchase program of up to $3.0 billion in share repurchases of the company’s common stock (the “2018 Repurchase Program”). Repurchases under the 2018 Repurchase Program commenced in March 2020 and were completed in October 2021.</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new share repurchase program of up to an additional $3.0 billion in share repurchases of the company’s common stock (the “2021 Repurchase Program”). Repurchases under the 2021 Repurchase Program commenced in October 2021 and were completed in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upon completion of the 2021 Repurchase Program. As of December 31, 2023, repurchases under the 2022 Repurchase Program totaled $0.9 billion; $1.1 billion remained under this share repurchase authorization. By its terms, the 2022 Repurchase Program will expire when we have used all authorized funds for repurchases.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will commence upon completion of the 2022 Repurchase Program and will expire when we have used all authorized funds for repurchases. As of December 31, 2023, there have been no repurchases under the 2023 Repurchase Program and the company’s total outstanding share repurchase authorization was $3.6 billion.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an ASR agreement with Goldman Sachs to repurchase $500 million of the company’s common stock as part of the 2021 Repurchase Program. Under the agreement, we made a payment of $500 million to Goldman Sachs and received an initial delivery of 1.2 million shares valued at $425 million that were immediately canceled by the company. The remaining balance of $75 million was settled on February 1, 2022 with a final delivery of 0.1 million shares from Goldman Sachs. The final average purchase price was $374.79 per share.</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60" w:type="dxa"/>
            <w:vAlign w:val="bottom"/>
          </w:tcPr>
          <w:p>
            <w:pPr>
              <w:spacing w:after="0"/>
              <w:rPr>
                <w:sz w:val="22"/>
                <w:szCs w:val="22"/>
                <w:color w:val="auto"/>
              </w:rPr>
            </w:pPr>
          </w:p>
        </w:tc>
        <w:tc>
          <w:tcPr>
            <w:tcW w:w="12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Average</w:t>
            </w:r>
          </w:p>
        </w:tc>
        <w:tc>
          <w:tcPr>
            <w:tcW w:w="1740" w:type="dxa"/>
            <w:vAlign w:val="bottom"/>
          </w:tcPr>
          <w:p>
            <w:pPr>
              <w:spacing w:after="0"/>
              <w:rPr>
                <w:sz w:val="22"/>
                <w:szCs w:val="22"/>
                <w:color w:val="auto"/>
              </w:rPr>
            </w:pPr>
          </w:p>
        </w:tc>
        <w:tc>
          <w:tcPr>
            <w:tcW w:w="2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0" w:type="dxa"/>
            <w:vAlign w:val="bottom"/>
          </w:tcPr>
          <w:p>
            <w:pPr>
              <w:spacing w:after="0"/>
              <w:rPr>
                <w:sz w:val="1"/>
                <w:szCs w:val="1"/>
                <w:color w:val="auto"/>
              </w:rPr>
            </w:pPr>
          </w:p>
        </w:tc>
      </w:tr>
      <w:tr>
        <w:trPr>
          <w:trHeight w:val="167"/>
        </w:trPr>
        <w:tc>
          <w:tcPr>
            <w:tcW w:w="2180" w:type="dxa"/>
            <w:vAlign w:val="bottom"/>
          </w:tcPr>
          <w:p>
            <w:pPr>
              <w:ind w:left="420"/>
              <w:spacing w:after="0" w:line="156" w:lineRule="exact"/>
              <w:rPr>
                <w:sz w:val="20"/>
                <w:szCs w:val="20"/>
                <w:color w:val="auto"/>
              </w:rPr>
            </w:pPr>
            <w:r>
              <w:rPr>
                <w:rFonts w:ascii="Times New Roman" w:cs="Times New Roman" w:eastAsia="Times New Roman" w:hAnsi="Times New Roman"/>
                <w:sz w:val="18"/>
                <w:szCs w:val="18"/>
                <w:color w:val="auto"/>
              </w:rPr>
              <w:t>Repurchase Program</w:t>
            </w:r>
          </w:p>
        </w:tc>
        <w:tc>
          <w:tcPr>
            <w:tcW w:w="400" w:type="dxa"/>
            <w:vAlign w:val="bottom"/>
          </w:tcPr>
          <w:p>
            <w:pPr>
              <w:spacing w:after="0"/>
              <w:rPr>
                <w:sz w:val="14"/>
                <w:szCs w:val="14"/>
                <w:color w:val="auto"/>
              </w:rPr>
            </w:pPr>
          </w:p>
        </w:tc>
        <w:tc>
          <w:tcPr>
            <w:tcW w:w="1300" w:type="dxa"/>
            <w:vAlign w:val="bottom"/>
          </w:tcPr>
          <w:p>
            <w:pPr>
              <w:jc w:val="center"/>
              <w:ind w:right="190"/>
              <w:spacing w:after="0" w:line="156" w:lineRule="exact"/>
              <w:rPr>
                <w:sz w:val="20"/>
                <w:szCs w:val="20"/>
                <w:color w:val="auto"/>
              </w:rPr>
            </w:pPr>
            <w:r>
              <w:rPr>
                <w:rFonts w:ascii="Times New Roman" w:cs="Times New Roman" w:eastAsia="Times New Roman" w:hAnsi="Times New Roman"/>
                <w:sz w:val="18"/>
                <w:szCs w:val="18"/>
                <w:color w:val="auto"/>
              </w:rPr>
              <w:t>Authorized</w:t>
            </w:r>
          </w:p>
        </w:tc>
        <w:tc>
          <w:tcPr>
            <w:tcW w:w="14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Shares Retired</w:t>
            </w:r>
          </w:p>
        </w:tc>
        <w:tc>
          <w:tcPr>
            <w:tcW w:w="260" w:type="dxa"/>
            <w:vAlign w:val="bottom"/>
          </w:tcPr>
          <w:p>
            <w:pPr>
              <w:spacing w:after="0"/>
              <w:rPr>
                <w:sz w:val="14"/>
                <w:szCs w:val="14"/>
                <w:color w:val="auto"/>
              </w:rPr>
            </w:pPr>
          </w:p>
        </w:tc>
        <w:tc>
          <w:tcPr>
            <w:tcW w:w="1280" w:type="dxa"/>
            <w:vAlign w:val="bottom"/>
          </w:tcPr>
          <w:p>
            <w:pPr>
              <w:jc w:val="center"/>
              <w:ind w:right="230"/>
              <w:spacing w:after="0" w:line="156" w:lineRule="exact"/>
              <w:rPr>
                <w:sz w:val="20"/>
                <w:szCs w:val="20"/>
                <w:color w:val="auto"/>
              </w:rPr>
            </w:pPr>
            <w:r>
              <w:rPr>
                <w:rFonts w:ascii="Times New Roman" w:cs="Times New Roman" w:eastAsia="Times New Roman" w:hAnsi="Times New Roman"/>
                <w:sz w:val="18"/>
                <w:szCs w:val="18"/>
                <w:color w:val="auto"/>
                <w:w w:val="97"/>
              </w:rPr>
              <w:t>Price</w:t>
            </w:r>
          </w:p>
        </w:tc>
        <w:tc>
          <w:tcPr>
            <w:tcW w:w="1740" w:type="dxa"/>
            <w:vAlign w:val="bottom"/>
          </w:tcPr>
          <w:p>
            <w:pPr>
              <w:spacing w:after="0"/>
              <w:rPr>
                <w:sz w:val="14"/>
                <w:szCs w:val="14"/>
                <w:color w:val="auto"/>
              </w:rPr>
            </w:pPr>
          </w:p>
        </w:tc>
        <w:tc>
          <w:tcPr>
            <w:tcW w:w="25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Authorization Date</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line="236"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Date Completed</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337.18</w:t>
            </w:r>
          </w:p>
        </w:tc>
        <w:tc>
          <w:tcPr>
            <w:tcW w:w="17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October 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431.05</w:t>
            </w:r>
          </w:p>
        </w:tc>
        <w:tc>
          <w:tcPr>
            <w:tcW w:w="1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April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454.03</w:t>
            </w:r>
          </w:p>
        </w:tc>
        <w:tc>
          <w:tcPr>
            <w:tcW w:w="1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2,500</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560" w:hanging="172"/>
        <w:spacing w:after="0" w:line="238" w:lineRule="auto"/>
        <w:tabs>
          <w:tab w:leader="none" w:pos="168"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a part of the 2023 Repurchase Program, the board of directors approved that the purchases under this program, and the authorization remaining under the 2022 program, be exclusive of brokerage commissions. Commissions paid are included for the 2018 and 2021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company increased the quarterly common stock dividend 8 percent to $1.87 per share from the previous amount of $1.73 per share.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2022, the company increased the quarterly common stock dividend 10 percent to $1.73 per share from the previous amount of $1.57 per share.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2021, the company increased the quarterly common stock dividend 8 percent to $1.57 per share from the previous amount of $1.45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Accounts receivable, net represent amounts billed and due from customers. Substantially all accounts receivable at December 31, 2023 are expected to be collected in 2024. The company does not believe it has significant exposure to credit risk as the majority of our accounts receivable are due from the U.S. government either as the ultimate customer or in connection with foreign military sales.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3"/>
        </w:trPr>
        <w:tc>
          <w:tcPr>
            <w:tcW w:w="8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bl>
    <w:p>
      <w:pPr>
        <w:spacing w:after="0" w:line="154"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receivables due from the U.S. government associated with foreign military sales, which are contracted with and paid by the U.S. government.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UNBILLED RECEIVABLES, NET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Unbilled receivables, net represent revenue recognized under the cost-to-cost method that exceeds amounts billed to customers. A large majority of the company’s unbilled receivables at December 31, 2023 are expected to be billed and collected in 2024. Progress and performance-based payments are reflected as an offset to the related unbilled receivable balances.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net consisted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8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Due from U.S. government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23,655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23,304</w:t>
            </w: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U.S. government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5,334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international and other customers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30"/>
        </w:trPr>
        <w:tc>
          <w:tcPr>
            <w:tcW w:w="8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and performance-based payments received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2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due from international and other customers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 of progress and performance-based payments received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5,710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3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5,693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r>
    </w:tbl>
    <w:p>
      <w:pPr>
        <w:spacing w:after="0" w:line="154"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unbilled receivables due from the U.S. government associated with foreign military sales, which are contracted with and paid by the U.S. government.</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92"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INVENTORIED COSTS, NET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Inventoried costs are principally associated with contracts where the U.S. government is the primary customer, therefore the company does not believe it has significant exposure to recoverability risk related to these amounts. Inventoried costs associated with our commercial businesses, while less significant in total, are subject to a greater level of recoverability risk. The company recorded write-downs of commercial business inventory at Space Systems for which its cost exceeded net realizable value of $43 million and $45 million during the years ended December 31, 2023 and 2022, respectively. As discussed in Note 1, the company recognized a $45 million reduction of inventoried costs related to the B-21 program at Aeronautics Systems during the year ended December 31,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Inventoried costs, net consisted of the following:</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in process</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inventory:</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338</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29"/>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 inventory</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462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bottom w:val="single" w:sz="8" w:color="auto"/>
            </w:tcBorders>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Borders>
              <w:bottom w:val="single" w:sz="8" w:color="auto"/>
            </w:tcBorders>
            <w:shd w:val="clear" w:color="auto" w:fill="CCEEFF"/>
          </w:tcPr>
          <w:p>
            <w:pPr>
              <w:spacing w:after="0"/>
              <w:rPr>
                <w:sz w:val="20"/>
                <w:szCs w:val="20"/>
                <w:color w:val="auto"/>
              </w:rPr>
            </w:pPr>
          </w:p>
        </w:tc>
      </w:tr>
      <w:tr>
        <w:trPr>
          <w:trHeight w:val="47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Federal and foreign income tax expense consisted of the following: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(670)</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 w:type="dxa"/>
            <w:vAlign w:val="bottom"/>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foreign 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 w:type="dxa"/>
            <w:vAlign w:val="bottom"/>
          </w:tcPr>
          <w:p>
            <w:pPr>
              <w:spacing w:after="0"/>
              <w:rPr>
                <w:sz w:val="20"/>
                <w:szCs w:val="20"/>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associated with the company’s foreign operations are not material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Income tax expense differs from the amount computed by multiplying earnings before income taxes by the statutory federal income tax rate due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tcBorders>
              <w:bottom w:val="single" w:sz="8" w:color="auto"/>
            </w:tcBorders>
          </w:tcPr>
          <w:p>
            <w:pPr>
              <w:spacing w:after="0"/>
              <w:rPr>
                <w:sz w:val="19"/>
                <w:szCs w:val="19"/>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1,226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1,877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3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(210)</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w:t>
            </w:r>
          </w:p>
        </w:tc>
        <w:tc>
          <w:tcPr>
            <w:tcW w:w="1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(177)</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(63)</w:t>
            </w:r>
          </w:p>
        </w:tc>
        <w:tc>
          <w:tcPr>
            <w:tcW w:w="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services divestiture nondeductible goodwill</w:t>
            </w:r>
          </w:p>
        </w:tc>
        <w:tc>
          <w:tcPr>
            <w:tcW w:w="3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250</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(86)</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3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69</w:t>
            </w: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federal and foreign 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290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940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1,933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2023 ETR decreased to 12.4 percent from 16.1 percent in 2022 primarily due to lower earnings before income taxes as a result of the B-21 charge and MTM expense, which collectively reduced the 2023 ETR by 3.8 percentage points. The 2022 MTM benefit increased the 2022 ETR by 1.2 percentage points.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2022 ETR decreased to 16.1 percent from 21.6 percent in 2021 primarily due to an $86 million benefit resulting from the resolution of the IRS examination of certain legacy OATK tax returns, as well as additional federal income taxes in the prior year resulting from the IT services divestiture. The company’s 2022 MTM benefit increased the 2022 ETR by 1.2 percentage points; however, the MTM benefit in 2021 did not significantly impact the 2021 ETR.</w:t>
      </w:r>
    </w:p>
    <w:p>
      <w:pPr>
        <w:spacing w:after="0" w:line="5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Income tax payments, net of refunds received, were $1.2 billion, $1.5 billion and $1.3 billion for the years ended December 31, 2023, 2022 and 2021, respectively. Taxes receivable, which are included in Prepaid expenses and other current assets in the consolidated statements of financial position, were $1.5 billion and $850 million as of December 31, 2023 and 2022,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3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in various state and foreign jurisdictions. The Northrop Grumman 2018-2020 federal tax returns are currently under Internal Revenue Service (IRS) examination. During the second quarter of 2023, the company entered into an agreed Revenue Agent’s Report (“RAR”) for certain matters related to the company’s 2014-2017 federal income tax returns, resulting in a $90 million reduction to our unrecognized tax benefits and an immaterial impact to income tax expense. The matters not addressed by the agreed RAR related to the company’s 2014-2017 federal income tax returns and refund claims related to its 2007-2016 federal tax returns are currently under review by the IRS Appeals Office.</w:t>
      </w:r>
    </w:p>
    <w:p>
      <w:pPr>
        <w:spacing w:after="0" w:line="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California Franchise Tax Board approved a resolution of the state examination primarily related to California state apportionment in the company’s 2007 to 2016 tax years, resulting in a $95 million reduction to our unrecognized tax benefits and an $11 million reduction to unallocated corporate expense.</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Tax returns for open tax years related to state and foreign jurisdictions remain subject to examination. As state income taxes are generally considered allowable and allocable costs, any individual or aggregate state examination impacts are not expected to have a material impact on our financial results. Amounts currently subject to examination related to foreign jurisdictions are not material.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1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unrecognized tax benefits during 2023, 2022 and 2021, excluding interest, is as follows: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8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1,663</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276</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unrecognized tax benefits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the year</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1,994</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bl>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2023 increase in unrecognized tax benefits was primarily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December 31, 2023, we have approximately $2.0 billion in unrecognized tax benefits, including $843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$120 million.</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consolidated statements of financial position, were $964 million and $728 million as of December 31, 2023 and 2022, respectively, with the remainder of our unrecognized tax benefits included within Other non-current liabilities. These liabilities include $305 million and $216 million of accrued interest and penalties as of December 31, 2023 and 2022, respectively. If the income tax benefits from these tax positions are ultimately realized, $848 million of federal and foreign tax benefits would reduce the company’s ETR.</w:t>
      </w:r>
    </w:p>
    <w:p>
      <w:pPr>
        <w:spacing w:after="0" w:line="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Net interest expense within the company’s federal, foreign and state income tax provisions was $62 million, $29 million, and $25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31"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3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gave rise to year-end deferred federal, state and foreign tax balances, as presented in the consolidated statements of financial position,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Retiree benefits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3,380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 for accrued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557</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6,065</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23"/>
        </w:trPr>
        <w:tc>
          <w:tcPr>
            <w:tcW w:w="8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5,548</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Purchased intangibles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563</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accounting differences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2,437</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30"/>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4,528</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31, 2023, the company has available tax credits and unused net operating losses of $615 million and $358 million, respectively, that may be applied against future taxable income. The majority of tax credits and net operating losses expire in 2024 through 2046, however, some may be carried forward indefinitely. Due to the uncertainty of the realization of the tax credits and net operating losses, the company has recorded valuation allowances of $344 million and $46 million, respectively, as of December 31, 2023.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has accumulated undistributed earnings generated by our foreign subsidiaries and most have been taxed in the U.S. We intend to indefinitely reinvest these earnings, as well as future earnings from our foreign subsidiaries to fund our international operations. In addition, we expect future U.S. cash generation will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PURCHASED INTANGIBLE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amounts of goodwill for the years ended December 31, 2022 and 2023,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80" w:type="dxa"/>
            <w:vAlign w:val="bottom"/>
          </w:tcPr>
          <w:p>
            <w:pPr>
              <w:spacing w:after="0"/>
              <w:rPr>
                <w:sz w:val="17"/>
                <w:szCs w:val="17"/>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Aeronautics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Systems</w:t>
            </w: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Defense Systems</w:t>
            </w: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Mission Systems</w:t>
            </w:r>
          </w:p>
        </w:tc>
        <w:tc>
          <w:tcPr>
            <w:tcW w:w="1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Space Systems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3,412</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3,413</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3,467</w:t>
            </w:r>
          </w:p>
        </w:tc>
        <w:tc>
          <w:tcPr>
            <w:tcW w:w="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3,414</w:t>
            </w: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consists primarily of adjustments for foreign currency translation.</w:t>
      </w:r>
    </w:p>
    <w:p>
      <w:pPr>
        <w:spacing w:after="0" w:line="6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December 31, 2023 and 2022, accumulated goodwill impairment losses totaled $417 million and $153 million at Aeronautics Systems and Space Systems,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customer-related and other intangible assets are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customer-related and other intangible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3,365</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9"/>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customer-related and other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bl>
    <w:p>
      <w:pPr>
        <w:spacing w:after="0" w:line="15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Amortization expense for 2023, 2022 and 2021, was $80 million, $197 million and $204 million, respectively. As of December 31, 2023, the expected future amortization of purchased intangibles for each of the next five years is as follows: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2024</w:t>
            </w:r>
          </w:p>
        </w:tc>
        <w:tc>
          <w:tcPr>
            <w:tcW w:w="52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2025</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2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2026</w:t>
            </w:r>
          </w:p>
        </w:tc>
        <w:tc>
          <w:tcPr>
            <w:tcW w:w="5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2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2027</w:t>
            </w:r>
          </w:p>
        </w:tc>
        <w:tc>
          <w:tcPr>
            <w:tcW w:w="5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00" w:type="dxa"/>
            <w:vAlign w:val="bottom"/>
            <w:tcBorders>
              <w:bottom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rPr>
              <w:t>2028</w:t>
            </w:r>
          </w:p>
        </w:tc>
        <w:tc>
          <w:tcPr>
            <w:tcW w:w="5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 See Note 1 for the definitions of these levels and for further information on our financial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December 31, 2023 and 2022 was $286 million and $221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notional value designated as a cash flow hedge at December 31, 2023 and 2022 was $162 million and $87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December 31, 2023 and 2022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years ended December 31, 2023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There were no commercial paper borrowings outstanding at December 31, 2023 and December 31, 2022,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The revolving credit facility established under the 2022 Credit Agreement is intended to support the company’s commercial paper program and other general corporate purposes. Commercial paper borrowings reduce the amount available for borrowing under the 2022 Credit Agreement. At December 31, 2023, there were no borrowings outstanding under this facility.</w:t>
      </w:r>
    </w:p>
    <w:p>
      <w:pPr>
        <w:spacing w:after="0" w:line="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 At December 31, 2023, the company was in compliance with all covenants under its credit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February 2023, the company issued $2.0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4.70% senior notes due 2033 (the “2033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4.95% senior notes due 2053 (the “2053 Notes”).</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refer to the 2033 Notes and the 2053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the company repaid $1.05 billion of 3.25 percent unsecured senior notes upon maturity.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the company repaid $700 million of 3.50 percent unsecured notes upon maturity.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the company redeemed $1.5 billion of 2.55 percent unsecured notes due October 2022. The company recorded a pre-tax charge of</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$54 million principally related to the premium paid on the redemption, which was recorded in Other, net in the consolidated statements of earnings and comprehensive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Exchange</w:t>
      </w:r>
    </w:p>
    <w:p>
      <w:pPr>
        <w:spacing w:after="0" w:line="2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unregistered Northrop Grumman Corporation notes (the “Unregistered Notes”) with the same interest rates and maturity dates as the NGSC notes exchanged.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company completed a registered exchange offer pursuant to which the company exchanged an aggregate principal amount of</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$414 million of the Unregistered Notes for $414 million of new notes registered under the Securities Act of 1933, as amended, (the “Registered Notes”) with the same interest rates and maturity dates as the Unregistered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Because the debt instruments were not substantially different in either of the exchange offers, both exchanges were treated as debt modifications for accounting purposes with no gain or loss recognized.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Fixed-rate notes and debentures, maturing in</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2023</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2026</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7.75% - 7.88%</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2027</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2028</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2030</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2031</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2033</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2040</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5.05% - 5.15%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2043</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2045</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2047</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550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2050</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2053</w:t>
            </w:r>
          </w:p>
        </w:tc>
        <w:tc>
          <w:tcPr>
            <w:tcW w:w="3560" w:type="dxa"/>
            <w:vAlign w:val="bottom"/>
            <w:shd w:val="clear" w:color="auto" w:fill="CCEEFF"/>
          </w:tcPr>
          <w:p>
            <w:pPr>
              <w:jc w:val="center"/>
              <w:ind w:left="139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Various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13,856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r>
      <w:tr>
        <w:trPr>
          <w:trHeight w:val="230"/>
        </w:trPr>
        <w:tc>
          <w:tcPr>
            <w:tcW w:w="5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23"/>
                <w:szCs w:val="23"/>
                <w:color w:val="auto"/>
                <w:vertAlign w:val="superscript"/>
              </w:rPr>
              <w:t>(1)</w:t>
            </w:r>
          </w:p>
        </w:tc>
        <w:tc>
          <w:tcPr>
            <w:tcW w:w="3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13,786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r>
    </w:tbl>
    <w:p>
      <w:pPr>
        <w:spacing w:after="0" w:line="167"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current portion of long-term debt is recorded in Other current liabilities in the consolidated statements of financial position.</w:t>
      </w:r>
    </w:p>
    <w:p>
      <w:pPr>
        <w:spacing w:after="0" w:line="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estimated fair value of long-term debt was $13.4 billion and $12.1 billion as of December 31, 2023 and 2022, respectively. We calculated the fair value of long-term debt using Level 2 inputs, based on interest rates available for debt with terms and maturities similar to the company’s existing debt arrangements.</w:t>
      </w:r>
    </w:p>
    <w:p>
      <w:pPr>
        <w:spacing w:after="0" w:line="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interest payments, net of interest received and capitalized, were $437 million, $474 million and $570 million for the years ended December 31, 2023, 2022 and 2021, respectively. The company capitalized interest expense of $95 million, $53 million and $17 million during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as of December 31, 2023, are as follows: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on long-term debt, net of discount</w:t>
            </w:r>
          </w:p>
        </w:tc>
        <w:tc>
          <w:tcPr>
            <w:tcW w:w="3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INVESTIGATIONS, CLAIMS AND LITIGATION</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12, substantial remediation costs related to these Bethpage environmental conditions.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The company continues to be involved in 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court has stayed the filed individual lawsuits, pending its decision on class certification.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r>
        <w:rPr>
          <w:rFonts w:ascii="Arial" w:cs="Arial" w:eastAsia="Arial" w:hAnsi="Arial"/>
          <w:sz w:val="19"/>
          <w:szCs w:val="19"/>
          <w:color w:val="auto"/>
        </w:rPr>
        <w:t>.</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on February 2, 2023, both seeking information regarding financial and cost accounting and controls that appears focused on the interest rate assumptions the company used to determine our CAS pension expense, which we discuss in Note 12 below. The company is engaging with the government and responding to the requests. We cannot at this point predict the outcome of these matters.</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2023, or its annual results of operations and/or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2023, or its annual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have continued to exchange correspondence and engage with DCMA on this matter, including responding to requests for and providing additional information. As noted in Note 11 above, the company received from the DOJ a criminal subpoena on December 9, 2022, and a CID on February 2, 2023, both seeking information that appears related to the interest rate assumptions at issue in our discussions with DCMA. The company is engaging with the government and responding to the requests. We cannot at this point predict the outcome of these matters. As previously described,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December 31, 2023 and 2022:</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Reasonably Possible Future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15"/>
                <w:szCs w:val="15"/>
                <w:color w:val="auto"/>
              </w:rPr>
            </w:pPr>
          </w:p>
        </w:tc>
        <w:tc>
          <w:tcPr>
            <w:tcW w:w="218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Costs in Excess of Accrued</w:t>
            </w:r>
          </w:p>
        </w:tc>
        <w:tc>
          <w:tcPr>
            <w:tcW w:w="22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38"/>
        </w:trPr>
        <w:tc>
          <w:tcPr>
            <w:tcW w:w="3600" w:type="dxa"/>
            <w:vAlign w:val="bottom"/>
            <w:tcBorders>
              <w:bottom w:val="single" w:sz="8" w:color="auto"/>
            </w:tcBorders>
            <w:vMerge w:val="continue"/>
          </w:tcPr>
          <w:p>
            <w:pPr>
              <w:spacing w:after="0"/>
              <w:rPr>
                <w:sz w:val="20"/>
                <w:szCs w:val="20"/>
                <w:color w:val="auto"/>
              </w:rPr>
            </w:pPr>
          </w:p>
        </w:tc>
        <w:tc>
          <w:tcPr>
            <w:tcW w:w="360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70"/>
              <w:spacing w:after="0" w:line="237" w:lineRule="exact"/>
              <w:rPr>
                <w:sz w:val="20"/>
                <w:szCs w:val="20"/>
                <w:color w:val="auto"/>
              </w:rPr>
            </w:pPr>
            <w:r>
              <w:rPr>
                <w:rFonts w:ascii="Times New Roman" w:cs="Times New Roman" w:eastAsia="Times New Roman" w:hAnsi="Times New Roman"/>
                <w:sz w:val="18"/>
                <w:szCs w:val="18"/>
                <w:color w:val="auto"/>
                <w:w w:val="93"/>
              </w:rPr>
              <w:t>Costs</w:t>
            </w:r>
            <w:r>
              <w:rPr>
                <w:rFonts w:ascii="Times New Roman" w:cs="Times New Roman" w:eastAsia="Times New Roman" w:hAnsi="Times New Roman"/>
                <w:sz w:val="23"/>
                <w:szCs w:val="23"/>
                <w:color w:val="auto"/>
                <w:w w:val="93"/>
                <w:vertAlign w:val="superscript"/>
              </w:rPr>
              <w:t>(2)</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December 31, 2023, $223 million is recorded in Other current liabilities and $361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54" w:lineRule="auto"/>
        <w:tabs>
          <w:tab w:leader="none" w:pos="168"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60" w:lineRule="exact"/>
        <w:rPr>
          <w:rFonts w:ascii="Times New Roman" w:cs="Times New Roman" w:eastAsia="Times New Roman" w:hAnsi="Times New Roman"/>
          <w:sz w:val="20"/>
          <w:szCs w:val="20"/>
          <w:color w:val="auto"/>
          <w:vertAlign w:val="superscript"/>
        </w:rPr>
      </w:pPr>
    </w:p>
    <w:p>
      <w:pPr>
        <w:ind w:left="180" w:right="140" w:hanging="172"/>
        <w:spacing w:after="0" w:line="238" w:lineRule="auto"/>
        <w:tabs>
          <w:tab w:leader="none" w:pos="168"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2023, $206 million is deferred in Prepaid expenses and other current assets and $312 million is deferred in Other non-current assets. These amounts are evaluated for recoverability on a routine basis.</w:t>
      </w:r>
    </w:p>
    <w:p>
      <w:pPr>
        <w:spacing w:after="0" w:line="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consolidated financial position as of December 31, 2023,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2023, there were $411 million of stand-by letters of credit and guarantees and $263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The company has provided indemnifications for certain environmental, income tax and other potential liabilities in connection with certain of its divestitures. The settlement of these liabilities is not expected to have a material adverse effect on the company’s consolidated financial position as of December 31, 2023, or its annual results of operations and/or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U.S. Defined Benefit Pension Plans </w:t>
      </w:r>
      <w:r>
        <w:rPr>
          <w:rFonts w:ascii="Times New Roman" w:cs="Times New Roman" w:eastAsia="Times New Roman" w:hAnsi="Times New Roman"/>
          <w:sz w:val="18"/>
          <w:szCs w:val="18"/>
          <w:color w:val="auto"/>
        </w:rPr>
        <w:t>– The company sponsors several defined benefit pension plans in the U.S. Pension benefits for most participants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years of service, age and compensation. It is our policy to fund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least the minimum amount required for qualified plans, using actuarial cost methods and assumptions acceptable under U.S. government regulations, by making payments into benefit trusts separate from the company.</w:t>
      </w:r>
    </w:p>
    <w:p>
      <w:pPr>
        <w:spacing w:after="0" w:line="3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Defined Contribution Plans </w:t>
      </w:r>
      <w:r>
        <w:rPr>
          <w:rFonts w:ascii="Times New Roman" w:cs="Times New Roman" w:eastAsia="Times New Roman" w:hAnsi="Times New Roman"/>
          <w:sz w:val="18"/>
          <w:szCs w:val="18"/>
          <w:color w:val="auto"/>
        </w:rPr>
        <w:t>– The company also sponsors defined contribution plans covering the majority of its employees, including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 to these defined contribution plans for the years ended December 31, 2023, 2022 and 2021, were $634 million, $558 million and $588 million, respectively.</w:t>
      </w:r>
    </w:p>
    <w:p>
      <w:pPr>
        <w:spacing w:after="0" w:line="4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Non-U.S. Benefit Plans – </w:t>
      </w:r>
      <w:r>
        <w:rPr>
          <w:rFonts w:ascii="Times New Roman" w:cs="Times New Roman" w:eastAsia="Times New Roman" w:hAnsi="Times New Roman"/>
          <w:sz w:val="18"/>
          <w:szCs w:val="18"/>
          <w:color w:val="auto"/>
        </w:rPr>
        <w:t>The company sponsors several benefit plans for non-U.S. employees. These plans are designed to provide benefits appropriate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practice and in accordance with local regulations. Some of these plans are funded using benefit trusts separate from the company.</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Medical and Life Benefits </w:t>
      </w:r>
      <w:r>
        <w:rPr>
          <w:rFonts w:ascii="Times New Roman" w:cs="Times New Roman" w:eastAsia="Times New Roman" w:hAnsi="Times New Roman"/>
          <w:sz w:val="18"/>
          <w:szCs w:val="18"/>
          <w:color w:val="auto"/>
        </w:rPr>
        <w:t>– The company funds a portion of the costs for certain health care and life insurance benefits for a substantial number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for substantially all of its remaining postretirement medical and life benefit plans. In addition, after January 1, 2005 (or earlier at some businesses), newly hired employees are not eligible for subsidized postretirement medical and life benefits.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Plan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retirement benefit plans is shown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00" w:type="dxa"/>
            <w:vAlign w:val="bottom"/>
            <w:tcBorders>
              <w:bottom w:val="single" w:sz="8" w:color="auto"/>
            </w:tcBorders>
          </w:tcPr>
          <w:p>
            <w:pPr>
              <w:spacing w:after="0"/>
              <w:rPr>
                <w:sz w:val="19"/>
                <w:szCs w:val="19"/>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3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Mark-to-market expense (benefit)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3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4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components of changes in unamortized prior service credit (cost) for the years ended December 31, 2021, 2022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Medical and Life</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Pension Benefits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Benefits</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unamortized prior service credit (cost)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2021</w:t>
            </w: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2022</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unamortized prior service credit (cost) – 2023</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 employees. The company uses a December 31 measurement date for its plans.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28,920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(loss) on plan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30,251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28,920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29,067</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38,888</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1,568</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loss (gain)</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30,443</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29,067</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increase in the fair value of our plan assets for the year ended December 31, 2023 was principally driven by net plan asset returns of 11.1 percent, partially offset by $2.1 billion of benefit payments. The increase in our projected benefit obligation for the year ended December 31, 2023, was primarily driven by $1.6 billion of interest cost and a 39 basis point decrease in the discount rate from year end 2022, partially offset by $2.1 billion of benefit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958"/>
        </w:trPr>
        <w:tc>
          <w:tcPr>
            <w:tcW w:w="6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Pension Benefits</w:t>
            </w: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Medical and Life Benefits</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169"/>
        </w:trPr>
        <w:tc>
          <w:tcPr>
            <w:tcW w:w="65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Classification of amounts recognized in the consolidated statements of financial</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982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Non-current liability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$30.1 billion and $28.8 billion at December 31, 2023 and 2022,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for pension plans with accumulated benefit obligations in excess of fair value of plan assets are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1"/>
        </w:trPr>
        <w:tc>
          <w:tcPr>
            <w:tcW w:w="8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bottom w:val="single" w:sz="8" w:color="auto"/>
            </w:tcBorders>
          </w:tcPr>
          <w:p>
            <w:pPr>
              <w:spacing w:after="0"/>
              <w:rPr>
                <w:sz w:val="24"/>
                <w:szCs w:val="24"/>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1,152</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1,143</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8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Assumptions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 weighted-average basis, the following assumptions were used to determine benefit obligations at December 31 of each year and net periodic benefit cost for the following year: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Pension Benefits</w:t>
            </w:r>
          </w:p>
        </w:tc>
        <w:tc>
          <w:tcPr>
            <w:tcW w:w="1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Medical and Life Benefits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5.15 %</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5.54 %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2.98 %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5.20 %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5.57 %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7.50 %</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7.12 %</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7.23 %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cash balance crediting rate assumed for the next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4.02 %</w:t>
            </w:r>
          </w:p>
        </w:tc>
        <w:tc>
          <w:tcPr>
            <w:tcW w:w="1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6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3.96 %</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2.25 %</w:t>
            </w:r>
          </w:p>
        </w:tc>
        <w:tc>
          <w:tcPr>
            <w:tcW w:w="1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Rate to which the cash balance crediting rate is assumed to</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4.02 %</w:t>
            </w: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(the ultimate rate)</w:t>
            </w:r>
          </w:p>
        </w:tc>
        <w:tc>
          <w:tcPr>
            <w:tcW w:w="1060" w:type="dxa"/>
            <w:vAlign w:val="bottom"/>
            <w:vMerge w:val="continue"/>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3.88 %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2.25 %</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the cash balance crediting rate reaches the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1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rate</w:t>
            </w:r>
          </w:p>
        </w:tc>
        <w:tc>
          <w:tcPr>
            <w:tcW w:w="106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3.00 %</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3.00 %</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health care cost trend rate assumed for the next year</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6.20 %</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6.50 %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Rate to which the health care cost trend rate is assumed to</w:t>
            </w: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5.00 %</w:t>
            </w: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decline (the ultimate trend rate)</w:t>
            </w: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the health care cost trend rate reaches the</w:t>
            </w:r>
          </w:p>
        </w:tc>
        <w:tc>
          <w:tcPr>
            <w:tcW w:w="10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0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Plan assets are invested in various asset classes that are expected to produce a sufficient level of diversification and investment return over the long term. Liability studies are conducted on a regular basis to provide guidance in setting investment goals with an objective to balance risk. Risk targets are established and monitored against acceptable ranges.</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investment policies and procedures are designed to ensure the plans’ investments are in compliance with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majority of the plans’ assets, the investment policies require that the asset allocation be maintained within the following ranges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color w:val="auto"/>
              </w:rPr>
              <w:t>Asset Allocation Ranges</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0% - 12%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public equities</w:t>
            </w:r>
          </w:p>
        </w:tc>
        <w:tc>
          <w:tcPr>
            <w:tcW w:w="57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8"/>
              </w:rPr>
              <w:t>21% - 41%</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57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8"/>
              </w:rPr>
              <w:t>35% - 55%</w:t>
            </w:r>
          </w:p>
        </w:tc>
      </w:tr>
      <w:tr>
        <w:trPr>
          <w:trHeight w:val="22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5760" w:type="dxa"/>
            <w:vAlign w:val="bottom"/>
            <w:tcBorders>
              <w:bottom w:val="single" w:sz="8" w:color="auto"/>
            </w:tcBorders>
          </w:tcPr>
          <w:p>
            <w:pPr>
              <w:jc w:val="center"/>
              <w:ind w:left="3070"/>
              <w:spacing w:after="0"/>
              <w:rPr>
                <w:sz w:val="20"/>
                <w:szCs w:val="20"/>
                <w:color w:val="auto"/>
              </w:rPr>
            </w:pPr>
            <w:r>
              <w:rPr>
                <w:rFonts w:ascii="Times New Roman" w:cs="Times New Roman" w:eastAsia="Times New Roman" w:hAnsi="Times New Roman"/>
                <w:sz w:val="18"/>
                <w:szCs w:val="18"/>
                <w:color w:val="auto"/>
                <w:w w:val="98"/>
              </w:rPr>
              <w:t>12% - 32%</w:t>
            </w:r>
          </w:p>
        </w:tc>
      </w:tr>
    </w:tbl>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table below provides the fair values of the company’s pension and Voluntary Employees’ Beneficiary Association (VEBA) trust plan assets at December 31, 2023 and 2022,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As of December 31, 2023 and 2022, there were no investments expected to be sold at a value materially different than NAV.</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1,712</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1,506</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3,890</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3,890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Government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4,432</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4,506</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436</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 yield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valued using NAV as a</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practical expedient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1,294</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3,972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Fixed-income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4,057</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Hedge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Opportunistic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3,176</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3,466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Payables, net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Fair value of plan assets at the end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3,454</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9,967</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31,525</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plan assets into or out of Level 3 of the fair value hierarchy during the years ended December 31, 2023 and 2022.</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 last business day of the reporting period. Fair values for certain fixed-income securities, which are not exchange-traded, are valued using third-party pricing services.</w:t>
      </w:r>
    </w:p>
    <w:p>
      <w:pPr>
        <w:spacing w:after="0" w:line="58"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7"/>
          <w:szCs w:val="17"/>
          <w:color w:val="auto"/>
        </w:rPr>
        <w:t>Other assets include derivative assets with a fair value of $172 million and $71 million, derivative liabilities with a fair value of $101 million and $117 million, and net notional amounts of $4.9 billion and $3.2 billion, as of December 31, 2023 and 2022, respectively. Derivative instruments may include exchange traded futures contracts, interest rate swaps, options on futures and swaps, currency contracts, total return swaps and credit default swaps.</w:t>
      </w:r>
    </w:p>
    <w:p>
      <w:pPr>
        <w:spacing w:after="0" w:line="2"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Notional amounts do not quantify risk or represent assets or liabilities of the pension and VEBA trusts, but are used in the calculation of cash settlement under the contracts. The volume of derivative activity is commensurate with the amounts disclosed at year-end. Certain derivative financial instruments within the pension trust are subject to master netting agreements with certain counterparties.</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 and International equities: Generally, redemption periods are daily, monthly or quarterly with a notice requirement less than 90 days. As of December 31, 2023 and 2022, there were no unfunded commitments.</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Fixed-income funds: Generally, redemption periods are daily, monthly or quarterly with a notice requirement of two days. As of December 31, 2023 and 2022 there were no unfunded commitments.</w:t>
      </w:r>
    </w:p>
    <w:p>
      <w:pPr>
        <w:spacing w:after="0" w:line="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Hedge funds: Consist of closed-end funds with a 5-10 year life as well as funds that allow redemption requests subject to the liquidity limitations of the underlying investments. As of December 31, 2023 and 2022, unfunded commitments were $6 million.</w:t>
      </w:r>
    </w:p>
    <w:p>
      <w:pPr>
        <w:spacing w:after="0" w:line="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Opportunistic investments: Primarily held in partnerships with a 5-10 year life. As of December 31, 2023 and 2022, unfunded commitments were $1.6 billion and $1.5 billion,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equity funds: The term of each fund is typically 10 or more years and the fund’s investors do not have an option to redeem their interest in the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unfunded commitments were $1.9 billion and $2.0 billion, respectively.</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Real estate funds: Consist primarily of open-end funds that generally allow investors to redeem their interests in the funds. Certain closed-end real estate funds have terms of 10 or more years. As of December 31, 2023 and 2022, unfunded commitments were $28 million and $44 million, respectively.</w:t>
      </w:r>
    </w:p>
    <w:p>
      <w:pPr>
        <w:spacing w:after="0" w:line="40" w:lineRule="exact"/>
        <w:rPr>
          <w:sz w:val="20"/>
          <w:szCs w:val="20"/>
          <w:color w:val="auto"/>
        </w:rPr>
      </w:pPr>
    </w:p>
    <w:p>
      <w:pPr>
        <w:ind w:right="480"/>
        <w:spacing w:after="0" w:line="315" w:lineRule="auto"/>
        <w:rPr>
          <w:sz w:val="20"/>
          <w:szCs w:val="20"/>
          <w:color w:val="auto"/>
        </w:rPr>
      </w:pPr>
      <w:r>
        <w:rPr>
          <w:rFonts w:ascii="Times New Roman" w:cs="Times New Roman" w:eastAsia="Times New Roman" w:hAnsi="Times New Roman"/>
          <w:sz w:val="18"/>
          <w:szCs w:val="18"/>
          <w:color w:val="auto"/>
        </w:rPr>
        <w:t xml:space="preserve">For the years ended December 31, 2023 and 2022, the defined benefit pension and VEBA trusts did not hold any Northrop Grumman common stock. </w:t>
      </w:r>
      <w:r>
        <w:rPr>
          <w:rFonts w:ascii="Times New Roman" w:cs="Times New Roman" w:eastAsia="Times New Roman" w:hAnsi="Times New Roman"/>
          <w:sz w:val="18"/>
          <w:szCs w:val="18"/>
          <w:b w:val="1"/>
          <w:bCs w:val="1"/>
          <w:color w:val="auto"/>
        </w:rPr>
        <w:t>Benefit Payments</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following table reflects estimated future benefit payments for the next ten years, based upon the same assumptions used to measure the benefit obligation, and includes expected future employee service, as of December 31, 2023: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Medical and Life</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Pension Plans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Plans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2,129</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 through 2033</w:t>
            </w:r>
          </w:p>
        </w:tc>
        <w:tc>
          <w:tcPr>
            <w:tcW w:w="2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10,820</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the company expects to contribute the required minimum funding of approximately $99 million to its pension plans and approximately $35 million to its medical and life benefit plans. During the year ended December 31, 2023, the company made no discretionary pension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920"/>
        <w:spacing w:after="0" w:line="318" w:lineRule="auto"/>
        <w:rPr>
          <w:sz w:val="20"/>
          <w:szCs w:val="20"/>
          <w:color w:val="auto"/>
        </w:rPr>
      </w:pPr>
      <w:r>
        <w:rPr>
          <w:rFonts w:ascii="Times New Roman" w:cs="Times New Roman" w:eastAsia="Times New Roman" w:hAnsi="Times New Roman"/>
          <w:sz w:val="18"/>
          <w:szCs w:val="18"/>
          <w:b w:val="1"/>
          <w:bCs w:val="1"/>
          <w:color w:val="auto"/>
        </w:rPr>
        <w:t>14. STOCK COMPENSATION PLANS AND OTHER COMPENSATION ARRANGEMENTS Stock Compensation Plans</w:t>
      </w:r>
    </w:p>
    <w:p>
      <w:pPr>
        <w:spacing w:after="0"/>
        <w:rPr>
          <w:sz w:val="20"/>
          <w:szCs w:val="20"/>
          <w:color w:val="auto"/>
        </w:rPr>
      </w:pPr>
      <w:r>
        <w:rPr>
          <w:rFonts w:ascii="Times New Roman" w:cs="Times New Roman" w:eastAsia="Times New Roman" w:hAnsi="Times New Roman"/>
          <w:sz w:val="18"/>
          <w:szCs w:val="18"/>
          <w:color w:val="auto"/>
        </w:rPr>
        <w:t>At December 31, 2023, the company had stock-based compensation awards outstanding under the following shareholder-approved plans: the 2011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Incentive Stock Plan (2011 Plan), applicable to employees and non-employee directors, and the 1993 Stock Plan for Non-Employee Directors (1993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SPND).</w:t>
      </w:r>
    </w:p>
    <w:p>
      <w:pPr>
        <w:spacing w:after="0" w:line="7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Plans </w:t>
      </w:r>
      <w:r>
        <w:rPr>
          <w:rFonts w:ascii="Times New Roman" w:cs="Times New Roman" w:eastAsia="Times New Roman" w:hAnsi="Times New Roman"/>
          <w:sz w:val="18"/>
          <w:szCs w:val="18"/>
          <w:color w:val="auto"/>
        </w:rPr>
        <w:t>– In May 2015, the company’s shareholders approved amendments to the 2011 Plan. These amendments provided that shares issued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would be counted against the aggregate share limit on a one-for-one basis. As amended, 5.1 million shares plus 2.4 million of newly authorized shares were available for issuance under the 2011 Plan; as of December 31, 2023, 4.4 million shares remain available for issuance.</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certain performance metrics determined by the Board. RSRs generally vest 100% after three years. Each includes dividend equivalents, which are paid concurrently with the RPSR or RSR. The terms of equity awards granted under the 2011 Plan provide for accelerated vesting, and in some instances forfeiture, of all or a portion of an award upon termination of employment.</w:t>
      </w:r>
    </w:p>
    <w:p>
      <w:pPr>
        <w:spacing w:after="0" w:line="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Non-Employee Director Plans </w:t>
      </w:r>
      <w:r>
        <w:rPr>
          <w:rFonts w:ascii="Times New Roman" w:cs="Times New Roman" w:eastAsia="Times New Roman" w:hAnsi="Times New Roman"/>
          <w:sz w:val="18"/>
          <w:szCs w:val="18"/>
          <w:color w:val="auto"/>
        </w:rPr>
        <w:t>– Awards to non-employee directors are made pursuant to the Northrop Grumman Corporation Equity Grant Program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under the 2011 Plan (the Director Program), which was amended and restated effective January 1, 2016. 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Stock-based compensation expense for the years ended December 31, 2023, 2022 and 2021 was $87 million, $99 million and $94 million, respectively. The related tax benefits (deficiencies) for stock-based compensation for the years ended December 31, 2023, 2022 and 2021 were $9 million, $10 million and $(2) million, respectively.</w:t>
      </w:r>
    </w:p>
    <w:p>
      <w:pPr>
        <w:spacing w:after="0" w:line="6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2023, there was $96 million of unrecognized compensation expense related to unvested stock awards granted under the company’s stock-based compensation plans. These amounts are expected to be charged to expense over a weighted-average period of 1.3 years.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Stock award activity for the years ended December 31, 2021, 2022 and 2023, is presented in the table below. Vested awards do not include any adjustments to reflect the final performance measure for issued shares.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334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334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2021</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3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w:t>
            </w:r>
          </w:p>
        </w:tc>
        <w:tc>
          <w:tcPr>
            <w:tcW w:w="2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315</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373</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3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417</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stock awards are granted annually during the first quarter.</w:t>
      </w:r>
    </w:p>
    <w:p>
      <w:pPr>
        <w:spacing w:after="0" w:line="10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grant date fair value of shares issued in settlement of fully vested stock awards was $99 million, $93 million and $103 million during the years ended December 31, 2023, 2022 and 2021,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certain performance metrics over a three-year period. At December 31, 2023, there was $116 million of unrecognized compensation expense related to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3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Total lease cost is included in Product and Service costs in the consolidated statement of earnings and comprehensive income and is recorded net of immaterial sublease income. Total lease cost is comprised of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387"/>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operating lease balance sheet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37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supplemental operating lease information consists of the following: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6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Year Ended December 31</w:t>
            </w:r>
          </w:p>
        </w:tc>
        <w:tc>
          <w:tcPr>
            <w:tcW w:w="1340" w:type="dxa"/>
            <w:vAlign w:val="bottom"/>
            <w:tcBorders>
              <w:bottom w:val="single" w:sz="8" w:color="auto"/>
            </w:tcBorders>
          </w:tcPr>
          <w:p>
            <w:pPr>
              <w:spacing w:after="0"/>
              <w:rPr>
                <w:sz w:val="22"/>
                <w:szCs w:val="22"/>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341</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314</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11.0 years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years</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3.9 %</w:t>
            </w: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are as follows: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6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r>
    </w:tbl>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2023, we have approximately $270 million in rental commitments for real estate leases that have not yet commenced. These leases are expected to commence in 2024 and 2025 with lease terms of 5 to 20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10,786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5,862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10,895</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10,396</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12,275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36,602</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35,667</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30"/>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1,212</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0"/>
        </w:trPr>
        <w:tc>
          <w:tcPr>
            <w:tcW w:w="7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530</w:t>
            </w: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3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Mark-to-market pension and OPB (expense) benefit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30"/>
        </w:trPr>
        <w:tc>
          <w:tcPr>
            <w:tcW w:w="7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FAR and CAS requirements. The FAS/CAS operating adjustment reflects the difference between CAS pension expense included as cost in segment operating income and the service cost component of FAS expense included in total operating income.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 Income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income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PP&amp;E acquired through business combinations, as well as certain compensation and other costs.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1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3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9,132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8,930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9,631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1,344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240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10,786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10,531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11,259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3,497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1,358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798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789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5,862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5,579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5,776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7,999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7,471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1,757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1,846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1,054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993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10,895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10,396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10,134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13,254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11,578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13,946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12,275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10,608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33,882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31,323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30,334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4,905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4,982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431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351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tcPr>
          <w:p>
            <w:pPr>
              <w:spacing w:after="0"/>
              <w:rPr>
                <w:sz w:val="20"/>
                <w:szCs w:val="20"/>
                <w:color w:val="auto"/>
              </w:rPr>
            </w:pPr>
          </w:p>
        </w:tc>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36,602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35,667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500" w:hanging="172"/>
        <w:spacing w:after="0" w:line="238" w:lineRule="auto"/>
        <w:tabs>
          <w:tab w:leader="none" w:pos="168"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200" w:hanging="172"/>
        <w:spacing w:after="0" w:line="232" w:lineRule="auto"/>
        <w:tabs>
          <w:tab w:leader="none" w:pos="181"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5,235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50 %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5,311</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50 %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5,651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240</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10,786</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10,531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11,259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1,591</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1,497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3,473</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3,276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798</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806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789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5,862</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5,579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5,776</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4,116</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42 %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5,725</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1,054</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1,015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10,895</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10,396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10,134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10,037</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73 %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8,579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7,731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3,802</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27 %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3,577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2,738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107</w:t>
            </w:r>
          </w:p>
        </w:tc>
        <w:tc>
          <w:tcPr>
            <w:tcW w:w="1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13,946</w:t>
            </w: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12,275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10,608</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3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20,979</w:t>
            </w: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53 %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18,711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18,028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18,311</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47 %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17,891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17,639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36,602</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35,667</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spacing w:after="0"/>
              <w:rPr>
                <w:sz w:val="19"/>
                <w:szCs w:val="19"/>
                <w:color w:val="auto"/>
              </w:rPr>
            </w:pP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5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9,167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87 %  </w:t>
            </w:r>
            <w:r>
              <w:rPr>
                <w:rFonts w:ascii="Times New Roman" w:cs="Times New Roman" w:eastAsia="Times New Roman" w:hAnsi="Times New Roman"/>
                <w:sz w:val="18"/>
                <w:szCs w:val="18"/>
                <w:color w:val="auto"/>
              </w:rPr>
              <w:t>$</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8,948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9,649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607</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896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736</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240</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10,786</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10,531</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11,259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3,573</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3,670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419</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601</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12 %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471</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798</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806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789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5,862</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5,579</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5,776</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8,084</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82 %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7,572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460</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959</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338</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1,054</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1,015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993</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10,895</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10,396</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10,134</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13,561</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98 %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11,819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10,071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82</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159</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37</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107</w:t>
            </w:r>
          </w:p>
        </w:tc>
        <w:tc>
          <w:tcPr>
            <w:tcW w:w="1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840" w:type="dxa"/>
            <w:vAlign w:val="bottom"/>
            <w:tcBorders>
              <w:bottom w:val="single" w:sz="8" w:color="auto"/>
            </w:tcBorders>
            <w:shd w:val="clear" w:color="auto" w:fill="CCEEFF"/>
          </w:tcPr>
          <w:p>
            <w:pPr>
              <w:spacing w:after="0"/>
              <w:rPr>
                <w:sz w:val="19"/>
                <w:szCs w:val="19"/>
                <w:color w:val="auto"/>
              </w:rPr>
            </w:pP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13,946</w:t>
            </w:r>
          </w:p>
        </w:tc>
        <w:tc>
          <w:tcPr>
            <w:tcW w:w="1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12,275</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10,608</w:t>
            </w:r>
          </w:p>
        </w:tc>
        <w:tc>
          <w:tcPr>
            <w:tcW w:w="840" w:type="dxa"/>
            <w:vAlign w:val="bottom"/>
            <w:tcBorders>
              <w:bottom w:val="single" w:sz="8" w:color="auto"/>
            </w:tcBorders>
          </w:tcPr>
          <w:p>
            <w:pPr>
              <w:spacing w:after="0"/>
              <w:rPr>
                <w:sz w:val="19"/>
                <w:szCs w:val="19"/>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34,385</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88 %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31,754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30,685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1,568</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4 %</w:t>
            </w: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2,455</w:t>
            </w: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6 %</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2,107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2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882</w:t>
            </w: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2 %</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794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936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39,290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36,602</w:t>
            </w: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35,667</w:t>
            </w:r>
          </w:p>
        </w:tc>
        <w:tc>
          <w:tcPr>
            <w:tcW w:w="8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intersegment sales and operating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20" w:type="dxa"/>
            <w:vAlign w:val="bottom"/>
            <w:gridSpan w:val="2"/>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Operating</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12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Sales</w:t>
            </w: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 and operating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tcPr>
          <w:p>
            <w:pPr>
              <w:spacing w:after="0"/>
              <w:rPr>
                <w:sz w:val="19"/>
                <w:szCs w:val="19"/>
                <w:color w:val="auto"/>
              </w:rPr>
            </w:pPr>
          </w:p>
        </w:tc>
        <w:tc>
          <w:tcPr>
            <w:tcW w:w="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240</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798</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1,054</w:t>
            </w: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107</w:t>
            </w: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segment: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384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107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246</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447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154</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1,775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1,415</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1,338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180" w:hanging="172"/>
        <w:spacing w:after="0" w:line="254" w:lineRule="auto"/>
        <w:tabs>
          <w:tab w:leader="none" w:pos="16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Our chief operating decision maker does not use assets by segment to evaluate segment performance or allocate resources. Therefore, we do not disclose assets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7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2023,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change occurred in our internal control over financial reporting that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4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Based on its assessment, management has concluded that the company’s internal control over financial reporting was effective as of December 31, 2023.</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Deloitte &amp; Touche LLP issued an attestation report dated January 24, 2024, concerning the company’s internal control over financial reporting, which is contained in this Annual Report. The company’s consolidated financial statements as of and for the year ended December 31, 2023,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Kathy J. Warden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F. Keffer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Northrop Grumman Corporation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January 24, 2024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9" w:lineRule="exact"/>
        <w:rPr>
          <w:sz w:val="20"/>
          <w:szCs w:val="20"/>
          <w:color w:val="auto"/>
        </w:rPr>
      </w:pPr>
    </w:p>
    <w:p>
      <w:pPr>
        <w:jc w:val="center"/>
        <w:ind w:right="9260"/>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color w:val="auto"/>
        </w:rPr>
        <w:t>January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CERTAIN TRADING AGREEMENTS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none of our directors or officers (as defined in Rule 16a-1(f) of the Exchange Act) adopted or terminated a “Rule 10b5-1 trading arrangement” or “non-Rule 10b5-1 trading arrangement”, as those terms are defined in Item 408 of Regulation S-K.</w:t>
      </w:r>
    </w:p>
    <w:p>
      <w:pPr>
        <w:spacing w:after="0" w:line="104" w:lineRule="exact"/>
        <w:rPr>
          <w:sz w:val="20"/>
          <w:szCs w:val="20"/>
          <w:color w:val="auto"/>
        </w:rPr>
      </w:pPr>
    </w:p>
    <w:p>
      <w:pPr>
        <w:ind w:right="506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9" w:right="5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about our Directors will be incorporated herein by reference to the Proxy Statement for the 2024 Annual Meeting of Shareholders, to be filed with the SEC within 120 days after the end of the company’s fiscal year.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08"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Our executive officers as of January 24, 2024, are listed below, along with their ages on that date, positions and offices held with the company, and principal occupations and employment, focused primarily on the past five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Office Held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48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Recent Business Experience</w:t>
            </w:r>
          </w:p>
        </w:tc>
      </w:tr>
      <w:tr>
        <w:trPr>
          <w:trHeight w:val="169"/>
        </w:trPr>
        <w:tc>
          <w:tcPr>
            <w:tcW w:w="24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Kathy J. Warden</w:t>
            </w:r>
          </w:p>
        </w:tc>
        <w:tc>
          <w:tcPr>
            <w:tcW w:w="18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4"/>
                <w:szCs w:val="14"/>
                <w:color w:val="auto"/>
              </w:rPr>
            </w:pPr>
          </w:p>
        </w:tc>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Chair, Chief Executive</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14"/>
                <w:szCs w:val="14"/>
                <w:color w:val="auto"/>
              </w:rPr>
            </w:pPr>
          </w:p>
        </w:tc>
        <w:tc>
          <w:tcPr>
            <w:tcW w:w="4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Chief Executive Officer and President (2019); President and Chief</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and President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Officer (2018)</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Mark A. Caylor</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Mission</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Robert J. Fleming</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Strategic Space Systems</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Space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Division, Space Systems Sector (2021-2023); Vice President,</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 Development and Strategy, Space Systems Sector</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(2020-2021); Vice President, Space Programs, Strategic Force</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 Mission Systems Sector (2019-2020)</w:t>
            </w:r>
          </w:p>
        </w:tc>
      </w:tr>
      <w:tr>
        <w:trPr>
          <w:trHeight w:val="184"/>
        </w:trPr>
        <w:tc>
          <w:tcPr>
            <w:tcW w:w="2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Michael A. Hardesty</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2013</w:t>
            </w: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Controller, and Chief</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Thomas H. Jones</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Airborne C4ISR Division,</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Mission Systems Sector (2017-2020)</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Aeronautics Systems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25"/>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Sector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David F. Keffer</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General Partner, Blue Delta Capital Partners (2018-2020); Chief</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Chief Financial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Financial Officer and Executive Vice President, CSRA, Inc.</w:t>
            </w:r>
          </w:p>
        </w:tc>
      </w:tr>
      <w:tr>
        <w:trPr>
          <w:trHeight w:val="230"/>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(2015-2018)</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Roshan S. Roeder</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General Manager, Airborne Multifunction</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President, Defense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Sensors, Mission Systems Sector (2020-2022); Vice President</w:t>
            </w:r>
          </w:p>
        </w:tc>
      </w:tr>
      <w:tr>
        <w:trPr>
          <w:trHeight w:val="180"/>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Systems Sector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Program Management, Communications Business Unit, Mission</w:t>
            </w: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Systems Sector (2018-2020); Vice President Program</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Management, Advanced Ground Sensors, Mission Systems Sector</w:t>
            </w:r>
          </w:p>
        </w:tc>
      </w:tr>
      <w:tr>
        <w:trPr>
          <w:trHeight w:val="229"/>
        </w:trPr>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(2016-2018)</w:t>
            </w:r>
          </w:p>
        </w:tc>
      </w:tr>
      <w:tr>
        <w:trPr>
          <w:trHeight w:val="180"/>
        </w:trPr>
        <w:tc>
          <w:tcPr>
            <w:tcW w:w="2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Kathryn G. Simpson</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5"/>
                <w:szCs w:val="15"/>
                <w:color w:val="auto"/>
              </w:rPr>
            </w:pPr>
          </w:p>
        </w:tc>
        <w:tc>
          <w:tcPr>
            <w:tcW w:w="2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Vice President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Associate General Counsel, Mission Systems</w:t>
            </w:r>
          </w:p>
        </w:tc>
      </w:tr>
      <w:tr>
        <w:trPr>
          <w:trHeight w:val="184"/>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General Counsel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Sector (2021-2023); Vice President, Deputy General Counsel</w:t>
            </w:r>
          </w:p>
        </w:tc>
      </w:tr>
      <w:tr>
        <w:trPr>
          <w:trHeight w:val="234"/>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(2012-2021)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as to the Audit and Risk Committee and the Audit and Risk Committee Financial Expert will be incorporated herein by reference to the Proxy Statement for the 2024 Annual Meeting of Shareholders.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adopted Standards of Business Conduct for all of our employees, including the principal executive officer, principal financial officer and principal accounting officer. The Standards of Business Conduct can be found on our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internet website at www.northropgrumman.com under “Who We Are – Investors – Corporate Governance – Overview – Standards of Business Conduct.”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website and information contained on it or incorporated in it are not intended to be incorporated in this Annual Report on Form 10-K or other filings with the 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disclosures required by this Item will be incorporated herein by reference to the Proxy Statement for the 2024 Annual Meeting of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Information concerning Executive Compensation required by this Item 11, including information concerning Compensation Committee Interlocks and Insider Participation and the Compensation Committee Report, will be incorporated herein by reference to the Proxy Statement for the 2024 Annual Meeting of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as to Securities Authorized for Issuance Under Equity Compensation Plans and Security Ownership of Certain Beneficial Owners and Management will be incorporated herein by reference to the Proxy Statement for the 2024 Annual Meeting of Shareholders.</w:t>
      </w:r>
    </w:p>
    <w:p>
      <w:pPr>
        <w:spacing w:after="0" w:line="40" w:lineRule="exact"/>
        <w:rPr>
          <w:sz w:val="20"/>
          <w:szCs w:val="20"/>
          <w:color w:val="auto"/>
        </w:rPr>
      </w:pPr>
    </w:p>
    <w:p>
      <w:pPr>
        <w:ind w:right="1720"/>
        <w:spacing w:after="0" w:line="399" w:lineRule="auto"/>
        <w:rPr>
          <w:sz w:val="20"/>
          <w:szCs w:val="20"/>
          <w:color w:val="auto"/>
        </w:rPr>
      </w:pPr>
      <w:r>
        <w:rPr>
          <w:rFonts w:ascii="Times New Roman" w:cs="Times New Roman" w:eastAsia="Times New Roman" w:hAnsi="Times New Roman"/>
          <w:sz w:val="18"/>
          <w:szCs w:val="18"/>
          <w:color w:val="auto"/>
        </w:rPr>
        <w:t xml:space="preserve">For a description of securities authorized under our equity compensation plans, see Note 14 to the consolidated financial statements. </w:t>
      </w:r>
      <w:r>
        <w:rPr>
          <w:rFonts w:ascii="Times New Roman" w:cs="Times New Roman" w:eastAsia="Times New Roman" w:hAnsi="Times New Roman"/>
          <w:sz w:val="18"/>
          <w:szCs w:val="18"/>
          <w:b w:val="1"/>
          <w:bCs w:val="1"/>
          <w:color w:val="auto"/>
        </w:rPr>
        <w:t>Item 13. Certain Relationships and Related Transactions, and Director Independence</w:t>
      </w: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as to Certain Relationships and Related Transactions and Director Independence will be incorporated herein by reference to the Proxy Statement for the 2024 Annual Meeting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as to Principal Accountant Fees and Services will be incorporated herein by reference to the Proxy Statement for the 2024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72" w:lineRule="exact"/>
        <w:rPr>
          <w:sz w:val="20"/>
          <w:szCs w:val="20"/>
          <w:color w:val="auto"/>
        </w:rPr>
      </w:pPr>
    </w:p>
    <w:p>
      <w:pPr>
        <w:ind w:left="740" w:right="4700" w:hanging="489"/>
        <w:spacing w:after="0" w:line="360" w:lineRule="auto"/>
        <w:tabs>
          <w:tab w:leader="none" w:pos="5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Report of Independent Registered Public Accounting Firm (PCAOB ID No. 34) Financial Statements</w:t>
      </w: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Earnings and Comprehensive Income</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Financial Position</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72" w:lineRule="exact"/>
        <w:rPr>
          <w:sz w:val="20"/>
          <w:szCs w:val="20"/>
          <w:color w:val="auto"/>
        </w:rPr>
      </w:pPr>
    </w:p>
    <w:p>
      <w:pPr>
        <w:ind w:left="760" w:hanging="185"/>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3"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40"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Agreement and Plan of Merger dated as of September 17, 2017, among Northrop Grumman Corporation, Neptune Merger, Inc.</w:t>
              </w:r>
            </w:hyperlink>
          </w:p>
        </w:tc>
      </w:tr>
      <w:tr>
        <w:trPr>
          <w:trHeight w:val="169"/>
        </w:trPr>
        <w:tc>
          <w:tcPr>
            <w:tcW w:w="106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and Orbital ATK, Inc. (incorporated by reference to Exhibit 2.1 to Form 8-K filed September 18, 2017, File No. 001-16411)</w:t>
              </w:r>
            </w:hyperlink>
          </w:p>
        </w:tc>
        <w:tc>
          <w:tcPr>
            <w:tcW w:w="22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Transaction Agreement dated as of April 28, 2014, among Alliant Techsystems Inc., Vista Spinco Inc., Vista Merger Sub Inc. and</w:t>
              </w:r>
            </w:hyperlink>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Orbital Sciences Corporation (incorporated by reference to Exhibit 2.1 to Alliant Techsystems Inc. (now known as Northrop</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Grumman Innovation Systems, Inc.) Form 8-K filed May 2, 2014, File No. 001-16411)</w:t>
              </w:r>
            </w:hyperlink>
          </w:p>
        </w:tc>
        <w:tc>
          <w:tcPr>
            <w:tcW w:w="268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2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Certificate of Incorporation of Northrop Grumman Corporation dated May 17, 2023 (incorporated by</w:t>
              </w:r>
            </w:hyperlink>
          </w:p>
        </w:tc>
      </w:tr>
      <w:tr>
        <w:trPr>
          <w:trHeight w:val="155"/>
        </w:trPr>
        <w:tc>
          <w:tcPr>
            <w:tcW w:w="1060" w:type="dxa"/>
            <w:vAlign w:val="bottom"/>
          </w:tcPr>
          <w:p>
            <w:pPr>
              <w:spacing w:after="0"/>
              <w:rPr>
                <w:sz w:val="13"/>
                <w:szCs w:val="13"/>
                <w:color w:val="auto"/>
              </w:rPr>
            </w:pPr>
          </w:p>
        </w:tc>
        <w:tc>
          <w:tcPr>
            <w:tcW w:w="90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reference to Exhibit 3.1 to Form 8-K filed May 19, 2023, File No. 001-16411)</w:t>
              </w:r>
            </w:hyperlink>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 xml:space="preserve">Amended and Restated Bylaws of Northrop Grumman Corporation dated May 17, </w:t>
              </w:r>
            </w:hyperlink>
            <w:r>
              <w:rPr>
                <w:rFonts w:ascii="Times New Roman" w:cs="Times New Roman" w:eastAsia="Times New Roman" w:hAnsi="Times New Roman"/>
                <w:sz w:val="18"/>
                <w:szCs w:val="18"/>
                <w:color w:val="0000FF"/>
              </w:rPr>
              <w:t xml:space="preserve">2023 </w:t>
            </w:r>
            <w:hyperlink r:id="rId112">
              <w:r>
                <w:rPr>
                  <w:rFonts w:ascii="Times New Roman" w:cs="Times New Roman" w:eastAsia="Times New Roman" w:hAnsi="Times New Roman"/>
                  <w:sz w:val="18"/>
                  <w:szCs w:val="18"/>
                  <w:color w:val="0000FF"/>
                </w:rPr>
                <w:t xml:space="preserve">(incorporated by reference to Exhibit </w:t>
              </w:r>
            </w:hyperlink>
            <w:r>
              <w:rPr>
                <w:rFonts w:ascii="Times New Roman" w:cs="Times New Roman" w:eastAsia="Times New Roman" w:hAnsi="Times New Roman"/>
                <w:sz w:val="18"/>
                <w:szCs w:val="18"/>
                <w:color w:val="0000FF"/>
              </w:rPr>
              <w:t>3.2</w:t>
            </w:r>
          </w:p>
        </w:tc>
      </w:tr>
      <w:tr>
        <w:trPr>
          <w:trHeight w:val="169"/>
        </w:trPr>
        <w:tc>
          <w:tcPr>
            <w:tcW w:w="1060" w:type="dxa"/>
            <w:vAlign w:val="bottom"/>
          </w:tcPr>
          <w:p>
            <w:pPr>
              <w:spacing w:after="0"/>
              <w:rPr>
                <w:sz w:val="14"/>
                <w:szCs w:val="14"/>
                <w:color w:val="auto"/>
              </w:rPr>
            </w:pPr>
          </w:p>
        </w:tc>
        <w:tc>
          <w:tcPr>
            <w:tcW w:w="93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 xml:space="preserve">to Form 8-K filed May 19, </w:t>
              </w:r>
            </w:hyperlink>
            <w:r>
              <w:rPr>
                <w:rFonts w:ascii="Times New Roman" w:cs="Times New Roman" w:eastAsia="Times New Roman" w:hAnsi="Times New Roman"/>
                <w:sz w:val="18"/>
                <w:szCs w:val="18"/>
                <w:color w:val="0000FF"/>
              </w:rPr>
              <w:t xml:space="preserve">2023, </w:t>
            </w:r>
            <w:hyperlink r:id="rId112">
              <w:r>
                <w:rPr>
                  <w:rFonts w:ascii="Times New Roman" w:cs="Times New Roman" w:eastAsia="Times New Roman" w:hAnsi="Times New Roman"/>
                  <w:sz w:val="18"/>
                  <w:szCs w:val="18"/>
                  <w:color w:val="0000FF"/>
                </w:rPr>
                <w:t>File No. 001-16411)</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Indenture dated as of October 15, 1994, between Northrop Grumman Corporation (now Northrop Grumman Systems Corporation)</w:t>
              </w:r>
            </w:hyperlink>
          </w:p>
        </w:tc>
      </w:tr>
      <w:tr>
        <w:trPr>
          <w:trHeight w:val="156"/>
        </w:trPr>
        <w:tc>
          <w:tcPr>
            <w:tcW w:w="1060" w:type="dxa"/>
            <w:vAlign w:val="bottom"/>
          </w:tcPr>
          <w:p>
            <w:pPr>
              <w:spacing w:after="0"/>
              <w:rPr>
                <w:sz w:val="13"/>
                <w:szCs w:val="13"/>
                <w:color w:val="auto"/>
              </w:rPr>
            </w:pPr>
          </w:p>
        </w:tc>
        <w:tc>
          <w:tcPr>
            <w:tcW w:w="94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and The Chase Manhattan Bank (National Association), Trustee (incorporated by reference to Exhibit 4.1 to Form 8-K filed</w:t>
              </w:r>
            </w:hyperlink>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October 25, 1994, File No. 001-3229)</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First Supplemental Indenture dated as of March 30, 2011 by and among Northrop Grumman Systems Corporation, The Bank of</w:t>
              </w:r>
            </w:hyperlink>
          </w:p>
        </w:tc>
      </w:tr>
      <w:tr>
        <w:trPr>
          <w:trHeight w:val="156"/>
        </w:trPr>
        <w:tc>
          <w:tcPr>
            <w:tcW w:w="106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New York Mellon (successor trustee to JPMorgan Chase Bank and The Chase Manhattan Bank, N.A.), Titan II, Inc. (formerly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known as Northrop Grumman Corporation), and Titan Holdings II, L.P., to Indenture dated as of October 15, 1994, between</w:t>
              </w:r>
            </w:hyperlink>
          </w:p>
        </w:tc>
        <w:tc>
          <w:tcPr>
            <w:tcW w:w="14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6"/>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Northrop Grumman Corporation (now Northrop Grumman Systems Corporation) and The Chase Manhattan Bank, N.A., Trustee</w:t>
              </w:r>
            </w:hyperlink>
          </w:p>
        </w:tc>
      </w:tr>
      <w:tr>
        <w:trPr>
          <w:trHeight w:val="156"/>
        </w:trPr>
        <w:tc>
          <w:tcPr>
            <w:tcW w:w="106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(incorporated by reference to Exhibit 4.1 to Form 10-Q for the quarter ended March 31, 2011, filed April 27, 2011, File No. 001-</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4">
              <w:r>
                <w:rPr>
                  <w:rFonts w:ascii="Times New Roman" w:cs="Times New Roman" w:eastAsia="Times New Roman" w:hAnsi="Times New Roman"/>
                  <w:sz w:val="18"/>
                  <w:szCs w:val="18"/>
                  <w:color w:val="0000FF"/>
                  <w:w w:val="94"/>
                </w:rPr>
                <w:t>16411)</w:t>
              </w:r>
            </w:hyperlink>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Second Supplemental Indenture dated as of March 30, 2011 by and among Northrop Grumman Systems Corporation, The Bank of</w:t>
              </w:r>
            </w:hyperlink>
          </w:p>
        </w:tc>
      </w:tr>
      <w:tr>
        <w:trPr>
          <w:trHeight w:val="169"/>
        </w:trPr>
        <w:tc>
          <w:tcPr>
            <w:tcW w:w="1060" w:type="dxa"/>
            <w:vAlign w:val="bottom"/>
          </w:tcPr>
          <w:p>
            <w:pPr>
              <w:spacing w:after="0"/>
              <w:rPr>
                <w:sz w:val="14"/>
                <w:szCs w:val="14"/>
                <w:color w:val="auto"/>
              </w:rPr>
            </w:pPr>
          </w:p>
        </w:tc>
        <w:tc>
          <w:tcPr>
            <w:tcW w:w="940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New York Mellon (successor trustee to JPMorgan Chase Bank and The Chase Manhattan Bank, N.A.), Titan Holdings II, L.P., and</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9420" w:type="dxa"/>
            <w:vAlign w:val="bottom"/>
            <w:gridSpan w:val="24"/>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Northrop Grumman Corporation (formerly known as New P, Inc.), to Indenture dated as of October 15, 1994, between Northrop</w:t>
              </w:r>
            </w:hyperlink>
          </w:p>
        </w:tc>
        <w:tc>
          <w:tcPr>
            <w:tcW w:w="40" w:type="dxa"/>
            <w:vAlign w:val="bottom"/>
            <w:gridSpan w:val="2"/>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Grumman Corporation (now Northrop Grumman Systems Corporation) and The Chase Manhattan Bank, N.A., Trustee</w:t>
              </w:r>
            </w:hyperlink>
          </w:p>
        </w:tc>
        <w:tc>
          <w:tcPr>
            <w:tcW w:w="240" w:type="dxa"/>
            <w:vAlign w:val="bottom"/>
            <w:gridSpan w:val="7"/>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5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(incorporated by reference to Exhibit 4.2 to Form 10-Q for the quarter ended March 31, 2011, filed April 27, 2011, File</w:t>
              </w:r>
            </w:hyperlink>
          </w:p>
        </w:tc>
        <w:tc>
          <w:tcPr>
            <w:tcW w:w="880" w:type="dxa"/>
            <w:vAlign w:val="bottom"/>
            <w:gridSpan w:val="17"/>
          </w:tcPr>
          <w:p>
            <w:pPr>
              <w:ind w:left="60"/>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15">
              <w:r>
                <w:rPr>
                  <w:rFonts w:ascii="Times New Roman" w:cs="Times New Roman" w:eastAsia="Times New Roman" w:hAnsi="Times New Roman"/>
                  <w:sz w:val="18"/>
                  <w:szCs w:val="18"/>
                  <w:color w:val="0000FF"/>
                  <w:w w:val="94"/>
                </w:rPr>
                <w:t>16411)</w:t>
              </w:r>
            </w:hyperlink>
          </w:p>
        </w:tc>
        <w:tc>
          <w:tcPr>
            <w:tcW w:w="22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Officers’ Certificate (without exhibits) establishing the terms of Northrop Grumman Corporation’s (now Northrop</w:t>
              </w:r>
            </w:hyperlink>
          </w:p>
        </w:tc>
      </w:tr>
      <w:tr>
        <w:trPr>
          <w:trHeight w:val="155"/>
        </w:trPr>
        <w:tc>
          <w:tcPr>
            <w:tcW w:w="1060" w:type="dxa"/>
            <w:vAlign w:val="bottom"/>
          </w:tcPr>
          <w:p>
            <w:pPr>
              <w:spacing w:after="0"/>
              <w:rPr>
                <w:sz w:val="13"/>
                <w:szCs w:val="13"/>
                <w:color w:val="auto"/>
              </w:rPr>
            </w:pPr>
          </w:p>
        </w:tc>
        <w:tc>
          <w:tcPr>
            <w:tcW w:w="88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Grumman Systems Corporation’s) 7.875% Debentures due 2026 (incorporated by reference to Exhibit 4.3 to Form S-4</w:t>
              </w:r>
            </w:hyperlink>
          </w:p>
        </w:tc>
        <w:tc>
          <w:tcPr>
            <w:tcW w:w="40" w:type="dxa"/>
            <w:vAlign w:val="bottom"/>
          </w:tcPr>
          <w:p>
            <w:pPr>
              <w:spacing w:after="0"/>
              <w:rPr>
                <w:sz w:val="13"/>
                <w:szCs w:val="13"/>
                <w:color w:val="auto"/>
              </w:rPr>
            </w:pPr>
          </w:p>
        </w:tc>
        <w:tc>
          <w:tcPr>
            <w:tcW w:w="560" w:type="dxa"/>
            <w:vAlign w:val="bottom"/>
            <w:gridSpan w:val="15"/>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Registration Statement No. 333-02653 filed April 19, 1996)</w:t>
              </w:r>
            </w:hyperlink>
          </w:p>
        </w:tc>
        <w:tc>
          <w:tcPr>
            <w:tcW w:w="4220" w:type="dxa"/>
            <w:vAlign w:val="bottom"/>
            <w:tcBorders>
              <w:top w:val="single" w:sz="8" w:color="0000FF"/>
            </w:tcBorders>
            <w:gridSpan w:val="4"/>
          </w:tcPr>
          <w:p>
            <w:pPr>
              <w:spacing w:after="0"/>
              <w:rPr>
                <w:sz w:val="14"/>
                <w:szCs w:val="14"/>
                <w:color w:val="auto"/>
              </w:rPr>
            </w:pPr>
          </w:p>
        </w:tc>
        <w:tc>
          <w:tcPr>
            <w:tcW w:w="360" w:type="dxa"/>
            <w:vAlign w:val="bottom"/>
            <w:gridSpan w:val="3"/>
          </w:tcPr>
          <w:p>
            <w:pPr>
              <w:spacing w:after="0"/>
              <w:rPr>
                <w:sz w:val="14"/>
                <w:szCs w:val="14"/>
                <w:color w:val="auto"/>
              </w:rPr>
            </w:pPr>
          </w:p>
        </w:tc>
        <w:tc>
          <w:tcPr>
            <w:tcW w:w="560" w:type="dxa"/>
            <w:vAlign w:val="bottom"/>
            <w:gridSpan w:val="15"/>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Northrop Grumman Corporation’s (now Northrop Grumman Systems Corporation’s) 7.875% Debentures due 2026</w:t>
              </w:r>
            </w:hyperlink>
          </w:p>
        </w:tc>
      </w:tr>
      <w:tr>
        <w:trPr>
          <w:trHeight w:val="155"/>
        </w:trPr>
        <w:tc>
          <w:tcPr>
            <w:tcW w:w="10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(incorporated by reference to Exhibit 4.6 to Form S-4 Registration Statement No. 333-02653 filed April 19, 1996)</w:t>
              </w:r>
            </w:hyperlink>
          </w:p>
        </w:tc>
        <w:tc>
          <w:tcPr>
            <w:tcW w:w="680" w:type="dxa"/>
            <w:vAlign w:val="bottom"/>
            <w:tcBorders>
              <w:top w:val="single" w:sz="8" w:color="0000FF"/>
            </w:tcBorders>
            <w:gridSpan w:val="4"/>
          </w:tcPr>
          <w:p>
            <w:pPr>
              <w:spacing w:after="0"/>
              <w:rPr>
                <w:sz w:val="13"/>
                <w:szCs w:val="13"/>
                <w:color w:val="auto"/>
              </w:rPr>
            </w:pPr>
          </w:p>
        </w:tc>
        <w:tc>
          <w:tcPr>
            <w:tcW w:w="560" w:type="dxa"/>
            <w:vAlign w:val="bottom"/>
            <w:gridSpan w:val="15"/>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Officers’ Certificate establishing the terms of Northrop Grumman Corporation’s (now Northrop Grumman Systems</w:t>
              </w:r>
            </w:hyperlink>
          </w:p>
        </w:tc>
      </w:tr>
      <w:tr>
        <w:trPr>
          <w:trHeight w:val="189"/>
        </w:trPr>
        <w:tc>
          <w:tcPr>
            <w:tcW w:w="10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8"/>
                <w:szCs w:val="18"/>
                <w:color w:val="0000FF"/>
                <w:highlight w:val="white"/>
              </w:rPr>
            </w:pPr>
            <w:hyperlink r:id="rId118">
              <w:r>
                <w:rPr>
                  <w:rFonts w:ascii="Times New Roman" w:cs="Times New Roman" w:eastAsia="Times New Roman" w:hAnsi="Times New Roman"/>
                  <w:sz w:val="18"/>
                  <w:szCs w:val="18"/>
                  <w:color w:val="0000FF"/>
                  <w:highlight w:val="white"/>
                </w:rPr>
                <w:t>Corporation’s) 7.75% Debentures due 2031 (incorporated by reference to Exhibit 10.9 to Form 8-K filed April 17, 2001, File No.</w:t>
              </w:r>
            </w:hyperlink>
          </w:p>
        </w:tc>
      </w:tr>
      <w:tr>
        <w:trPr>
          <w:trHeight w:val="169"/>
        </w:trPr>
        <w:tc>
          <w:tcPr>
            <w:tcW w:w="1060" w:type="dxa"/>
            <w:vAlign w:val="bottom"/>
          </w:tcPr>
          <w:p>
            <w:pPr>
              <w:spacing w:after="0"/>
              <w:rPr>
                <w:sz w:val="14"/>
                <w:szCs w:val="14"/>
                <w:color w:val="auto"/>
              </w:rPr>
            </w:pPr>
          </w:p>
        </w:tc>
        <w:tc>
          <w:tcPr>
            <w:tcW w:w="8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highlight w:val="white"/>
                <w:w w:val="97"/>
              </w:rPr>
            </w:pPr>
            <w:hyperlink r:id="rId118">
              <w:r>
                <w:rPr>
                  <w:rFonts w:ascii="Times New Roman" w:cs="Times New Roman" w:eastAsia="Times New Roman" w:hAnsi="Times New Roman"/>
                  <w:sz w:val="18"/>
                  <w:szCs w:val="18"/>
                  <w:color w:val="0000FF"/>
                  <w:highlight w:val="white"/>
                  <w:w w:val="97"/>
                </w:rPr>
                <w:t>001-16411)</w:t>
              </w:r>
            </w:hyperlink>
          </w:p>
        </w:tc>
        <w:tc>
          <w:tcPr>
            <w:tcW w:w="4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Senior Indenture dated as of December 15, 1991, between Litton Industries, Inc. (predecessor-in-interest to Northrop Grumma</w:t>
              </w:r>
              <w:r>
                <w:rPr>
                  <w:rFonts w:ascii="Times New Roman" w:cs="Times New Roman" w:eastAsia="Times New Roman" w:hAnsi="Times New Roman"/>
                  <w:sz w:val="18"/>
                  <w:szCs w:val="18"/>
                  <w:u w:val="single" w:color="auto"/>
                  <w:color w:val="0000FF"/>
                </w:rPr>
                <w:t>n</w:t>
              </w:r>
            </w:hyperlink>
          </w:p>
        </w:tc>
      </w:tr>
      <w:tr>
        <w:trPr>
          <w:trHeight w:val="175"/>
        </w:trPr>
        <w:tc>
          <w:tcPr>
            <w:tcW w:w="1060" w:type="dxa"/>
            <w:vAlign w:val="bottom"/>
          </w:tcPr>
          <w:p>
            <w:pPr>
              <w:spacing w:after="0"/>
              <w:rPr>
                <w:sz w:val="15"/>
                <w:szCs w:val="15"/>
                <w:color w:val="auto"/>
              </w:rPr>
            </w:pPr>
          </w:p>
        </w:tc>
        <w:tc>
          <w:tcPr>
            <w:tcW w:w="9460" w:type="dxa"/>
            <w:vAlign w:val="bottom"/>
            <w:gridSpan w:val="26"/>
          </w:tcPr>
          <w:p>
            <w:pPr>
              <w:spacing w:after="0" w:line="176" w:lineRule="exact"/>
              <w:rPr>
                <w:rFonts w:ascii="Times New Roman" w:cs="Times New Roman" w:eastAsia="Times New Roman" w:hAnsi="Times New Roman"/>
                <w:sz w:val="18"/>
                <w:szCs w:val="18"/>
                <w:color w:val="0000FF"/>
                <w:highlight w:val="white"/>
              </w:rPr>
            </w:pPr>
            <w:hyperlink r:id="rId119">
              <w:r>
                <w:rPr>
                  <w:rFonts w:ascii="Times New Roman" w:cs="Times New Roman" w:eastAsia="Times New Roman" w:hAnsi="Times New Roman"/>
                  <w:sz w:val="18"/>
                  <w:szCs w:val="18"/>
                  <w:color w:val="0000FF"/>
                  <w:highlight w:val="white"/>
                </w:rPr>
                <w:t>Systems Corporation) and The Bank of New York, as trustee, under which its 7.75% and 6.98% debentures due 2026 and 2036</w:t>
              </w:r>
            </w:hyperlink>
          </w:p>
        </w:tc>
      </w:tr>
      <w:tr>
        <w:trPr>
          <w:trHeight w:val="189"/>
        </w:trPr>
        <w:tc>
          <w:tcPr>
            <w:tcW w:w="10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8"/>
                <w:szCs w:val="18"/>
                <w:color w:val="0000FF"/>
                <w:highlight w:val="white"/>
              </w:rPr>
            </w:pPr>
            <w:hyperlink r:id="rId119">
              <w:r>
                <w:rPr>
                  <w:rFonts w:ascii="Times New Roman" w:cs="Times New Roman" w:eastAsia="Times New Roman" w:hAnsi="Times New Roman"/>
                  <w:sz w:val="18"/>
                  <w:szCs w:val="18"/>
                  <w:color w:val="0000FF"/>
                  <w:highlight w:val="white"/>
                </w:rPr>
                <w:t>were issued, and specimens of such debentures (incorporated by reference to Exhibit 4.1 to the Form 10-Q of Litton Industries,</w:t>
              </w:r>
            </w:hyperlink>
          </w:p>
        </w:tc>
      </w:tr>
      <w:tr>
        <w:trPr>
          <w:trHeight w:val="169"/>
        </w:trPr>
        <w:tc>
          <w:tcPr>
            <w:tcW w:w="1060" w:type="dxa"/>
            <w:vAlign w:val="bottom"/>
          </w:tcPr>
          <w:p>
            <w:pPr>
              <w:spacing w:after="0"/>
              <w:rPr>
                <w:sz w:val="14"/>
                <w:szCs w:val="14"/>
                <w:color w:val="auto"/>
              </w:rPr>
            </w:pPr>
          </w:p>
        </w:tc>
        <w:tc>
          <w:tcPr>
            <w:tcW w:w="91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highlight w:val="white"/>
              </w:rPr>
            </w:pPr>
            <w:hyperlink r:id="rId119">
              <w:r>
                <w:rPr>
                  <w:rFonts w:ascii="Times New Roman" w:cs="Times New Roman" w:eastAsia="Times New Roman" w:hAnsi="Times New Roman"/>
                  <w:sz w:val="18"/>
                  <w:szCs w:val="18"/>
                  <w:color w:val="0000FF"/>
                  <w:highlight w:val="white"/>
                </w:rPr>
                <w:t>Inc. for the quarter ended April 30, 1996, filed June 11, 1996, File No. 001-3998)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8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Supplemental Indenture with respect to Senior Indenture dated December 15, 1991, dated as of April 3, 2001, among Litton</w:t>
              </w:r>
            </w:hyperlink>
          </w:p>
        </w:tc>
        <w:tc>
          <w:tcPr>
            <w:tcW w:w="540" w:type="dxa"/>
            <w:vAlign w:val="bottom"/>
            <w:gridSpan w:val="14"/>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460" w:type="dxa"/>
            <w:vAlign w:val="bottom"/>
            <w:gridSpan w:val="2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Industries, Inc. (predecessor-in-interest to Northrop Grumman Systems Corporation), Northrop Grumman Corporation, Northrop</w:t>
              </w:r>
            </w:hyperlink>
          </w:p>
        </w:tc>
      </w:tr>
      <w:tr>
        <w:trPr>
          <w:trHeight w:val="189"/>
        </w:trPr>
        <w:tc>
          <w:tcPr>
            <w:tcW w:w="10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8"/>
                <w:szCs w:val="18"/>
                <w:color w:val="0000FF"/>
                <w:highlight w:val="white"/>
              </w:rPr>
            </w:pPr>
            <w:hyperlink r:id="rId120">
              <w:r>
                <w:rPr>
                  <w:rFonts w:ascii="Times New Roman" w:cs="Times New Roman" w:eastAsia="Times New Roman" w:hAnsi="Times New Roman"/>
                  <w:sz w:val="18"/>
                  <w:szCs w:val="18"/>
                  <w:color w:val="0000FF"/>
                  <w:highlight w:val="white"/>
                </w:rPr>
                <w:t>Grumman Systems Corporation and The Bank of New York, as trustee (incorporated by reference to Exhibit 4.7 to Form 10-Q for</w:t>
              </w:r>
            </w:hyperlink>
          </w:p>
        </w:tc>
      </w:tr>
      <w:tr>
        <w:trPr>
          <w:trHeight w:val="156"/>
        </w:trPr>
        <w:tc>
          <w:tcPr>
            <w:tcW w:w="1060" w:type="dxa"/>
            <w:vAlign w:val="bottom"/>
          </w:tcPr>
          <w:p>
            <w:pPr>
              <w:spacing w:after="0"/>
              <w:rPr>
                <w:sz w:val="13"/>
                <w:szCs w:val="13"/>
                <w:color w:val="auto"/>
              </w:rPr>
            </w:pPr>
          </w:p>
        </w:tc>
        <w:tc>
          <w:tcPr>
            <w:tcW w:w="546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highlight w:val="white"/>
                <w:w w:val="99"/>
              </w:rPr>
            </w:pPr>
            <w:hyperlink r:id="rId120">
              <w:r>
                <w:rPr>
                  <w:rFonts w:ascii="Times New Roman" w:cs="Times New Roman" w:eastAsia="Times New Roman" w:hAnsi="Times New Roman"/>
                  <w:sz w:val="18"/>
                  <w:szCs w:val="18"/>
                  <w:color w:val="0000FF"/>
                  <w:highlight w:val="white"/>
                  <w:w w:val="99"/>
                </w:rPr>
                <w:t>the quarter ended March 31, 2001, filed May 10, 2001, File No. 001-16411)</w:t>
              </w:r>
            </w:hyperlink>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Supplemental Indenture with respect to Senior Indenture dated December 15, 1991, dated as of December 20, 2002, among Litton</w:t>
              </w:r>
            </w:hyperlink>
          </w:p>
        </w:tc>
      </w:tr>
      <w:tr>
        <w:trPr>
          <w:trHeight w:val="156"/>
        </w:trPr>
        <w:tc>
          <w:tcPr>
            <w:tcW w:w="1060" w:type="dxa"/>
            <w:vAlign w:val="bottom"/>
          </w:tcPr>
          <w:p>
            <w:pPr>
              <w:spacing w:after="0"/>
              <w:rPr>
                <w:sz w:val="13"/>
                <w:szCs w:val="13"/>
                <w:color w:val="auto"/>
              </w:rPr>
            </w:pPr>
          </w:p>
        </w:tc>
        <w:tc>
          <w:tcPr>
            <w:tcW w:w="928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highlight w:val="white"/>
                <w:w w:val="99"/>
              </w:rPr>
            </w:pPr>
            <w:hyperlink r:id="rId121">
              <w:r>
                <w:rPr>
                  <w:rFonts w:ascii="Times New Roman" w:cs="Times New Roman" w:eastAsia="Times New Roman" w:hAnsi="Times New Roman"/>
                  <w:sz w:val="18"/>
                  <w:szCs w:val="18"/>
                  <w:color w:val="0000FF"/>
                  <w:highlight w:val="white"/>
                  <w:w w:val="99"/>
                </w:rPr>
                <w:t>Industries, Inc. (predecessor-in-interest to Northrop Grumman Systems Corporation), Northrop Grumman Corporation, Northrop</w:t>
              </w:r>
            </w:hyperlink>
          </w:p>
        </w:tc>
        <w:tc>
          <w:tcPr>
            <w:tcW w:w="20" w:type="dxa"/>
            <w:vAlign w:val="bottom"/>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6"/>
          </w:tcPr>
          <w:p>
            <w:pPr>
              <w:spacing w:after="0" w:line="169" w:lineRule="exact"/>
              <w:rPr>
                <w:rFonts w:ascii="Times New Roman" w:cs="Times New Roman" w:eastAsia="Times New Roman" w:hAnsi="Times New Roman"/>
                <w:sz w:val="18"/>
                <w:szCs w:val="18"/>
                <w:color w:val="0000FF"/>
                <w:highlight w:val="white"/>
              </w:rPr>
            </w:pPr>
            <w:hyperlink r:id="rId121">
              <w:r>
                <w:rPr>
                  <w:rFonts w:ascii="Times New Roman" w:cs="Times New Roman" w:eastAsia="Times New Roman" w:hAnsi="Times New Roman"/>
                  <w:sz w:val="18"/>
                  <w:szCs w:val="18"/>
                  <w:color w:val="0000FF"/>
                  <w:highlight w:val="white"/>
                </w:rPr>
                <w:t>Grumman Systems Corporation and The Bank of New York, as trustee (incorporated by reference to Exhibit 4(t) to Form 10-K for</w:t>
              </w:r>
            </w:hyperlink>
          </w:p>
        </w:tc>
      </w:tr>
      <w:tr>
        <w:trPr>
          <w:trHeight w:val="156"/>
        </w:trPr>
        <w:tc>
          <w:tcPr>
            <w:tcW w:w="1060" w:type="dxa"/>
            <w:vAlign w:val="bottom"/>
          </w:tcPr>
          <w:p>
            <w:pPr>
              <w:spacing w:after="0"/>
              <w:rPr>
                <w:sz w:val="13"/>
                <w:szCs w:val="13"/>
                <w:color w:val="auto"/>
              </w:rPr>
            </w:pPr>
          </w:p>
        </w:tc>
        <w:tc>
          <w:tcPr>
            <w:tcW w:w="568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highlight w:val="white"/>
                <w:w w:val="99"/>
              </w:rPr>
            </w:pPr>
            <w:hyperlink r:id="rId121">
              <w:r>
                <w:rPr>
                  <w:rFonts w:ascii="Times New Roman" w:cs="Times New Roman" w:eastAsia="Times New Roman" w:hAnsi="Times New Roman"/>
                  <w:sz w:val="18"/>
                  <w:szCs w:val="18"/>
                  <w:color w:val="0000FF"/>
                  <w:highlight w:val="white"/>
                  <w:w w:val="99"/>
                </w:rPr>
                <w:t>the year ended December 31, 2002, filed March 24, 2003, File No. 001-16411)</w:t>
              </w:r>
            </w:hyperlink>
          </w:p>
        </w:tc>
        <w:tc>
          <w:tcPr>
            <w:tcW w:w="20" w:type="dxa"/>
            <w:vAlign w:val="bottom"/>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gridSpan w:val="4"/>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Third Supplemental Indenture dated as of March 30, 2011 by and among Northrop Grumman Systems Corporation (successor-in-</w:t>
              </w:r>
            </w:hyperlink>
          </w:p>
        </w:tc>
      </w:tr>
      <w:tr>
        <w:trPr>
          <w:trHeight w:val="189"/>
        </w:trPr>
        <w:tc>
          <w:tcPr>
            <w:tcW w:w="10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8"/>
                <w:szCs w:val="18"/>
                <w:color w:val="0000FF"/>
                <w:highlight w:val="white"/>
                <w:w w:val="99"/>
              </w:rPr>
            </w:pPr>
            <w:hyperlink r:id="rId122">
              <w:r>
                <w:rPr>
                  <w:rFonts w:ascii="Times New Roman" w:cs="Times New Roman" w:eastAsia="Times New Roman" w:hAnsi="Times New Roman"/>
                  <w:sz w:val="18"/>
                  <w:szCs w:val="18"/>
                  <w:color w:val="0000FF"/>
                  <w:highlight w:val="white"/>
                  <w:w w:val="99"/>
                </w:rPr>
                <w:t>interest to Litton Industries, Inc.), The Bank of New York Mellon (formerly known as The Bank of New York), as trustee, Titan II,</w:t>
              </w:r>
            </w:hyperlink>
          </w:p>
        </w:tc>
      </w:tr>
      <w:tr>
        <w:trPr>
          <w:trHeight w:val="156"/>
        </w:trPr>
        <w:tc>
          <w:tcPr>
            <w:tcW w:w="1060" w:type="dxa"/>
            <w:vAlign w:val="bottom"/>
          </w:tcPr>
          <w:p>
            <w:pPr>
              <w:spacing w:after="0"/>
              <w:rPr>
                <w:sz w:val="13"/>
                <w:szCs w:val="13"/>
                <w:color w:val="auto"/>
              </w:rPr>
            </w:pPr>
          </w:p>
        </w:tc>
        <w:tc>
          <w:tcPr>
            <w:tcW w:w="91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highlight w:val="white"/>
                <w:w w:val="99"/>
              </w:rPr>
            </w:pPr>
            <w:hyperlink r:id="rId122">
              <w:r>
                <w:rPr>
                  <w:rFonts w:ascii="Times New Roman" w:cs="Times New Roman" w:eastAsia="Times New Roman" w:hAnsi="Times New Roman"/>
                  <w:sz w:val="18"/>
                  <w:szCs w:val="18"/>
                  <w:color w:val="0000FF"/>
                  <w:highlight w:val="white"/>
                  <w:w w:val="99"/>
                </w:rPr>
                <w:t>Inc. (formerly known as Northrop Grumman Corporation), and Titan Holdings II, L.P., to Senior Indenture dated December 15,</w:t>
              </w:r>
            </w:hyperlink>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9460" w:type="dxa"/>
            <w:vAlign w:val="bottom"/>
            <w:gridSpan w:val="26"/>
          </w:tcPr>
          <w:p>
            <w:pPr>
              <w:spacing w:after="0" w:line="169" w:lineRule="exact"/>
              <w:rPr>
                <w:rFonts w:ascii="Times New Roman" w:cs="Times New Roman" w:eastAsia="Times New Roman" w:hAnsi="Times New Roman"/>
                <w:sz w:val="18"/>
                <w:szCs w:val="18"/>
                <w:color w:val="0000FF"/>
                <w:highlight w:val="white"/>
              </w:rPr>
            </w:pPr>
            <w:hyperlink r:id="rId122">
              <w:r>
                <w:rPr>
                  <w:rFonts w:ascii="Times New Roman" w:cs="Times New Roman" w:eastAsia="Times New Roman" w:hAnsi="Times New Roman"/>
                  <w:sz w:val="18"/>
                  <w:szCs w:val="18"/>
                  <w:color w:val="0000FF"/>
                  <w:highlight w:val="white"/>
                </w:rPr>
                <w:t>1991, between Litton Industries, Inc. and The Bank of New York, as trustee (incorporated by reference to Exhibit 4.5 to Form 10-</w:t>
              </w:r>
            </w:hyperlink>
          </w:p>
        </w:tc>
      </w:tr>
      <w:tr>
        <w:trPr>
          <w:trHeight w:val="156"/>
        </w:trPr>
        <w:tc>
          <w:tcPr>
            <w:tcW w:w="1060" w:type="dxa"/>
            <w:vAlign w:val="bottom"/>
          </w:tcPr>
          <w:p>
            <w:pPr>
              <w:spacing w:after="0"/>
              <w:rPr>
                <w:sz w:val="13"/>
                <w:szCs w:val="13"/>
                <w:color w:val="auto"/>
              </w:rPr>
            </w:pPr>
          </w:p>
        </w:tc>
        <w:tc>
          <w:tcPr>
            <w:tcW w:w="594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highlight w:val="white"/>
                <w:w w:val="99"/>
              </w:rPr>
            </w:pPr>
            <w:hyperlink r:id="rId122">
              <w:r>
                <w:rPr>
                  <w:rFonts w:ascii="Times New Roman" w:cs="Times New Roman" w:eastAsia="Times New Roman" w:hAnsi="Times New Roman"/>
                  <w:sz w:val="18"/>
                  <w:szCs w:val="18"/>
                  <w:color w:val="0000FF"/>
                  <w:highlight w:val="white"/>
                  <w:w w:val="99"/>
                </w:rPr>
                <w:t>Q for the quarter ended March 31, 2011, filed April 27, 2011, File No. 001-16411)</w:t>
              </w:r>
            </w:hyperlink>
          </w:p>
        </w:tc>
        <w:tc>
          <w:tcPr>
            <w:tcW w:w="2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gridSpan w:val="3"/>
          </w:tcPr>
          <w:p>
            <w:pPr>
              <w:spacing w:after="0"/>
              <w:rPr>
                <w:sz w:val="13"/>
                <w:szCs w:val="13"/>
                <w:color w:val="auto"/>
              </w:rPr>
            </w:pPr>
          </w:p>
        </w:tc>
        <w:tc>
          <w:tcPr>
            <w:tcW w:w="160" w:type="dxa"/>
            <w:vAlign w:val="bottom"/>
            <w:tcBorders>
              <w:top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Fourth Supplemental Indenture dated as of March 30, 2011 by and among Northrop Grumman Systems Corporation (successor-in-</w:t>
              </w:r>
            </w:hyperlink>
          </w:p>
        </w:tc>
      </w:tr>
      <w:tr>
        <w:trPr>
          <w:trHeight w:val="155"/>
        </w:trPr>
        <w:tc>
          <w:tcPr>
            <w:tcW w:w="1060" w:type="dxa"/>
            <w:vAlign w:val="bottom"/>
          </w:tcPr>
          <w:p>
            <w:pPr>
              <w:spacing w:after="0"/>
              <w:rPr>
                <w:sz w:val="13"/>
                <w:szCs w:val="13"/>
                <w:color w:val="auto"/>
              </w:rPr>
            </w:pPr>
          </w:p>
        </w:tc>
        <w:tc>
          <w:tcPr>
            <w:tcW w:w="94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interest to Litton Industries, Inc.), The Bank of New York Mellon (formerly known as The Bank of New York) as trustee, Titan</w:t>
              </w:r>
            </w:hyperlink>
          </w:p>
        </w:tc>
        <w:tc>
          <w:tcPr>
            <w:tcW w:w="20" w:type="dxa"/>
            <w:vAlign w:val="bottom"/>
          </w:tcPr>
          <w:p>
            <w:pPr>
              <w:spacing w:after="0"/>
              <w:rPr>
                <w:sz w:val="13"/>
                <w:szCs w:val="13"/>
                <w:color w:val="auto"/>
              </w:rPr>
            </w:pPr>
          </w:p>
        </w:tc>
      </w:tr>
      <w:tr>
        <w:trPr>
          <w:trHeight w:val="176"/>
        </w:trPr>
        <w:tc>
          <w:tcPr>
            <w:tcW w:w="1060" w:type="dxa"/>
            <w:vAlign w:val="bottom"/>
          </w:tcPr>
          <w:p>
            <w:pPr>
              <w:spacing w:after="0"/>
              <w:rPr>
                <w:sz w:val="15"/>
                <w:szCs w:val="15"/>
                <w:color w:val="auto"/>
              </w:rPr>
            </w:pPr>
          </w:p>
        </w:tc>
        <w:tc>
          <w:tcPr>
            <w:tcW w:w="9460" w:type="dxa"/>
            <w:vAlign w:val="bottom"/>
            <w:gridSpan w:val="26"/>
          </w:tcPr>
          <w:p>
            <w:pPr>
              <w:spacing w:after="0" w:line="176" w:lineRule="exact"/>
              <w:rPr>
                <w:rFonts w:ascii="Times New Roman" w:cs="Times New Roman" w:eastAsia="Times New Roman" w:hAnsi="Times New Roman"/>
                <w:sz w:val="18"/>
                <w:szCs w:val="18"/>
                <w:color w:val="0000FF"/>
                <w:highlight w:val="white"/>
              </w:rPr>
            </w:pPr>
            <w:hyperlink r:id="rId123">
              <w:r>
                <w:rPr>
                  <w:rFonts w:ascii="Times New Roman" w:cs="Times New Roman" w:eastAsia="Times New Roman" w:hAnsi="Times New Roman"/>
                  <w:sz w:val="18"/>
                  <w:szCs w:val="18"/>
                  <w:color w:val="0000FF"/>
                  <w:highlight w:val="white"/>
                </w:rPr>
                <w:t>Holdings II, L.P., and Northrop Grumman Corporation (formerly known as New P, Inc.), to Senior Indenture dated December 15,</w:t>
              </w:r>
            </w:hyperlink>
          </w:p>
        </w:tc>
      </w:tr>
      <w:tr>
        <w:trPr>
          <w:trHeight w:val="189"/>
        </w:trPr>
        <w:tc>
          <w:tcPr>
            <w:tcW w:w="10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8"/>
                <w:szCs w:val="18"/>
                <w:color w:val="0000FF"/>
                <w:highlight w:val="white"/>
              </w:rPr>
            </w:pPr>
            <w:hyperlink r:id="rId123">
              <w:r>
                <w:rPr>
                  <w:rFonts w:ascii="Times New Roman" w:cs="Times New Roman" w:eastAsia="Times New Roman" w:hAnsi="Times New Roman"/>
                  <w:sz w:val="18"/>
                  <w:szCs w:val="18"/>
                  <w:color w:val="0000FF"/>
                  <w:highlight w:val="white"/>
                </w:rPr>
                <w:t>1991, between Litton Industries, Inc. and The Bank of New York, as trustee (incorporated by reference to Exhibit 4.6 to Form 10-</w:t>
              </w:r>
            </w:hyperlink>
          </w:p>
        </w:tc>
      </w:tr>
      <w:tr>
        <w:trPr>
          <w:trHeight w:val="169"/>
        </w:trPr>
        <w:tc>
          <w:tcPr>
            <w:tcW w:w="1060" w:type="dxa"/>
            <w:vAlign w:val="bottom"/>
          </w:tcPr>
          <w:p>
            <w:pPr>
              <w:spacing w:after="0"/>
              <w:rPr>
                <w:sz w:val="14"/>
                <w:szCs w:val="14"/>
                <w:color w:val="auto"/>
              </w:rPr>
            </w:pPr>
          </w:p>
        </w:tc>
        <w:tc>
          <w:tcPr>
            <w:tcW w:w="59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highlight w:val="white"/>
                <w:w w:val="99"/>
              </w:rPr>
            </w:pPr>
            <w:hyperlink r:id="rId123">
              <w:r>
                <w:rPr>
                  <w:rFonts w:ascii="Times New Roman" w:cs="Times New Roman" w:eastAsia="Times New Roman" w:hAnsi="Times New Roman"/>
                  <w:sz w:val="18"/>
                  <w:szCs w:val="18"/>
                  <w:color w:val="0000FF"/>
                  <w:highlight w:val="white"/>
                  <w:w w:val="99"/>
                </w:rPr>
                <w:t>Q for the quarter ended March 31, 2011, filed April 27, 2011, File No. 001-16411)</w:t>
              </w:r>
            </w:hyperlink>
          </w:p>
        </w:tc>
        <w:tc>
          <w:tcPr>
            <w:tcW w:w="3400" w:type="dxa"/>
            <w:vAlign w:val="bottom"/>
            <w:tcBorders>
              <w:top w:val="single" w:sz="8" w:color="0000FF"/>
            </w:tcBorders>
            <w:gridSpan w:val="11"/>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w:t>
            </w:r>
          </w:p>
        </w:tc>
        <w:tc>
          <w:tcPr>
            <w:tcW w:w="9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Indenture between TRW Inc. (predecessor-in-interest to Northrop Grumman Systems Corporation) and Mellon Bank, N.A., as</w:t>
            </w:r>
          </w:p>
        </w:tc>
      </w:tr>
      <w:tr>
        <w:trPr>
          <w:trHeight w:val="184"/>
        </w:trPr>
        <w:tc>
          <w:tcPr>
            <w:tcW w:w="1060" w:type="dxa"/>
            <w:vAlign w:val="bottom"/>
          </w:tcPr>
          <w:p>
            <w:pPr>
              <w:spacing w:after="0"/>
              <w:rPr>
                <w:sz w:val="16"/>
                <w:szCs w:val="16"/>
                <w:color w:val="auto"/>
              </w:rPr>
            </w:pPr>
          </w:p>
        </w:tc>
        <w:tc>
          <w:tcPr>
            <w:tcW w:w="9460" w:type="dxa"/>
            <w:vAlign w:val="bottom"/>
            <w:gridSpan w:val="26"/>
          </w:tcPr>
          <w:p>
            <w:pPr>
              <w:spacing w:after="0" w:line="184" w:lineRule="exact"/>
              <w:rPr>
                <w:sz w:val="20"/>
                <w:szCs w:val="20"/>
                <w:color w:val="auto"/>
              </w:rPr>
            </w:pPr>
            <w:r>
              <w:rPr>
                <w:rFonts w:ascii="Times New Roman" w:cs="Times New Roman" w:eastAsia="Times New Roman" w:hAnsi="Times New Roman"/>
                <w:sz w:val="18"/>
                <w:szCs w:val="18"/>
                <w:color w:val="auto"/>
                <w:w w:val="99"/>
              </w:rPr>
              <w:t>trustee, dated as of May 1, 1986 (incorporated by reference to Exhibit 2 to the Form 8-A Registration Statement of TRW Inc. dated</w:t>
            </w:r>
          </w:p>
        </w:tc>
      </w:tr>
      <w:tr>
        <w:trPr>
          <w:trHeight w:val="234"/>
        </w:trPr>
        <w:tc>
          <w:tcPr>
            <w:tcW w:w="1060" w:type="dxa"/>
            <w:vAlign w:val="bottom"/>
          </w:tcPr>
          <w:p>
            <w:pPr>
              <w:spacing w:after="0"/>
              <w:rPr>
                <w:sz w:val="20"/>
                <w:szCs w:val="20"/>
                <w:color w:val="auto"/>
              </w:rPr>
            </w:pPr>
          </w:p>
        </w:tc>
        <w:tc>
          <w:tcPr>
            <w:tcW w:w="9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July 3, 1986, File No. 001-02384)</w:t>
            </w: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w:t>
            </w:r>
          </w:p>
        </w:tc>
        <w:tc>
          <w:tcPr>
            <w:tcW w:w="9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First Supplemental Indenture between TRW Inc. (predecessor-in-interest to Northrop Grumman Systems Corporation) and Mellon</w:t>
            </w:r>
          </w:p>
        </w:tc>
      </w:tr>
      <w:tr>
        <w:trPr>
          <w:trHeight w:val="175"/>
        </w:trPr>
        <w:tc>
          <w:tcPr>
            <w:tcW w:w="1060" w:type="dxa"/>
            <w:vAlign w:val="bottom"/>
          </w:tcPr>
          <w:p>
            <w:pPr>
              <w:spacing w:after="0"/>
              <w:rPr>
                <w:sz w:val="15"/>
                <w:szCs w:val="15"/>
                <w:color w:val="auto"/>
              </w:rPr>
            </w:pPr>
          </w:p>
        </w:tc>
        <w:tc>
          <w:tcPr>
            <w:tcW w:w="94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auto"/>
              </w:rPr>
              <w:t>Bank, N.A., as trustee, dated as of August 24, 1989 (incorporated by reference to Exhibit 4(b) to Form S-3 Registration Statement</w:t>
            </w:r>
          </w:p>
        </w:tc>
      </w:tr>
      <w:tr>
        <w:trPr>
          <w:trHeight w:val="234"/>
        </w:trPr>
        <w:tc>
          <w:tcPr>
            <w:tcW w:w="1060" w:type="dxa"/>
            <w:vAlign w:val="bottom"/>
          </w:tcPr>
          <w:p>
            <w:pPr>
              <w:spacing w:after="0"/>
              <w:rPr>
                <w:sz w:val="20"/>
                <w:szCs w:val="20"/>
                <w:color w:val="auto"/>
              </w:rPr>
            </w:pPr>
          </w:p>
        </w:tc>
        <w:tc>
          <w:tcPr>
            <w:tcW w:w="9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No. 33-30350 of TRW Inc.)</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Fifth Supplemental Indenture between TRW Inc. (predecessor-in-interest to Northrop Grumman Systems Corporation) and The</w:t>
              </w:r>
            </w:hyperlink>
          </w:p>
        </w:tc>
      </w:tr>
      <w:tr>
        <w:trPr>
          <w:trHeight w:val="169"/>
        </w:trPr>
        <w:tc>
          <w:tcPr>
            <w:tcW w:w="1060" w:type="dxa"/>
            <w:vAlign w:val="bottom"/>
          </w:tcPr>
          <w:p>
            <w:pPr>
              <w:spacing w:after="0"/>
              <w:rPr>
                <w:sz w:val="14"/>
                <w:szCs w:val="14"/>
                <w:color w:val="auto"/>
              </w:rPr>
            </w:pPr>
          </w:p>
        </w:tc>
        <w:tc>
          <w:tcPr>
            <w:tcW w:w="91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Chase Manhattan Bank, as successor trustee, dated as of June 2, 1999 (incorporated by reference to Exhibit 4(f) to Form S-4</w:t>
              </w:r>
            </w:hyperlink>
          </w:p>
        </w:tc>
        <w:tc>
          <w:tcPr>
            <w:tcW w:w="280" w:type="dxa"/>
            <w:vAlign w:val="bottom"/>
            <w:gridSpan w:val="10"/>
          </w:tcPr>
          <w:p>
            <w:pPr>
              <w:spacing w:after="0"/>
              <w:rPr>
                <w:sz w:val="14"/>
                <w:szCs w:val="14"/>
                <w:color w:val="auto"/>
              </w:rPr>
            </w:pPr>
          </w:p>
        </w:tc>
      </w:tr>
      <w:tr>
        <w:trPr>
          <w:trHeight w:val="155"/>
        </w:trPr>
        <w:tc>
          <w:tcPr>
            <w:tcW w:w="1060" w:type="dxa"/>
            <w:vAlign w:val="bottom"/>
          </w:tcPr>
          <w:p>
            <w:pPr>
              <w:spacing w:after="0"/>
              <w:rPr>
                <w:sz w:val="13"/>
                <w:szCs w:val="13"/>
                <w:color w:val="auto"/>
              </w:rPr>
            </w:pPr>
          </w:p>
        </w:tc>
        <w:tc>
          <w:tcPr>
            <w:tcW w:w="51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highlight w:val="white"/>
                <w:w w:val="99"/>
              </w:rPr>
            </w:pPr>
            <w:hyperlink r:id="rId124">
              <w:r>
                <w:rPr>
                  <w:rFonts w:ascii="Times New Roman" w:cs="Times New Roman" w:eastAsia="Times New Roman" w:hAnsi="Times New Roman"/>
                  <w:sz w:val="18"/>
                  <w:szCs w:val="18"/>
                  <w:color w:val="0000FF"/>
                  <w:highlight w:val="white"/>
                  <w:w w:val="99"/>
                </w:rPr>
                <w:t>Registration Statement No. 333-83227 of TRW Inc. filed July 20, 1999)</w:t>
              </w:r>
            </w:hyperlink>
          </w:p>
        </w:tc>
        <w:tc>
          <w:tcPr>
            <w:tcW w:w="20" w:type="dxa"/>
            <w:vAlign w:val="bottom"/>
          </w:tcPr>
          <w:p>
            <w:pPr>
              <w:spacing w:after="0"/>
              <w:rPr>
                <w:sz w:val="13"/>
                <w:szCs w:val="13"/>
                <w:color w:val="auto"/>
              </w:rPr>
            </w:pPr>
          </w:p>
        </w:tc>
        <w:tc>
          <w:tcPr>
            <w:tcW w:w="3700" w:type="dxa"/>
            <w:vAlign w:val="bottom"/>
            <w:tcBorders>
              <w:top w:val="single" w:sz="8" w:color="0000FF"/>
            </w:tcBorders>
            <w:gridSpan w:val="8"/>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520" w:type="dxa"/>
            <w:vAlign w:val="bottom"/>
            <w:gridSpan w:val="13"/>
          </w:tcPr>
          <w:p>
            <w:pPr>
              <w:spacing w:after="0"/>
              <w:rPr>
                <w:sz w:val="13"/>
                <w:szCs w:val="13"/>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w:t>
            </w:r>
          </w:p>
        </w:tc>
        <w:tc>
          <w:tcPr>
            <w:tcW w:w="9460" w:type="dxa"/>
            <w:vAlign w:val="bottom"/>
            <w:gridSpan w:val="2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Ninth Supplemental Indenture dated as of December 31, 2009 among Northrop Grumman Space &amp; Mission Systems Corp.</w:t>
              </w:r>
            </w:hyperlink>
          </w:p>
        </w:tc>
      </w:tr>
      <w:tr>
        <w:trPr>
          <w:trHeight w:val="189"/>
        </w:trPr>
        <w:tc>
          <w:tcPr>
            <w:tcW w:w="1060" w:type="dxa"/>
            <w:vAlign w:val="bottom"/>
          </w:tcPr>
          <w:p>
            <w:pPr>
              <w:spacing w:after="0"/>
              <w:rPr>
                <w:sz w:val="16"/>
                <w:szCs w:val="16"/>
                <w:color w:val="auto"/>
              </w:rPr>
            </w:pPr>
          </w:p>
        </w:tc>
        <w:tc>
          <w:tcPr>
            <w:tcW w:w="9460" w:type="dxa"/>
            <w:vAlign w:val="bottom"/>
            <w:gridSpan w:val="26"/>
          </w:tcPr>
          <w:p>
            <w:pPr>
              <w:spacing w:after="0" w:line="189" w:lineRule="exact"/>
              <w:rPr>
                <w:rFonts w:ascii="Times New Roman" w:cs="Times New Roman" w:eastAsia="Times New Roman" w:hAnsi="Times New Roman"/>
                <w:sz w:val="18"/>
                <w:szCs w:val="18"/>
                <w:color w:val="0000FF"/>
                <w:highlight w:val="white"/>
              </w:rPr>
            </w:pPr>
            <w:hyperlink r:id="rId125">
              <w:r>
                <w:rPr>
                  <w:rFonts w:ascii="Times New Roman" w:cs="Times New Roman" w:eastAsia="Times New Roman" w:hAnsi="Times New Roman"/>
                  <w:sz w:val="18"/>
                  <w:szCs w:val="18"/>
                  <w:color w:val="0000FF"/>
                  <w:highlight w:val="white"/>
                </w:rPr>
                <w:t>(predecessor–in-interest to Northrop Grumman Systems Corporation); The Bank of New York Mellon, as successor trustee;</w:t>
              </w:r>
            </w:hyperlink>
          </w:p>
        </w:tc>
      </w:tr>
      <w:tr>
        <w:trPr>
          <w:trHeight w:val="20"/>
        </w:trPr>
        <w:tc>
          <w:tcPr>
            <w:tcW w:w="10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780" w:right="20"/>
        <w:spacing w:after="0" w:line="226" w:lineRule="auto"/>
        <w:rPr>
          <w:rFonts w:ascii="Times New Roman" w:cs="Times New Roman" w:eastAsia="Times New Roman" w:hAnsi="Times New Roman"/>
          <w:sz w:val="18"/>
          <w:szCs w:val="18"/>
          <w:u w:val="single" w:color="auto"/>
          <w:color w:val="0000FF"/>
          <w:highlight w:val="white"/>
        </w:rPr>
      </w:pPr>
      <w:hyperlink r:id="rId125">
        <w:r>
          <w:rPr>
            <w:rFonts w:ascii="Times New Roman" w:cs="Times New Roman" w:eastAsia="Times New Roman" w:hAnsi="Times New Roman"/>
            <w:sz w:val="18"/>
            <w:szCs w:val="18"/>
            <w:color w:val="0000FF"/>
            <w:highlight w:val="white"/>
          </w:rPr>
          <w:t>Northrop Grumman Corporation; and Northrop Grumman Systems Corporation (incorpor</w:t>
        </w:r>
        <w:r>
          <w:rPr>
            <w:rFonts w:ascii="Times New Roman" w:cs="Times New Roman" w:eastAsia="Times New Roman" w:hAnsi="Times New Roman"/>
            <w:sz w:val="18"/>
            <w:szCs w:val="18"/>
            <w:u w:val="single" w:color="auto"/>
            <w:color w:val="0000FF"/>
            <w:highlight w:val="white"/>
          </w:rPr>
          <w:t>ated by reference to Exhibit 4(p) to Form</w:t>
        </w:r>
      </w:hyperlink>
      <w:r>
        <w:rPr>
          <w:rFonts w:ascii="Times New Roman" w:cs="Times New Roman" w:eastAsia="Times New Roman" w:hAnsi="Times New Roman"/>
          <w:sz w:val="18"/>
          <w:szCs w:val="18"/>
          <w:color w:val="0000FF"/>
          <w:highlight w:val="white"/>
        </w:rPr>
        <w:t xml:space="preserve"> </w:t>
      </w:r>
      <w:hyperlink r:id="rId125">
        <w:r>
          <w:rPr>
            <w:rFonts w:ascii="Times New Roman" w:cs="Times New Roman" w:eastAsia="Times New Roman" w:hAnsi="Times New Roman"/>
            <w:sz w:val="18"/>
            <w:szCs w:val="18"/>
            <w:u w:val="single" w:color="auto"/>
            <w:color w:val="0000FF"/>
            <w:highlight w:val="white"/>
          </w:rPr>
          <w:t>10-K for the year ended December 31, 2009, filed February 9, 2010, File No. 001-16411)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Tenth Supplemental Indenture dated as of March 30, 2011, by and among Northrop Grumman Systems Corporation (successor-in-</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040" w:type="dxa"/>
            <w:vAlign w:val="bottom"/>
            <w:tcBorders>
              <w:bottom w:val="single" w:sz="8" w:color="0000FF"/>
            </w:tcBorders>
            <w:gridSpan w:val="21"/>
          </w:tcPr>
          <w:p>
            <w:pPr>
              <w:spacing w:after="0" w:line="156" w:lineRule="exact"/>
              <w:rPr>
                <w:rFonts w:ascii="Times New Roman" w:cs="Times New Roman" w:eastAsia="Times New Roman" w:hAnsi="Times New Roman"/>
                <w:sz w:val="18"/>
                <w:szCs w:val="18"/>
                <w:color w:val="0000FF"/>
                <w:highlight w:val="white"/>
                <w:w w:val="99"/>
              </w:rPr>
            </w:pPr>
            <w:hyperlink r:id="rId127">
              <w:r>
                <w:rPr>
                  <w:rFonts w:ascii="Times New Roman" w:cs="Times New Roman" w:eastAsia="Times New Roman" w:hAnsi="Times New Roman"/>
                  <w:sz w:val="18"/>
                  <w:szCs w:val="18"/>
                  <w:color w:val="0000FF"/>
                  <w:highlight w:val="white"/>
                  <w:w w:val="99"/>
                </w:rPr>
                <w:t>interest to Northrop Grumman Space &amp; Mission Systems Corp. and TRW, Inc.), The Bank of New York Mellon, as successor</w:t>
              </w:r>
            </w:hyperlink>
          </w:p>
        </w:tc>
        <w:tc>
          <w:tcPr>
            <w:tcW w:w="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520" w:type="dxa"/>
            <w:vAlign w:val="bottom"/>
            <w:gridSpan w:val="42"/>
          </w:tcPr>
          <w:p>
            <w:pPr>
              <w:spacing w:after="0" w:line="169" w:lineRule="exact"/>
              <w:rPr>
                <w:rFonts w:ascii="Times New Roman" w:cs="Times New Roman" w:eastAsia="Times New Roman" w:hAnsi="Times New Roman"/>
                <w:sz w:val="18"/>
                <w:szCs w:val="18"/>
                <w:color w:val="0000FF"/>
                <w:highlight w:val="white"/>
              </w:rPr>
            </w:pPr>
            <w:hyperlink r:id="rId127">
              <w:r>
                <w:rPr>
                  <w:rFonts w:ascii="Times New Roman" w:cs="Times New Roman" w:eastAsia="Times New Roman" w:hAnsi="Times New Roman"/>
                  <w:sz w:val="18"/>
                  <w:szCs w:val="18"/>
                  <w:color w:val="0000FF"/>
                  <w:highlight w:val="white"/>
                </w:rPr>
                <w:t>trustee to JPMorgan Chase Bank and to Mellon Bank, N.A., Titan II Inc. (formerly known as Northrop Grumman Corporation),</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8600" w:type="dxa"/>
            <w:vAlign w:val="bottom"/>
            <w:gridSpan w:val="12"/>
          </w:tcPr>
          <w:p>
            <w:pPr>
              <w:spacing w:after="0" w:line="142" w:lineRule="exact"/>
              <w:rPr>
                <w:rFonts w:ascii="Times New Roman" w:cs="Times New Roman" w:eastAsia="Times New Roman" w:hAnsi="Times New Roman"/>
                <w:sz w:val="16"/>
                <w:szCs w:val="16"/>
                <w:color w:val="0000FF"/>
                <w:highlight w:val="white"/>
              </w:rPr>
            </w:pPr>
            <w:hyperlink r:id="rId127">
              <w:r>
                <w:rPr>
                  <w:rFonts w:ascii="Times New Roman" w:cs="Times New Roman" w:eastAsia="Times New Roman" w:hAnsi="Times New Roman"/>
                  <w:sz w:val="16"/>
                  <w:szCs w:val="16"/>
                  <w:color w:val="0000FF"/>
                  <w:highlight w:val="white"/>
                </w:rPr>
                <w:t>and Titan Holdings II, L.P., to Indenture between TRW Inc. and Mellon Bank, N.A., as trustee, dated as of May 1, 1986</w:t>
              </w:r>
            </w:hyperlink>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gridSpan w:val="3"/>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9520" w:type="dxa"/>
            <w:vAlign w:val="bottom"/>
            <w:gridSpan w:val="42"/>
          </w:tcPr>
          <w:p>
            <w:pPr>
              <w:spacing w:after="0" w:line="189" w:lineRule="exact"/>
              <w:rPr>
                <w:rFonts w:ascii="Times New Roman" w:cs="Times New Roman" w:eastAsia="Times New Roman" w:hAnsi="Times New Roman"/>
                <w:sz w:val="18"/>
                <w:szCs w:val="18"/>
                <w:color w:val="0000FF"/>
                <w:highlight w:val="white"/>
              </w:rPr>
            </w:pPr>
            <w:hyperlink r:id="rId127">
              <w:r>
                <w:rPr>
                  <w:rFonts w:ascii="Times New Roman" w:cs="Times New Roman" w:eastAsia="Times New Roman" w:hAnsi="Times New Roman"/>
                  <w:sz w:val="18"/>
                  <w:szCs w:val="18"/>
                  <w:color w:val="0000FF"/>
                  <w:highlight w:val="white"/>
                </w:rPr>
                <w:t>(incorporated by reference to Exhibit 4.7 to Form 10-Q for the quarter ended March 31, 2011, filed April 27, 2011, File No. 001-</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highlight w:val="white"/>
                <w:w w:val="94"/>
              </w:rPr>
            </w:pPr>
            <w:hyperlink r:id="rId127">
              <w:r>
                <w:rPr>
                  <w:rFonts w:ascii="Times New Roman" w:cs="Times New Roman" w:eastAsia="Times New Roman" w:hAnsi="Times New Roman"/>
                  <w:sz w:val="18"/>
                  <w:szCs w:val="18"/>
                  <w:color w:val="0000FF"/>
                  <w:highlight w:val="white"/>
                  <w:w w:val="94"/>
                </w:rPr>
                <w:t>16411)</w:t>
              </w:r>
            </w:hyperlink>
          </w:p>
        </w:tc>
        <w:tc>
          <w:tcPr>
            <w:tcW w:w="20" w:type="dxa"/>
            <w:vAlign w:val="bottom"/>
            <w:tcBorders>
              <w:top w:val="single" w:sz="8" w:color="0000FF"/>
              <w:bottom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Eleventh Supplemental Indenture dated as of March 30, 2011, by and among Northrop Grumman Systems Corporation (successor-</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260" w:type="dxa"/>
            <w:vAlign w:val="bottom"/>
            <w:gridSpan w:val="28"/>
          </w:tcPr>
          <w:p>
            <w:pPr>
              <w:spacing w:after="0" w:line="156" w:lineRule="exact"/>
              <w:rPr>
                <w:rFonts w:ascii="Times New Roman" w:cs="Times New Roman" w:eastAsia="Times New Roman" w:hAnsi="Times New Roman"/>
                <w:sz w:val="18"/>
                <w:szCs w:val="18"/>
                <w:color w:val="0000FF"/>
                <w:highlight w:val="white"/>
              </w:rPr>
            </w:pPr>
            <w:hyperlink r:id="rId128">
              <w:r>
                <w:rPr>
                  <w:rFonts w:ascii="Times New Roman" w:cs="Times New Roman" w:eastAsia="Times New Roman" w:hAnsi="Times New Roman"/>
                  <w:sz w:val="18"/>
                  <w:szCs w:val="18"/>
                  <w:color w:val="0000FF"/>
                  <w:highlight w:val="white"/>
                </w:rPr>
                <w:t>in-interest to Northrop Grumman Space &amp; Mission Systems Corp. and TRW Inc.), The Bank of New York Mellon, as successor</w:t>
              </w:r>
            </w:hyperlink>
          </w:p>
        </w:tc>
        <w:tc>
          <w:tcPr>
            <w:tcW w:w="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720" w:type="dxa"/>
            <w:vAlign w:val="bottom"/>
            <w:tcBorders>
              <w:bottom w:val="single" w:sz="8" w:color="0000FF"/>
            </w:tcBorders>
            <w:gridSpan w:val="14"/>
          </w:tcPr>
          <w:p>
            <w:pPr>
              <w:spacing w:after="0" w:line="156" w:lineRule="exact"/>
              <w:rPr>
                <w:rFonts w:ascii="Times New Roman" w:cs="Times New Roman" w:eastAsia="Times New Roman" w:hAnsi="Times New Roman"/>
                <w:sz w:val="18"/>
                <w:szCs w:val="18"/>
                <w:color w:val="0000FF"/>
                <w:highlight w:val="white"/>
                <w:w w:val="99"/>
              </w:rPr>
            </w:pPr>
            <w:hyperlink r:id="rId128">
              <w:r>
                <w:rPr>
                  <w:rFonts w:ascii="Times New Roman" w:cs="Times New Roman" w:eastAsia="Times New Roman" w:hAnsi="Times New Roman"/>
                  <w:sz w:val="18"/>
                  <w:szCs w:val="18"/>
                  <w:color w:val="0000FF"/>
                  <w:highlight w:val="white"/>
                  <w:w w:val="99"/>
                </w:rPr>
                <w:t>trustee to JPMorgan Chase Bank and to Mellon Bank, N.A., Titan Holdings II, L.P., and Northrop Grumman Corporation</w:t>
              </w:r>
            </w:hyperlink>
          </w:p>
        </w:tc>
        <w:tc>
          <w:tcPr>
            <w:tcW w:w="20" w:type="dxa"/>
            <w:vAlign w:val="bottom"/>
            <w:tcBorders>
              <w:top w:val="single" w:sz="8" w:color="0000FF"/>
              <w:bottom w:val="single" w:sz="8" w:color="0000FF"/>
            </w:tcBorders>
          </w:tcPr>
          <w:p>
            <w:pPr>
              <w:spacing w:after="0"/>
              <w:rPr>
                <w:sz w:val="13"/>
                <w:szCs w:val="13"/>
                <w:color w:val="auto"/>
              </w:rPr>
            </w:pPr>
          </w:p>
        </w:tc>
        <w:tc>
          <w:tcPr>
            <w:tcW w:w="420" w:type="dxa"/>
            <w:vAlign w:val="bottom"/>
            <w:tcBorders>
              <w:top w:val="single" w:sz="8" w:color="0000FF"/>
              <w:bottom w:val="single" w:sz="8" w:color="0000FF"/>
            </w:tcBorders>
            <w:gridSpan w:val="8"/>
            <w:vMerge w:val="restart"/>
          </w:tcPr>
          <w:p>
            <w:pPr>
              <w:jc w:val="right"/>
              <w:ind w:right="160"/>
              <w:spacing w:after="0"/>
              <w:rPr>
                <w:rFonts w:ascii="Times New Roman" w:cs="Times New Roman" w:eastAsia="Times New Roman" w:hAnsi="Times New Roman"/>
                <w:sz w:val="17"/>
                <w:szCs w:val="17"/>
                <w:color w:val="0000FF"/>
                <w:highlight w:val="white"/>
                <w:w w:val="70"/>
              </w:rPr>
            </w:pPr>
            <w:hyperlink r:id="rId128">
              <w:r>
                <w:rPr>
                  <w:rFonts w:ascii="Times New Roman" w:cs="Times New Roman" w:eastAsia="Times New Roman" w:hAnsi="Times New Roman"/>
                  <w:sz w:val="17"/>
                  <w:szCs w:val="17"/>
                  <w:color w:val="0000FF"/>
                  <w:highlight w:val="white"/>
                  <w:w w:val="70"/>
                </w:rPr>
                <w:t>1986</w:t>
              </w:r>
            </w:hyperlink>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8740" w:type="dxa"/>
            <w:vAlign w:val="bottom"/>
            <w:gridSpan w:val="15"/>
          </w:tcPr>
          <w:p>
            <w:pPr>
              <w:spacing w:after="0" w:line="156" w:lineRule="exact"/>
              <w:rPr>
                <w:rFonts w:ascii="Times New Roman" w:cs="Times New Roman" w:eastAsia="Times New Roman" w:hAnsi="Times New Roman"/>
                <w:sz w:val="18"/>
                <w:szCs w:val="18"/>
                <w:color w:val="0000FF"/>
                <w:highlight w:val="white"/>
              </w:rPr>
            </w:pPr>
            <w:hyperlink r:id="rId128">
              <w:r>
                <w:rPr>
                  <w:rFonts w:ascii="Times New Roman" w:cs="Times New Roman" w:eastAsia="Times New Roman" w:hAnsi="Times New Roman"/>
                  <w:sz w:val="18"/>
                  <w:szCs w:val="18"/>
                  <w:color w:val="0000FF"/>
                  <w:highlight w:val="white"/>
                </w:rPr>
                <w:t>(formerly known as New P, Inc.) to Indenture between TRW Inc. and Mellon Bank, N.A., as trustee, dated as of May 1,</w:t>
              </w:r>
            </w:hyperlink>
          </w:p>
        </w:tc>
        <w:tc>
          <w:tcPr>
            <w:tcW w:w="42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9520" w:type="dxa"/>
            <w:vAlign w:val="bottom"/>
            <w:gridSpan w:val="42"/>
          </w:tcPr>
          <w:p>
            <w:pPr>
              <w:spacing w:after="0" w:line="189" w:lineRule="exact"/>
              <w:rPr>
                <w:rFonts w:ascii="Times New Roman" w:cs="Times New Roman" w:eastAsia="Times New Roman" w:hAnsi="Times New Roman"/>
                <w:sz w:val="18"/>
                <w:szCs w:val="18"/>
                <w:color w:val="0000FF"/>
                <w:highlight w:val="white"/>
              </w:rPr>
            </w:pPr>
            <w:hyperlink r:id="rId128">
              <w:r>
                <w:rPr>
                  <w:rFonts w:ascii="Times New Roman" w:cs="Times New Roman" w:eastAsia="Times New Roman" w:hAnsi="Times New Roman"/>
                  <w:sz w:val="18"/>
                  <w:szCs w:val="18"/>
                  <w:color w:val="0000FF"/>
                  <w:highlight w:val="white"/>
                </w:rPr>
                <w:t>(incorporated by reference to Exhibit 4.8 to Form 10-Q for the quarter ended March 31, 2011, filed April 27, 2011, File No. 001-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highlight w:val="white"/>
                <w:w w:val="94"/>
              </w:rPr>
            </w:pPr>
            <w:hyperlink r:id="rId128">
              <w:r>
                <w:rPr>
                  <w:rFonts w:ascii="Times New Roman" w:cs="Times New Roman" w:eastAsia="Times New Roman" w:hAnsi="Times New Roman"/>
                  <w:sz w:val="18"/>
                  <w:szCs w:val="18"/>
                  <w:color w:val="0000FF"/>
                  <w:highlight w:val="white"/>
                  <w:w w:val="94"/>
                </w:rPr>
                <w:t>16411)</w:t>
              </w:r>
            </w:hyperlink>
          </w:p>
        </w:tc>
        <w:tc>
          <w:tcPr>
            <w:tcW w:w="20" w:type="dxa"/>
            <w:vAlign w:val="bottom"/>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Twelfth Supplemental Indenture, dated as of August 25, 2021, to the Indenture dated as of May 1, 1986, by and among Northrop</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9520" w:type="dxa"/>
            <w:vAlign w:val="bottom"/>
            <w:gridSpan w:val="42"/>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Grumman Systems Corporation, Northrop Grumman Corporation and The Bank of New York Mellon, as trustee (incorporated by</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reference to Exhibit 4.1 to Form 8-K filed August 27, 2021, File No. 001-16411)</w:t>
              </w:r>
            </w:hyperlink>
          </w:p>
        </w:tc>
        <w:tc>
          <w:tcPr>
            <w:tcW w:w="3520" w:type="dxa"/>
            <w:vAlign w:val="bottom"/>
            <w:tcBorders>
              <w:top w:val="single" w:sz="8" w:color="0000FF"/>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Thirteenth Supplemental Indenture, dated as of August 25, 2021, to the Indenture dated as of May 1, 1986, by and among</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876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Northrop Grumman Systems Corporation, Northrop Grumman Corporation and The Bank of New York Mellon, as trustee</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060" w:type="dxa"/>
            <w:vAlign w:val="bottom"/>
            <w:tcBorders>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(incorporated by reference to Exhibit 4.2 to Form 8-K filed August 27, 2021, File No. 001-16411)</w:t>
              </w:r>
            </w:hyperlink>
          </w:p>
        </w:tc>
        <w:tc>
          <w:tcPr>
            <w:tcW w:w="17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Indenture dated as of November 21, 2001, between Northrop Grumman Corporation and JPMorgan Chase Bank, as trustee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730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highlight w:val="white"/>
                <w:w w:val="99"/>
              </w:rPr>
            </w:pPr>
            <w:hyperlink r:id="rId131">
              <w:r>
                <w:rPr>
                  <w:rFonts w:ascii="Times New Roman" w:cs="Times New Roman" w:eastAsia="Times New Roman" w:hAnsi="Times New Roman"/>
                  <w:sz w:val="18"/>
                  <w:szCs w:val="18"/>
                  <w:color w:val="0000FF"/>
                  <w:highlight w:val="white"/>
                  <w:w w:val="99"/>
                </w:rPr>
                <w:t>(incorporated by reference to Exhibit 4.1 to Form 8-K filed November 21, 2001, File No. 001-16411)</w:t>
              </w:r>
            </w:hyperlink>
          </w:p>
        </w:tc>
        <w:tc>
          <w:tcPr>
            <w:tcW w:w="20" w:type="dxa"/>
            <w:vAlign w:val="bottom"/>
          </w:tcPr>
          <w:p>
            <w:pPr>
              <w:spacing w:after="0"/>
              <w:rPr>
                <w:sz w:val="13"/>
                <w:szCs w:val="13"/>
                <w:color w:val="auto"/>
              </w:rPr>
            </w:pPr>
          </w:p>
        </w:tc>
        <w:tc>
          <w:tcPr>
            <w:tcW w:w="130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w:t>
            </w:r>
          </w:p>
        </w:tc>
        <w:tc>
          <w:tcPr>
            <w:tcW w:w="92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Second Supplemental Indenture dated as of November 8, 2010, between Northrop Grumman Corporation and The Bank of New</w:t>
              </w:r>
            </w:hyperlink>
          </w:p>
        </w:tc>
        <w:tc>
          <w:tcPr>
            <w:tcW w:w="2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520" w:type="dxa"/>
            <w:vAlign w:val="bottom"/>
            <w:gridSpan w:val="42"/>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York Mellon, as successor trustee, to Indenture dated as of November 21, 2001 (incorporated by reference to Exhibit 4(a) to Form</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8-K filed November 8, 2010, File No. 001-16411)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Northrop Grumman Corporation’s 5.050% Senior Note due 2040 (incorporated by reference to Exhibit C to Exhibit 4(a)</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to Form 8-K filed November 8, 2010, File No. 001-16411)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Third Supplemental Indenture dated as of March 30, 2011, by and among Titan II, Inc. (formerly known as Northrop Grumman</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Corporation), The Bank of New York Mellon, as successor trustee to JPMorgan Chase Bank, and Titan Holdings II, L.P., to</w:t>
              </w:r>
            </w:hyperlink>
          </w:p>
        </w:tc>
        <w:tc>
          <w:tcPr>
            <w:tcW w:w="40" w:type="dxa"/>
            <w:vAlign w:val="bottom"/>
            <w:gridSpan w:val="2"/>
          </w:tcPr>
          <w:p>
            <w:pPr>
              <w:spacing w:after="0"/>
              <w:rPr>
                <w:sz w:val="13"/>
                <w:szCs w:val="13"/>
                <w:color w:val="auto"/>
              </w:rPr>
            </w:pPr>
          </w:p>
        </w:tc>
        <w:tc>
          <w:tcPr>
            <w:tcW w:w="10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Indenture dated as of November 21, 2001 between Northrop Grumman Corporation and JPMorgan Chase Bank, as trustee</w:t>
              </w:r>
            </w:hyperlink>
          </w:p>
        </w:tc>
        <w:tc>
          <w:tcPr>
            <w:tcW w:w="80" w:type="dxa"/>
            <w:vAlign w:val="bottom"/>
            <w:tcBorders>
              <w:top w:val="single" w:sz="8" w:color="0000FF"/>
            </w:tcBorders>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520" w:type="dxa"/>
            <w:vAlign w:val="bottom"/>
            <w:gridSpan w:val="42"/>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Exhibit 4.9 to Form 10-Q for the quarter ended March 31, 2011, filed April 27, 2011, File No. 001-</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3">
              <w:r>
                <w:rPr>
                  <w:rFonts w:ascii="Times New Roman" w:cs="Times New Roman" w:eastAsia="Times New Roman" w:hAnsi="Times New Roman"/>
                  <w:sz w:val="18"/>
                  <w:szCs w:val="18"/>
                  <w:color w:val="0000FF"/>
                  <w:w w:val="94"/>
                </w:rPr>
                <w:t>16411)</w:t>
              </w:r>
            </w:hyperlink>
          </w:p>
        </w:tc>
        <w:tc>
          <w:tcPr>
            <w:tcW w:w="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4(x)</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Fourth Supplemental Indenture dated as of March 30, 2011, by and among Titan Holdings II, L.P., The Bank of New York Mellon,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46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as successor trustee to JPMorgan Chase Bank, and Northrop Grumman Corporation (formerly known as New P, Inc.), to Indenture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dated as of November 21, 2001 between Northrop Grumman Corporation and JPMorgan Chase Bank, as trustee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reference to Exhibit 4.10 to Form 10-Q for the quarter ended March 31, 2011, filed April 27, 2011, File No. 001-16411)</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60" w:type="dxa"/>
            <w:vAlign w:val="bottom"/>
            <w:gridSpan w:val="6"/>
            <w:shd w:val="clear" w:color="auto" w:fill="0000F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4(y)</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Fifth Supplemental Indenture, dated as of May 31, 2013, between Northrop Grumman Corporation and The Bank of New York</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1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Mellon, as successor to JPMorgan Chase Bank, Trustee, to Indenture dated as of November 21, 2001 (incorporated by reference</w:t>
              </w:r>
            </w:hyperlink>
          </w:p>
        </w:tc>
        <w:tc>
          <w:tcPr>
            <w:tcW w:w="60" w:type="dxa"/>
            <w:vAlign w:val="bottom"/>
            <w:gridSpan w:val="3"/>
          </w:tcPr>
          <w:p>
            <w:pPr>
              <w:spacing w:after="0"/>
              <w:rPr>
                <w:sz w:val="13"/>
                <w:szCs w:val="13"/>
                <w:color w:val="auto"/>
              </w:rPr>
            </w:pPr>
          </w:p>
        </w:tc>
        <w:tc>
          <w:tcPr>
            <w:tcW w:w="300" w:type="dxa"/>
            <w:vAlign w:val="bottom"/>
            <w:gridSpan w:val="16"/>
          </w:tcPr>
          <w:p>
            <w:pPr>
              <w:ind w:left="40"/>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4(a) to Form 8-K filed May 31, 2013, File No. 001-16411)</w:t>
              </w:r>
            </w:hyperlink>
          </w:p>
        </w:tc>
        <w:tc>
          <w:tcPr>
            <w:tcW w:w="4640" w:type="dxa"/>
            <w:vAlign w:val="bottom"/>
            <w:tcBorders>
              <w:top w:val="single" w:sz="8" w:color="0000FF"/>
            </w:tcBorders>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4(z)</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4.750% Senior Note due 2043 (incorporated by reference to Exhibit C to Exhibit 4(a) to Form 8-K filed May 31, 2013,</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2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File No. 001-16411)</w:t>
              </w:r>
            </w:hyperlink>
          </w:p>
        </w:tc>
        <w:tc>
          <w:tcPr>
            <w:tcW w:w="16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420" w:type="dxa"/>
            <w:vAlign w:val="bottom"/>
            <w:gridSpan w:val="2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4(aa)</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Sixth Supplemental Indenture, dated as of February 6, 2015, between Northrop Grumman Corporation and The Bank of New York</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48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Mellon, as successor to JPMorgan Chase Bank, Trustee, to Indenture dated as of November 21, 2001 (incorporated by reference to</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Exhibit 4.1 to Form 8-K filed February 6, 2015, File No. 001-16411)</w:t>
              </w:r>
            </w:hyperlink>
          </w:p>
        </w:tc>
        <w:tc>
          <w:tcPr>
            <w:tcW w:w="4480" w:type="dxa"/>
            <w:vAlign w:val="bottom"/>
            <w:tcBorders>
              <w:top w:val="single" w:sz="8" w:color="0000FF"/>
            </w:tcBorders>
            <w:gridSpan w:val="3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4(bb)</w:t>
            </w:r>
          </w:p>
        </w:tc>
        <w:tc>
          <w:tcPr>
            <w:tcW w:w="9520" w:type="dxa"/>
            <w:vAlign w:val="bottom"/>
            <w:gridSpan w:val="4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3.850% Senior Note due 2045 (incorporated by reference to Exhibit A to Exhibit 4.1 to Form 8-K filed February 6, 2015,</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File No. 001-16411)</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4(cc)</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Seventh Supplemental Indenture, dated as of December 1, 2016, between Northrop Grumman Corporation and The Bank of New</w:t>
              </w:r>
            </w:hyperlink>
          </w:p>
        </w:tc>
      </w:tr>
      <w:tr>
        <w:trPr>
          <w:trHeight w:val="155"/>
        </w:trPr>
        <w:tc>
          <w:tcPr>
            <w:tcW w:w="1060" w:type="dxa"/>
            <w:vAlign w:val="bottom"/>
          </w:tcPr>
          <w:p>
            <w:pPr>
              <w:spacing w:after="0"/>
              <w:rPr>
                <w:sz w:val="13"/>
                <w:szCs w:val="13"/>
                <w:color w:val="auto"/>
              </w:rPr>
            </w:pPr>
          </w:p>
        </w:tc>
        <w:tc>
          <w:tcPr>
            <w:tcW w:w="93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reference to Exhibit 4.1 to Form 8-K filed December 1, 2016, File No. 001-16411)</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4(dd)</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3.200% Senior Note due 2027 (incorporated by reference to Exhibit A to Exhibit 4.1 to Form 8-K filed December 1,</w:t>
              </w:r>
            </w:hyperlink>
          </w:p>
        </w:tc>
      </w:tr>
      <w:tr>
        <w:trPr>
          <w:trHeight w:val="156"/>
        </w:trPr>
        <w:tc>
          <w:tcPr>
            <w:tcW w:w="10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2016, File No. 001-16411)</w:t>
              </w:r>
            </w:hyperlink>
          </w:p>
        </w:tc>
        <w:tc>
          <w:tcPr>
            <w:tcW w:w="70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4(ee)</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Eighth Supplemental Indenture, dated as of October 13, 2017,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1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reference to Exhibit 4.1 to Form 8-K filed October 13, 2017, File No. 001-16411)</w:t>
              </w:r>
            </w:hyperlink>
          </w:p>
        </w:tc>
        <w:tc>
          <w:tcPr>
            <w:tcW w:w="296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4(ff)</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Ninth Supplemental Indenture, dated as of March 23, 2020, between Northrop Grumman Corporation and The Bank of New York</w:t>
              </w:r>
            </w:hyperlink>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Mellon, as successor to JPMorgan Chase, Trustee, to Indenture dated as of November 21, 2001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89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Exhibit 4.1 to Form 8-K filed March 24, 2020, File No. 001-16411)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4(gg)</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2.930% Senior Note due 2025 (incorporated by reference to Exhibit C to Exhibit 4.1 to Form 8-K filed October 13, 2017,</w:t>
              </w:r>
            </w:hyperlink>
          </w:p>
        </w:tc>
      </w:tr>
      <w:tr>
        <w:trPr>
          <w:trHeight w:val="156"/>
        </w:trPr>
        <w:tc>
          <w:tcPr>
            <w:tcW w:w="106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4(hh)</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3.250% Senior Note due 2028 (incorporated by reference to Exhibit D to Exhibit 4.1 to Form 8-K filed October 13, 2017,</w:t>
              </w:r>
            </w:hyperlink>
          </w:p>
        </w:tc>
      </w:tr>
      <w:tr>
        <w:trPr>
          <w:trHeight w:val="169"/>
        </w:trPr>
        <w:tc>
          <w:tcPr>
            <w:tcW w:w="1060" w:type="dxa"/>
            <w:vAlign w:val="bottom"/>
          </w:tcPr>
          <w:p>
            <w:pPr>
              <w:spacing w:after="0"/>
              <w:rPr>
                <w:sz w:val="14"/>
                <w:szCs w:val="14"/>
                <w:color w:val="auto"/>
              </w:rPr>
            </w:pPr>
          </w:p>
        </w:tc>
        <w:tc>
          <w:tcPr>
            <w:tcW w:w="94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 No. 001-16411)</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4(ii)</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4.030% Senior Note due 2047 (incorporated by reference to Exhibit E to Exhibit 4.1 to Form 8-K filed October 13, 2017,</w:t>
              </w:r>
            </w:hyperlink>
          </w:p>
        </w:tc>
      </w:tr>
      <w:tr>
        <w:trPr>
          <w:trHeight w:val="155"/>
        </w:trPr>
        <w:tc>
          <w:tcPr>
            <w:tcW w:w="106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 No. 001-16411)</w:t>
              </w:r>
            </w:hyperlink>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4(jj)</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4.400% Senior Note due 2030 (incorporated by reference to Exhibit 4.1 to Form 8-K filed March 24, 2020,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0">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4(kk)</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5.150% Senior Note due 2040 (incorporated by reference to Exhibit 4.1 to Form 8-K filed March 24, 2020, File No. 001-</w:t>
              </w:r>
            </w:hyperlink>
          </w:p>
        </w:tc>
      </w:tr>
      <w:tr>
        <w:trPr>
          <w:trHeight w:val="169"/>
        </w:trPr>
        <w:tc>
          <w:tcPr>
            <w:tcW w:w="106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40">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4(ll)</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5.250% Senior Note due 2050 (incorporated by reference to Exhibit 4.1 to Form 8-K filed March 24, 2020, File No. 001-</w:t>
              </w:r>
            </w:hyperlink>
          </w:p>
        </w:tc>
      </w:tr>
      <w:tr>
        <w:trPr>
          <w:trHeight w:val="155"/>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0">
              <w:r>
                <w:rPr>
                  <w:rFonts w:ascii="Times New Roman" w:cs="Times New Roman" w:eastAsia="Times New Roman" w:hAnsi="Times New Roman"/>
                  <w:sz w:val="18"/>
                  <w:szCs w:val="18"/>
                  <w:color w:val="0000FF"/>
                  <w:w w:val="94"/>
                </w:rPr>
                <w:t>16411)</w:t>
              </w:r>
            </w:hyperlink>
          </w:p>
        </w:tc>
        <w:tc>
          <w:tcPr>
            <w:tcW w:w="9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4(mm)</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Tenth Supplemental Indenture, dated as of September 2, 2021, between Northrop Grumman Corporation and The Bank of New</w:t>
              </w:r>
            </w:hyperlink>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1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183"/>
        </w:trPr>
        <w:tc>
          <w:tcPr>
            <w:tcW w:w="1060" w:type="dxa"/>
            <w:vAlign w:val="bottom"/>
          </w:tcPr>
          <w:p>
            <w:pPr>
              <w:spacing w:after="0"/>
              <w:rPr>
                <w:sz w:val="15"/>
                <w:szCs w:val="15"/>
                <w:color w:val="auto"/>
              </w:rPr>
            </w:pPr>
          </w:p>
        </w:tc>
        <w:tc>
          <w:tcPr>
            <w:tcW w:w="598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reference to Exhibit 4.1 to Form 8-K filed September 3, 2021, File No. 001-16411)</w:t>
              </w:r>
            </w:hyperlink>
          </w:p>
        </w:tc>
        <w:tc>
          <w:tcPr>
            <w:tcW w:w="2920" w:type="dxa"/>
            <w:vAlign w:val="bottom"/>
            <w:tcBorders>
              <w:top w:val="single" w:sz="8" w:color="0000FF"/>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4(nn)</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7.875% Senior Note due 2026 (incorporated by reference to Exhibit A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2021, File No. 001-16411)</w:t>
              </w:r>
            </w:hyperlink>
          </w:p>
        </w:tc>
        <w:tc>
          <w:tcPr>
            <w:tcW w:w="716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4(oo)</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7.750% Senior Note due 2026 (incorporated by reference to Exhibit B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2021, File No. 001-16411)</w:t>
              </w:r>
            </w:hyperlink>
          </w:p>
        </w:tc>
        <w:tc>
          <w:tcPr>
            <w:tcW w:w="7140" w:type="dxa"/>
            <w:vAlign w:val="bottom"/>
            <w:tcBorders>
              <w:top w:val="single" w:sz="8" w:color="0000FF"/>
            </w:tcBorders>
            <w:gridSpan w:val="11"/>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4(pp)</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6.650% Senior Note due 2028 (incorporated by reference to Exhibit C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2021, File No. 001-16411)</w:t>
              </w:r>
            </w:hyperlink>
          </w:p>
        </w:tc>
        <w:tc>
          <w:tcPr>
            <w:tcW w:w="7140" w:type="dxa"/>
            <w:vAlign w:val="bottom"/>
            <w:tcBorders>
              <w:top w:val="single" w:sz="8" w:color="0000FF"/>
            </w:tcBorders>
            <w:gridSpan w:val="11"/>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4(qq)</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7.750% Senior Note due 2029 (incorporated by reference to Exhibit D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2021, File No. 001-16411)</w:t>
              </w:r>
            </w:hyperlink>
          </w:p>
        </w:tc>
        <w:tc>
          <w:tcPr>
            <w:tcW w:w="716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4(rr)</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7.750% Senior Note due 2031 (incorporated by reference to Exhibit E in Exhibit 4.1 to Form 8-K filed September 3,</w:t>
              </w:r>
            </w:hyperlink>
          </w:p>
        </w:tc>
      </w:tr>
      <w:tr>
        <w:trPr>
          <w:trHeight w:val="183"/>
        </w:trPr>
        <w:tc>
          <w:tcPr>
            <w:tcW w:w="10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2021, File No. 001-16411)</w:t>
              </w:r>
            </w:hyperlink>
          </w:p>
        </w:tc>
        <w:tc>
          <w:tcPr>
            <w:tcW w:w="7120" w:type="dxa"/>
            <w:vAlign w:val="bottom"/>
            <w:tcBorders>
              <w:top w:val="single" w:sz="8" w:color="0000FF"/>
            </w:tcBorders>
            <w:gridSpan w:val="10"/>
          </w:tcPr>
          <w:p>
            <w:pPr>
              <w:spacing w:after="0"/>
              <w:rPr>
                <w:sz w:val="15"/>
                <w:szCs w:val="15"/>
                <w:color w:val="auto"/>
              </w:rPr>
            </w:pPr>
          </w:p>
        </w:tc>
        <w:tc>
          <w:tcPr>
            <w:tcW w:w="8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4(ss)</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6.980% Senior Note due 2036 (incorporated by reference to Exhibit F in Exhibit 4.1 to Form 8-K filed September 3,</w:t>
              </w:r>
            </w:hyperlink>
          </w:p>
        </w:tc>
      </w:tr>
      <w:tr>
        <w:trPr>
          <w:trHeight w:val="169"/>
        </w:trPr>
        <w:tc>
          <w:tcPr>
            <w:tcW w:w="106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2021, File No. 001-16411)</w:t>
              </w:r>
            </w:hyperlink>
          </w:p>
        </w:tc>
        <w:tc>
          <w:tcPr>
            <w:tcW w:w="7100" w:type="dxa"/>
            <w:vAlign w:val="bottom"/>
            <w:tcBorders>
              <w:top w:val="single" w:sz="8" w:color="0000FF"/>
            </w:tcBorders>
            <w:gridSpan w:val="9"/>
          </w:tcPr>
          <w:p>
            <w:pPr>
              <w:spacing w:after="0"/>
              <w:rPr>
                <w:sz w:val="14"/>
                <w:szCs w:val="14"/>
                <w:color w:val="auto"/>
              </w:rPr>
            </w:pPr>
          </w:p>
        </w:tc>
        <w:tc>
          <w:tcPr>
            <w:tcW w:w="10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3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4(tt)</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Description of Securities (incorporated by reference to Exhibit 4(ll) to Form 10-K for the year ended December 31, 2019, filed</w:t>
              </w:r>
            </w:hyperlink>
          </w:p>
        </w:tc>
      </w:tr>
      <w:tr>
        <w:trPr>
          <w:trHeight w:val="169"/>
        </w:trPr>
        <w:tc>
          <w:tcPr>
            <w:tcW w:w="106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January 30, 2020, File No. 001-16411)</w:t>
              </w:r>
            </w:hyperlink>
          </w:p>
        </w:tc>
        <w:tc>
          <w:tcPr>
            <w:tcW w:w="6320" w:type="dxa"/>
            <w:vAlign w:val="bottom"/>
            <w:tcBorders>
              <w:top w:val="single" w:sz="8" w:color="0000FF"/>
            </w:tcBorders>
            <w:gridSpan w:val="12"/>
          </w:tcPr>
          <w:p>
            <w:pPr>
              <w:spacing w:after="0"/>
              <w:rPr>
                <w:sz w:val="14"/>
                <w:szCs w:val="14"/>
                <w:color w:val="auto"/>
              </w:rPr>
            </w:pPr>
          </w:p>
        </w:tc>
        <w:tc>
          <w:tcPr>
            <w:tcW w:w="320" w:type="dxa"/>
            <w:vAlign w:val="bottom"/>
            <w:gridSpan w:val="9"/>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4(uu)</w:t>
            </w:r>
          </w:p>
        </w:tc>
        <w:tc>
          <w:tcPr>
            <w:tcW w:w="9440" w:type="dxa"/>
            <w:vAlign w:val="bottom"/>
            <w:gridSpan w:val="2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Eleventh Supplemental Indenture, dated as of February 8, 2023, between Northrop Grumman Corporation and The Bank of New</w:t>
              </w:r>
            </w:hyperlink>
          </w:p>
        </w:tc>
      </w:tr>
      <w:tr>
        <w:trPr>
          <w:trHeight w:val="156"/>
        </w:trPr>
        <w:tc>
          <w:tcPr>
            <w:tcW w:w="106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York Mellon, as successor to JPMorgan Chase Bank, Trustee, to Indenture dated as of November 21, 2001 (incorporated by</w:t>
              </w:r>
            </w:hyperlink>
          </w:p>
        </w:tc>
        <w:tc>
          <w:tcPr>
            <w:tcW w:w="160" w:type="dxa"/>
            <w:vAlign w:val="bottom"/>
            <w:gridSpan w:val="6"/>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reference to Exhibit 4.1 to Form 8-K filed February 8, 2023, File No. 001-16411)</w:t>
              </w:r>
            </w:hyperlink>
          </w:p>
        </w:tc>
        <w:tc>
          <w:tcPr>
            <w:tcW w:w="3040" w:type="dxa"/>
            <w:vAlign w:val="bottom"/>
            <w:tcBorders>
              <w:top w:val="single" w:sz="8" w:color="0000FF"/>
            </w:tcBorders>
            <w:gridSpan w:val="3"/>
          </w:tcPr>
          <w:p>
            <w:pPr>
              <w:spacing w:after="0"/>
              <w:rPr>
                <w:sz w:val="13"/>
                <w:szCs w:val="13"/>
                <w:color w:val="auto"/>
              </w:rPr>
            </w:pPr>
          </w:p>
        </w:tc>
        <w:tc>
          <w:tcPr>
            <w:tcW w:w="540" w:type="dxa"/>
            <w:vAlign w:val="bottom"/>
            <w:gridSpan w:val="16"/>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4(vv)</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4.700% Senior Note due 2033 (incorporated by reference to Exhibit A included in Exhibit 4.1 to Form 8-K filed February</w:t>
              </w:r>
            </w:hyperlink>
          </w:p>
        </w:tc>
      </w:tr>
      <w:tr>
        <w:trPr>
          <w:trHeight w:val="183"/>
        </w:trPr>
        <w:tc>
          <w:tcPr>
            <w:tcW w:w="10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8, 2023, File No. 001-16411)</w:t>
              </w:r>
            </w:hyperlink>
          </w:p>
        </w:tc>
        <w:tc>
          <w:tcPr>
            <w:tcW w:w="734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4(ww)</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4.950% Senior Note due 2053 (incorporated by reference to Exhibit B included in Exhibit 4.1 to Form 8-K filed February</w:t>
              </w:r>
            </w:hyperlink>
          </w:p>
        </w:tc>
      </w:tr>
      <w:tr>
        <w:trPr>
          <w:trHeight w:val="183"/>
        </w:trPr>
        <w:tc>
          <w:tcPr>
            <w:tcW w:w="10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8, 2023, File No. 001-16411)</w:t>
              </w:r>
            </w:hyperlink>
          </w:p>
        </w:tc>
        <w:tc>
          <w:tcPr>
            <w:tcW w:w="7320" w:type="dxa"/>
            <w:vAlign w:val="bottom"/>
            <w:tcBorders>
              <w:top w:val="single" w:sz="8" w:color="0000FF"/>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10(a)</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Credit Agreement, dated as of August 23, 2022, among Northrop Grumman Corporation, as Borrower; Northrop Grumman</w:t>
              </w:r>
            </w:hyperlink>
          </w:p>
        </w:tc>
      </w:tr>
      <w:tr>
        <w:trPr>
          <w:trHeight w:val="169"/>
        </w:trPr>
        <w:tc>
          <w:tcPr>
            <w:tcW w:w="106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Systems Corporation, as Guarantor; the lenders party thereto and JPMorgan Chase Bank, N.A., as Administrative Agent</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500" w:type="dxa"/>
            <w:vAlign w:val="bottom"/>
            <w:gridSpan w:val="32"/>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to Exhibit 10.1 to Form 8-K filed August 23, 2022, File No. 001-16411)</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10(b)</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Guarantee dated as of April 3, 2001, by Northrop Grumman Corporation of the indenture indebtedness issued by Litton</w:t>
              </w:r>
            </w:hyperlink>
          </w:p>
        </w:tc>
      </w:tr>
      <w:tr>
        <w:trPr>
          <w:trHeight w:val="156"/>
        </w:trPr>
        <w:tc>
          <w:tcPr>
            <w:tcW w:w="106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Industries, Inc. (predecessor-in-interest to Northrop Grumman Systems Corporation) (incorporated by reference to Exhibit 10.10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39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to Form 8-K filed April 17, 2001, File No. 001-16411)</w:t>
              </w:r>
            </w:hyperlink>
          </w:p>
        </w:tc>
        <w:tc>
          <w:tcPr>
            <w:tcW w:w="534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Guarantee dated as of April 3, 2001, by Northrop Grumman Corporation of Northrop Grumman Systems Corporation</w:t>
              </w:r>
            </w:hyperlink>
          </w:p>
        </w:tc>
      </w:tr>
      <w:tr>
        <w:trPr>
          <w:trHeight w:val="155"/>
        </w:trPr>
        <w:tc>
          <w:tcPr>
            <w:tcW w:w="106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indenture indebtedness (incorporated by reference to Exhibit 10.11 to Form 8-K and filed April 17, 2001, File No. 001-16411)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10(d)</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Guarantee dated as of March 27, 2003, by Northrop Grumman Corporation, as Guarantor, in favor of JP Morgan Chase</w:t>
              </w:r>
            </w:hyperlink>
          </w:p>
        </w:tc>
      </w:tr>
      <w:tr>
        <w:trPr>
          <w:trHeight w:val="169"/>
        </w:trPr>
        <w:tc>
          <w:tcPr>
            <w:tcW w:w="1060" w:type="dxa"/>
            <w:vAlign w:val="bottom"/>
          </w:tcPr>
          <w:p>
            <w:pPr>
              <w:spacing w:after="0"/>
              <w:rPr>
                <w:sz w:val="14"/>
                <w:szCs w:val="14"/>
                <w:color w:val="auto"/>
              </w:rPr>
            </w:pPr>
          </w:p>
        </w:tc>
        <w:tc>
          <w:tcPr>
            <w:tcW w:w="92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Bank, as trustee, of certain debt securities issued by the former Northrop Grumman Space &amp; Mission Systems Corp. (predecessor</w:t>
              </w:r>
            </w:hyperlink>
          </w:p>
        </w:tc>
        <w:tc>
          <w:tcPr>
            <w:tcW w:w="240" w:type="dxa"/>
            <w:vAlign w:val="bottom"/>
            <w:gridSpan w:val="11"/>
          </w:tcPr>
          <w:p>
            <w:pPr>
              <w:jc w:val="right"/>
              <w:ind w:right="80"/>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w:t>
              </w:r>
            </w:hyperlink>
          </w:p>
        </w:tc>
        <w:tc>
          <w:tcPr>
            <w:tcW w:w="60" w:type="dxa"/>
            <w:vAlign w:val="bottom"/>
            <w:gridSpan w:val="3"/>
          </w:tcPr>
          <w:p>
            <w:pPr>
              <w:spacing w:after="0"/>
              <w:rPr>
                <w:sz w:val="14"/>
                <w:szCs w:val="14"/>
                <w:color w:val="auto"/>
              </w:rPr>
            </w:pPr>
          </w:p>
        </w:tc>
      </w:tr>
      <w:tr>
        <w:trPr>
          <w:trHeight w:val="156"/>
        </w:trPr>
        <w:tc>
          <w:tcPr>
            <w:tcW w:w="1060" w:type="dxa"/>
            <w:vAlign w:val="bottom"/>
          </w:tcPr>
          <w:p>
            <w:pPr>
              <w:spacing w:after="0"/>
              <w:rPr>
                <w:sz w:val="13"/>
                <w:szCs w:val="13"/>
                <w:color w:val="auto"/>
              </w:rPr>
            </w:pPr>
          </w:p>
        </w:tc>
        <w:tc>
          <w:tcPr>
            <w:tcW w:w="9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in-interest to Northrop Grumman Systems Corporation) (incorporated by reference to Exhibit 4.2 to Form 10-Q for the quarter</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ended March 31, 2003, filed May 14, 2003, File No. 001-16411)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80" w:type="dxa"/>
            <w:vAlign w:val="bottom"/>
            <w:gridSpan w:val="3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First Amendment to Guarantee, dated as of August 25, 2021, to the Guarantee dated as of March 27, 2003, by and among</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Northrop Grumman Systems Corporation, Northrop Grumman Corporation and The Bank of New York Mellon, as trustee</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(incorporated by reference to Exhibit 10.1 to Form 8-K filed August 27, 2021, File No. 001-16411)</w:t>
              </w:r>
            </w:hyperlink>
          </w:p>
        </w:tc>
        <w:tc>
          <w:tcPr>
            <w:tcW w:w="1680" w:type="dxa"/>
            <w:vAlign w:val="bottom"/>
            <w:gridSpan w:val="20"/>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+10(e)</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Northrop Grumman Corporation 1993 Stock Plan for Non-Employee Directors (as Amended and Restated January 1, 2010)</w:t>
              </w:r>
            </w:hyperlink>
          </w:p>
        </w:tc>
      </w:tr>
      <w:tr>
        <w:trPr>
          <w:trHeight w:val="20"/>
        </w:trPr>
        <w:tc>
          <w:tcPr>
            <w:tcW w:w="10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620" w:type="dxa"/>
            <w:vAlign w:val="bottom"/>
            <w:gridSpan w:val="5"/>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520" w:type="dxa"/>
            <w:vAlign w:val="bottom"/>
            <w:gridSpan w:val="3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10.1 to Form 10-Q for the quarter ended June 30, 2009, filed July 23, 2009, File No. 001-</w:t>
              </w:r>
            </w:hyperlink>
          </w:p>
        </w:tc>
      </w:tr>
      <w:tr>
        <w:trPr>
          <w:trHeight w:val="156"/>
        </w:trPr>
        <w:tc>
          <w:tcPr>
            <w:tcW w:w="10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16411)</w:t>
              </w:r>
            </w:hyperlink>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+10(f)</w:t>
            </w:r>
          </w:p>
        </w:tc>
        <w:tc>
          <w:tcPr>
            <w:tcW w:w="9520" w:type="dxa"/>
            <w:vAlign w:val="bottom"/>
            <w:gridSpan w:val="3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2011 Long-Term Incentive Stock Plan (as amended and restated effective as of May 20, 2015)</w:t>
              </w:r>
            </w:hyperlink>
          </w:p>
        </w:tc>
      </w:tr>
      <w:tr>
        <w:trPr>
          <w:trHeight w:val="169"/>
        </w:trPr>
        <w:tc>
          <w:tcPr>
            <w:tcW w:w="1060" w:type="dxa"/>
            <w:vAlign w:val="bottom"/>
          </w:tcPr>
          <w:p>
            <w:pPr>
              <w:spacing w:after="0"/>
              <w:rPr>
                <w:sz w:val="14"/>
                <w:szCs w:val="14"/>
                <w:color w:val="auto"/>
              </w:rPr>
            </w:pPr>
          </w:p>
        </w:tc>
        <w:tc>
          <w:tcPr>
            <w:tcW w:w="85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Appendix B to the Company’s Proxy Statement on Schedule 14A for the 2015 Annual</w:t>
              </w:r>
            </w:hyperlink>
          </w:p>
        </w:tc>
        <w:tc>
          <w:tcPr>
            <w:tcW w:w="1020" w:type="dxa"/>
            <w:vAlign w:val="bottom"/>
            <w:gridSpan w:val="22"/>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Meeting of</w:t>
              </w:r>
            </w:hyperlink>
          </w:p>
        </w:tc>
      </w:tr>
      <w:tr>
        <w:trPr>
          <w:trHeight w:val="155"/>
        </w:trPr>
        <w:tc>
          <w:tcPr>
            <w:tcW w:w="106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Shareholders filed April 6, 2015, File No. 001-16411)</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w:t>
            </w:r>
          </w:p>
        </w:tc>
        <w:tc>
          <w:tcPr>
            <w:tcW w:w="8880" w:type="dxa"/>
            <w:vAlign w:val="bottom"/>
            <w:gridSpan w:val="3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Northrop Grumman Corporation Equity Grant Program for Non-Employee Directors under the Northrop Grumman 2011</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Long-Term Incentive Stock Plan, Amended and Restated Effective as of January 1, 2016 (incorporated by reference to</w:t>
              </w:r>
            </w:hyperlink>
          </w:p>
        </w:tc>
        <w:tc>
          <w:tcPr>
            <w:tcW w:w="160" w:type="dxa"/>
            <w:vAlign w:val="bottom"/>
            <w:gridSpan w:val="8"/>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Exhibit 10.1 to Form 10-Q for the quarter ended September 30, 2015, filed October 28, 2015, File No. 001-16411)</w:t>
              </w:r>
            </w:hyperlink>
          </w:p>
        </w:tc>
        <w:tc>
          <w:tcPr>
            <w:tcW w:w="2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574"/>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880" w:type="dxa"/>
            <w:vAlign w:val="bottom"/>
            <w:gridSpan w:val="3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2020 Restricted Stock Rights Grant Agreement Granted Under the 2011 Long-Term Incentive Stock Plan (incorporated</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by reference to Exhibit 10.1 to Form 10-Q for the quarter ended March 31, 2020, filed April 29, 2020, File No. 001-</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3">
              <w:r>
                <w:rPr>
                  <w:rFonts w:ascii="Times New Roman" w:cs="Times New Roman" w:eastAsia="Times New Roman" w:hAnsi="Times New Roman"/>
                  <w:sz w:val="18"/>
                  <w:szCs w:val="18"/>
                  <w:color w:val="0000FF"/>
                  <w:w w:val="94"/>
                </w:rPr>
                <w:t>16411)</w:t>
              </w:r>
            </w:hyperlink>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8880" w:type="dxa"/>
            <w:vAlign w:val="bottom"/>
            <w:gridSpan w:val="3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2020 Restricted Performance Stock Rights Grant Agreement Granted Under the 2011 Long-Term Incentive Stock Plan</w:t>
              </w:r>
            </w:hyperlink>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20" w:type="dxa"/>
            <w:vAlign w:val="bottom"/>
            <w:gridSpan w:val="9"/>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gridSpan w:val="31"/>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to Exhibit 10.2 to Form 10-Q for the quarter ended March 31, 2020, filed April 29, 2020, File</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No. 001-16411)</w:t>
              </w:r>
            </w:hyperlink>
          </w:p>
        </w:tc>
        <w:tc>
          <w:tcPr>
            <w:tcW w:w="7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8880" w:type="dxa"/>
            <w:vAlign w:val="bottom"/>
            <w:gridSpan w:val="3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2021 Restricted Stock Rights Grant Agreement Granted Under the 2011 Long-Term Incentive Stock Plan (incorporated</w:t>
              </w:r>
            </w:hyperlink>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by reference to Exhibit 10.2 to Form 10-Q for the quarter ended March 31, 2021, filed April 29, 2021, File No. 001-</w:t>
              </w:r>
            </w:hyperlink>
          </w:p>
        </w:tc>
        <w:tc>
          <w:tcPr>
            <w:tcW w:w="8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16411)</w:t>
              </w:r>
            </w:hyperlink>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5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8880" w:type="dxa"/>
            <w:vAlign w:val="bottom"/>
            <w:gridSpan w:val="3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2021 Restricted Performance Stock Rights Grant Agreement Granted Under the 2011 Long-Term Incentive Stock Plan</w:t>
              </w:r>
            </w:hyperlink>
          </w:p>
        </w:tc>
      </w:tr>
      <w:tr>
        <w:trPr>
          <w:trHeight w:val="20"/>
        </w:trPr>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0" w:type="dxa"/>
            <w:vAlign w:val="bottom"/>
            <w:gridSpan w:val="13"/>
            <w:shd w:val="clear" w:color="auto" w:fill="0000FF"/>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80" w:type="dxa"/>
            <w:vAlign w:val="bottom"/>
            <w:gridSpan w:val="31"/>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10.3 to Form 10-Q for the quarter ended March 31, 2021, filed April 29, 2021, File</w:t>
              </w:r>
            </w:hyperlink>
          </w:p>
        </w:tc>
      </w:tr>
      <w:tr>
        <w:trPr>
          <w:trHeight w:val="155"/>
        </w:trPr>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No. 001-16411)</w:t>
              </w:r>
            </w:hyperlink>
          </w:p>
        </w:tc>
        <w:tc>
          <w:tcPr>
            <w:tcW w:w="7560" w:type="dxa"/>
            <w:vAlign w:val="bottom"/>
            <w:tcBorders>
              <w:top w:val="single" w:sz="8" w:color="0000FF"/>
            </w:tcBorders>
            <w:gridSpan w:val="20"/>
          </w:tcPr>
          <w:p>
            <w:pPr>
              <w:spacing w:after="0"/>
              <w:rPr>
                <w:sz w:val="13"/>
                <w:szCs w:val="13"/>
                <w:color w:val="auto"/>
              </w:rPr>
            </w:pPr>
          </w:p>
        </w:tc>
        <w:tc>
          <w:tcPr>
            <w:tcW w:w="180" w:type="dxa"/>
            <w:vAlign w:val="bottom"/>
            <w:gridSpan w:val="9"/>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420" w:right="16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2022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by reference to Exhibit 10.2 to Form 10-Q for the quarter ended March 31, 2022, filed April 28, 2022, File No. 001-</w:t>
        </w:r>
      </w:hyperlink>
      <w:hyperlink r:id="rId158">
        <w:r>
          <w:rPr>
            <w:rFonts w:ascii="Times New Roman" w:cs="Times New Roman" w:eastAsia="Times New Roman" w:hAnsi="Times New Roman"/>
            <w:sz w:val="18"/>
            <w:szCs w:val="18"/>
            <w:u w:val="single" w:color="auto"/>
            <w:color w:val="0000FF"/>
          </w:rPr>
          <w:t>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80" w:hanging="639"/>
        <w:spacing w:after="0" w:line="226"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2022 Restricted Performance Stock Rights Grant Agreement Granted Under the 2011 Long-Term Incentive Stock Plan</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(incorporated by reference to Exhibit 10.3 to Form 10-Q for the quarter ended March 31, 2022, filed April 28, 2022, File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6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2023 Restricted Stock Rights Grant Agreement Granted Under the 2011 Long-Term Incentive Stock Plan (incorporated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by reference to Exhibit 10.1 to Form 10-Q for the quarter ended March 31, 2023, filed April 26, 2023, File No. 001-</w:t>
        </w:r>
      </w:hyperlink>
      <w:hyperlink r:id="rId160">
        <w:r>
          <w:rPr>
            <w:rFonts w:ascii="Times New Roman" w:cs="Times New Roman" w:eastAsia="Times New Roman" w:hAnsi="Times New Roman"/>
            <w:sz w:val="18"/>
            <w:szCs w:val="18"/>
            <w:u w:val="single" w:color="auto"/>
            <w:color w:val="0000FF"/>
          </w:rPr>
          <w:t>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80" w:hanging="639"/>
        <w:spacing w:after="0" w:line="231" w:lineRule="auto"/>
        <w:tabs>
          <w:tab w:leader="none" w:pos="2420" w:val="left"/>
        </w:tabs>
        <w:numPr>
          <w:ilvl w:val="0"/>
          <w:numId w:val="42"/>
        </w:numPr>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2023 Restricted Performance Stock Rights Grant Agreement Granted Under the 2011 Long-Term Incentive Stock Plan</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(incorporated by reference to Exhibit 10.2 to Form 10-Q for the quarter ended March 31, 2023, filed April 26, 2023, File</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No. 001-16411)</w:t>
        </w:r>
      </w:hyperlink>
    </w:p>
    <w:p>
      <w:pPr>
        <w:spacing w:after="0" w:line="105" w:lineRule="exact"/>
        <w:rPr>
          <w:rFonts w:ascii="Times New Roman" w:cs="Times New Roman" w:eastAsia="Times New Roman" w:hAnsi="Times New Roman"/>
          <w:sz w:val="18"/>
          <w:szCs w:val="18"/>
          <w:u w:val="single" w:color="auto"/>
          <w:color w:val="0000FF"/>
        </w:rPr>
      </w:pPr>
    </w:p>
    <w:tbl>
      <w:tblPr>
        <w:tblLayout w:type="fixed"/>
        <w:tblInd w:w="16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Special 2023 Restricted Stock Rights Grant Agreement Granted to Roshan Roeder Under the 2011 Long-Term Incentive</w:t>
            </w:r>
          </w:p>
        </w:tc>
      </w:tr>
      <w:tr>
        <w:trPr>
          <w:trHeight w:val="156"/>
        </w:trPr>
        <w:tc>
          <w:tcPr>
            <w:tcW w:w="78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Stock Plan</w:t>
            </w:r>
          </w:p>
        </w:tc>
        <w:tc>
          <w:tcPr>
            <w:tcW w:w="78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144" w:lineRule="exact"/>
        <w:rPr>
          <w:rFonts w:ascii="Times New Roman" w:cs="Times New Roman" w:eastAsia="Times New Roman" w:hAnsi="Times New Roman"/>
          <w:sz w:val="18"/>
          <w:szCs w:val="18"/>
          <w:u w:val="single" w:color="auto"/>
          <w:color w:val="0000FF"/>
        </w:rPr>
      </w:pPr>
    </w:p>
    <w:p>
      <w:pPr>
        <w:ind w:left="720"/>
        <w:spacing w:after="0"/>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+10(g)</w:t>
      </w:r>
      <w:r>
        <w:rPr>
          <w:sz w:val="20"/>
          <w:szCs w:val="20"/>
          <w:color w:val="auto"/>
        </w:rPr>
        <w:tab/>
      </w:r>
      <w:hyperlink r:id="rId162">
        <w:r>
          <w:rPr>
            <w:rFonts w:ascii="Times New Roman" w:cs="Times New Roman" w:eastAsia="Times New Roman" w:hAnsi="Times New Roman"/>
            <w:sz w:val="17"/>
            <w:szCs w:val="17"/>
            <w:u w:val="single" w:color="auto"/>
            <w:color w:val="0000FF"/>
          </w:rPr>
          <w:t>Northrop Grumman 2011 Long-Term Incentive Stock Plan (As Amended Through December 4, 2014) (incorporated by reference</w:t>
        </w:r>
      </w:hyperlink>
    </w:p>
    <w:p>
      <w:pPr>
        <w:spacing w:after="0" w:line="2" w:lineRule="exact"/>
        <w:rPr>
          <w:rFonts w:ascii="Times New Roman" w:cs="Times New Roman" w:eastAsia="Times New Roman" w:hAnsi="Times New Roman"/>
          <w:sz w:val="18"/>
          <w:szCs w:val="18"/>
          <w:u w:val="single" w:color="auto"/>
          <w:color w:val="0000FF"/>
        </w:rPr>
      </w:pPr>
    </w:p>
    <w:p>
      <w:pPr>
        <w:ind w:left="178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to Exhibit 10(h) to Form 10-K for the year ended December 31, 2014, filed February 2, 2015, File No. 001-16411)</w:t>
        </w:r>
      </w:hyperlink>
    </w:p>
    <w:p>
      <w:pPr>
        <w:spacing w:after="0" w:line="219" w:lineRule="exact"/>
        <w:rPr>
          <w:rFonts w:ascii="Times New Roman" w:cs="Times New Roman" w:eastAsia="Times New Roman" w:hAnsi="Times New Roman"/>
          <w:sz w:val="18"/>
          <w:szCs w:val="18"/>
          <w:u w:val="single" w:color="auto"/>
          <w:color w:val="0000FF"/>
        </w:rPr>
      </w:pPr>
    </w:p>
    <w:p>
      <w:pPr>
        <w:ind w:left="2420" w:right="60" w:hanging="639"/>
        <w:spacing w:after="0" w:line="182" w:lineRule="auto"/>
        <w:tabs>
          <w:tab w:leader="none" w:pos="2420" w:val="left"/>
        </w:tabs>
        <w:numPr>
          <w:ilvl w:val="0"/>
          <w:numId w:val="43"/>
        </w:numPr>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Summary of Non-Employee Director Award Terms Under the 2011 Long-Term Incentive Stock Plan effective December</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21, 2011 (incorporated by reference to Exhibit 10(j)(ii) to Form 10-K for the year ended December 31, 2011, filed</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February 8, 2012, File No. 001-16411)</w:t>
        </w:r>
      </w:hyperlink>
    </w:p>
    <w:p>
      <w:pPr>
        <w:spacing w:after="0" w:line="131" w:lineRule="exact"/>
        <w:rPr>
          <w:rFonts w:ascii="Times New Roman" w:cs="Times New Roman" w:eastAsia="Times New Roman" w:hAnsi="Times New Roman"/>
          <w:sz w:val="17"/>
          <w:szCs w:val="17"/>
          <w:u w:val="single" w:color="auto"/>
          <w:color w:val="0000FF"/>
        </w:rPr>
      </w:pPr>
    </w:p>
    <w:p>
      <w:pPr>
        <w:jc w:val="both"/>
        <w:ind w:left="2420" w:right="60" w:hanging="639"/>
        <w:spacing w:after="0" w:line="226" w:lineRule="auto"/>
        <w:tabs>
          <w:tab w:leader="none" w:pos="2420" w:val="left"/>
        </w:tabs>
        <w:numPr>
          <w:ilvl w:val="0"/>
          <w:numId w:val="43"/>
        </w:numPr>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Northrop Grumman Corporation Equity Grant Program for Non-Employee Directors under the Northrop Grumman 2011</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Long-Term Incentive Stock Plan, Amended and Restated Effective January 1, 2015 (incorporated by reference to Exhibit</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10(h)(ii) to Form 10-K for the year ended December 31, 2014, filed February 2, 2015, File No. 001-16411)</w:t>
        </w:r>
      </w:hyperlink>
    </w:p>
    <w:p>
      <w:pPr>
        <w:spacing w:after="0" w:line="117" w:lineRule="exact"/>
        <w:rPr>
          <w:rFonts w:ascii="Times New Roman" w:cs="Times New Roman" w:eastAsia="Times New Roman" w:hAnsi="Times New Roman"/>
          <w:sz w:val="18"/>
          <w:szCs w:val="18"/>
          <w:u w:val="single" w:color="auto"/>
          <w:color w:val="0000FF"/>
        </w:rPr>
      </w:pPr>
    </w:p>
    <w:p>
      <w:pPr>
        <w:jc w:val="center"/>
        <w:ind w:left="860" w:right="180"/>
        <w:spacing w:after="0" w:line="25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+10(h)</w:t>
      </w:r>
      <w:r>
        <w:rPr>
          <w:rFonts w:ascii="Times New Roman" w:cs="Times New Roman" w:eastAsia="Times New Roman" w:hAnsi="Times New Roman"/>
          <w:sz w:val="18"/>
          <w:szCs w:val="18"/>
          <w:color w:val="FFFFFF"/>
        </w:rPr>
        <w:t xml:space="preserve">      </w:t>
      </w:r>
      <w:hyperlink r:id="rId165">
        <w:r>
          <w:rPr>
            <w:rFonts w:ascii="Times New Roman" w:cs="Times New Roman" w:eastAsia="Times New Roman" w:hAnsi="Times New Roman"/>
            <w:sz w:val="18"/>
            <w:szCs w:val="18"/>
            <w:u w:val="single" w:color="auto"/>
            <w:color w:val="0000FF"/>
          </w:rPr>
          <w:t>Northrop Grumman Supplemental Plan 2 (Amended and Restated Effective as of January 1, 2014) (incorporated by reference to</w:t>
        </w:r>
      </w:hyperlink>
      <w:r>
        <w:rPr>
          <w:rFonts w:ascii="Times New Roman" w:cs="Times New Roman" w:eastAsia="Times New Roman" w:hAnsi="Times New Roman"/>
          <w:sz w:val="18"/>
          <w:szCs w:val="18"/>
          <w:color w:val="FFFFFF"/>
        </w:rPr>
        <w:t xml:space="preserve"> </w:t>
      </w:r>
      <w:hyperlink r:id="rId165">
        <w:r>
          <w:rPr>
            <w:rFonts w:ascii="Times New Roman" w:cs="Times New Roman" w:eastAsia="Times New Roman" w:hAnsi="Times New Roman"/>
            <w:sz w:val="18"/>
            <w:szCs w:val="18"/>
            <w:u w:val="single" w:color="auto"/>
            <w:color w:val="0000FF"/>
          </w:rPr>
          <w:t>Exhibit 10(l) to Form 10-K for the year ended December 31, 2013, Filed February 3, 2014, File No. 001-16411)</w:t>
        </w:r>
      </w:hyperlink>
    </w:p>
    <w:p>
      <w:pPr>
        <w:spacing w:after="0" w:line="109" w:lineRule="exact"/>
        <w:rPr>
          <w:sz w:val="20"/>
          <w:szCs w:val="20"/>
          <w:color w:val="auto"/>
        </w:rPr>
      </w:pPr>
    </w:p>
    <w:p>
      <w:pPr>
        <w:ind w:left="2420" w:right="20" w:hanging="639"/>
        <w:spacing w:after="0" w:line="231" w:lineRule="auto"/>
        <w:tabs>
          <w:tab w:leader="none" w:pos="2420" w:val="left"/>
        </w:tabs>
        <w:numPr>
          <w:ilvl w:val="0"/>
          <w:numId w:val="44"/>
        </w:numPr>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Appendix B to the Northrop Grumman Supplemental Plan 2: ERISA Supplemental Program 2 (Amended and Restated</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Effective as of January 1, 2014) (incorporated by reference to Exhibit 10(l)(i) to Form 10-K for the year ended December</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31, 2013, filed February 3, 2014,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hanging="639"/>
        <w:spacing w:after="0" w:line="226" w:lineRule="auto"/>
        <w:tabs>
          <w:tab w:leader="none" w:pos="2420" w:val="left"/>
        </w:tabs>
        <w:numPr>
          <w:ilvl w:val="0"/>
          <w:numId w:val="44"/>
        </w:numPr>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Appendix G to the Northrop Grumman Supplemental Plan 2: Officers Supplemental Executive Retirement Program</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(Amended and Restated Effective as of January 1, 2012) (incorporated by reference to Exhibit 10(k)(iv) to Form 10-K for</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the year ended December 31, 2011, filed February 8, 2012,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hanging="639"/>
        <w:spacing w:after="0" w:line="231" w:lineRule="auto"/>
        <w:tabs>
          <w:tab w:leader="none" w:pos="2420" w:val="left"/>
        </w:tabs>
        <w:numPr>
          <w:ilvl w:val="0"/>
          <w:numId w:val="44"/>
        </w:numPr>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Appendix I to the Northrop Grumman Supplemental Plan 2: Officers Supplemental Executive Retirement Program II</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(Amended and Restated January 1, 2014) (incorporated by reference to Exhibit 10(k)(iv) to Form 10-K for the year ended</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December 31, 2015, filed February 1, 2016,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60" w:hanging="639"/>
        <w:spacing w:after="0" w:line="231" w:lineRule="auto"/>
        <w:tabs>
          <w:tab w:leader="none" w:pos="2420" w:val="left"/>
        </w:tabs>
        <w:numPr>
          <w:ilvl w:val="0"/>
          <w:numId w:val="44"/>
        </w:numPr>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First Amendment to the Northrop Grumman Supplemental Plan 2, dated December 20, 2017 (Effective as of December</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31, 2017) (incorporated by reference to Exhibit 10(j)(v) to Form 10-K for the year ended December 31, 2017, filed</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January 29, 2018, File No. 001-16411)</w:t>
        </w:r>
      </w:hyperlink>
    </w:p>
    <w:p>
      <w:pPr>
        <w:spacing w:after="0" w:line="212" w:lineRule="exact"/>
        <w:rPr>
          <w:rFonts w:ascii="Times New Roman" w:cs="Times New Roman" w:eastAsia="Times New Roman" w:hAnsi="Times New Roman"/>
          <w:sz w:val="18"/>
          <w:szCs w:val="18"/>
          <w:u w:val="single" w:color="auto"/>
          <w:color w:val="0000FF"/>
        </w:rPr>
      </w:pPr>
    </w:p>
    <w:p>
      <w:pPr>
        <w:ind w:left="2420" w:right="220" w:hanging="639"/>
        <w:spacing w:after="0" w:line="226" w:lineRule="auto"/>
        <w:tabs>
          <w:tab w:leader="none" w:pos="2420" w:val="left"/>
        </w:tabs>
        <w:numPr>
          <w:ilvl w:val="0"/>
          <w:numId w:val="44"/>
        </w:numPr>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First Amendment to Appendix F to the Northrop Grumman Supplemental Plan 2, CPC Supplemental Executive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Retirement Program, effective December 30, 2019 (incorporated by reference to Exhibit 10(h)(v) to Form 10-K for the</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year ended December 31, 2019, filed January 30, 2020, File No. 001-16411)</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3"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80" w:right="120" w:hanging="1066"/>
        <w:spacing w:after="0" w:line="236" w:lineRule="auto"/>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+10(i)</w:t>
      </w:r>
      <w:r>
        <w:rPr>
          <w:sz w:val="20"/>
          <w:szCs w:val="20"/>
          <w:color w:val="auto"/>
        </w:rPr>
        <w:tab/>
      </w:r>
      <w:hyperlink r:id="rId172">
        <w:r>
          <w:rPr>
            <w:rFonts w:ascii="Times New Roman" w:cs="Times New Roman" w:eastAsia="Times New Roman" w:hAnsi="Times New Roman"/>
            <w:sz w:val="17"/>
            <w:szCs w:val="17"/>
            <w:u w:val="single" w:color="auto"/>
            <w:color w:val="0000FF"/>
          </w:rPr>
          <w:t>Northrop Grumman Supplementary Retirement Income Plan (formerly TRW Supplementary Retirement Income Plan) (Amended</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and Restated Effective January 1, 2014) (incorporated by reference to Exhibit 10(m) to Form 10-K for the year ended December</w:t>
        </w:r>
      </w:hyperlink>
    </w:p>
    <w:p>
      <w:pPr>
        <w:ind w:left="1780"/>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31, 2013, filed February 3, 2014, File No. 001-16411)</w:t>
        </w:r>
      </w:hyperlink>
    </w:p>
    <w:p>
      <w:pPr>
        <w:spacing w:after="0" w:line="124" w:lineRule="exact"/>
        <w:rPr>
          <w:sz w:val="20"/>
          <w:szCs w:val="20"/>
          <w:color w:val="auto"/>
        </w:rPr>
      </w:pPr>
    </w:p>
    <w:p>
      <w:pPr>
        <w:ind w:left="1780" w:right="600" w:hanging="1066"/>
        <w:spacing w:after="0" w:line="22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+10(j)</w:t>
      </w:r>
      <w:r>
        <w:rPr>
          <w:sz w:val="20"/>
          <w:szCs w:val="20"/>
          <w:color w:val="auto"/>
        </w:rPr>
        <w:tab/>
      </w:r>
      <w:hyperlink r:id="rId173">
        <w:r>
          <w:rPr>
            <w:rFonts w:ascii="Times New Roman" w:cs="Times New Roman" w:eastAsia="Times New Roman" w:hAnsi="Times New Roman"/>
            <w:sz w:val="18"/>
            <w:szCs w:val="18"/>
            <w:u w:val="single" w:color="auto"/>
            <w:color w:val="0000FF"/>
          </w:rPr>
          <w:t>Severance Plan for Elected and Appointed Officers of Northrop Grumman Corporation (Amended and Restated Effective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December 31, 2019) (incorporated by reference to Exhibit 10(j) to Form 10-K for the year ended December 31, 2019, filed</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January 30, 2020,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1780" w:hanging="1066"/>
        <w:spacing w:after="0" w:line="250"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+10(k)</w:t>
      </w:r>
      <w:r>
        <w:rPr>
          <w:sz w:val="20"/>
          <w:szCs w:val="20"/>
          <w:color w:val="auto"/>
        </w:rPr>
        <w:tab/>
      </w:r>
      <w:hyperlink r:id="rId174">
        <w:r>
          <w:rPr>
            <w:rFonts w:ascii="Times New Roman" w:cs="Times New Roman" w:eastAsia="Times New Roman" w:hAnsi="Times New Roman"/>
            <w:sz w:val="18"/>
            <w:szCs w:val="18"/>
            <w:u w:val="single" w:color="auto"/>
            <w:color w:val="0000FF"/>
          </w:rPr>
          <w:t>Non-Employee Director Compensation Term Sheet, effective May 17, 2023 (incorporated by reference to Exhibit 10.1 to Form 10-</w:t>
        </w:r>
      </w:hyperlink>
      <w:hyperlink r:id="rId174">
        <w:r>
          <w:rPr>
            <w:rFonts w:ascii="Times New Roman" w:cs="Times New Roman" w:eastAsia="Times New Roman" w:hAnsi="Times New Roman"/>
            <w:sz w:val="18"/>
            <w:szCs w:val="18"/>
            <w:u w:val="single" w:color="auto"/>
            <w:color w:val="0000FF"/>
          </w:rPr>
          <w:t>Q for the quarter ended June 30, 2023, filed July 26, 2023, File No. 001-16411)</w:t>
        </w:r>
      </w:hyperlink>
    </w:p>
    <w:p>
      <w:pPr>
        <w:spacing w:after="0" w:line="109" w:lineRule="exact"/>
        <w:rPr>
          <w:sz w:val="20"/>
          <w:szCs w:val="20"/>
          <w:color w:val="auto"/>
        </w:rPr>
      </w:pPr>
    </w:p>
    <w:p>
      <w:pPr>
        <w:ind w:left="1780" w:hanging="1066"/>
        <w:spacing w:after="0" w:line="26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+10(l)</w:t>
      </w:r>
      <w:r>
        <w:rPr>
          <w:sz w:val="20"/>
          <w:szCs w:val="20"/>
          <w:color w:val="auto"/>
        </w:rPr>
        <w:tab/>
      </w:r>
      <w:hyperlink r:id="rId175">
        <w:r>
          <w:rPr>
            <w:rFonts w:ascii="Times New Roman" w:cs="Times New Roman" w:eastAsia="Times New Roman" w:hAnsi="Times New Roman"/>
            <w:sz w:val="18"/>
            <w:szCs w:val="18"/>
            <w:u w:val="single" w:color="auto"/>
            <w:color w:val="0000FF"/>
          </w:rPr>
          <w:t>Non-Employee Director Compensation Term Sheet, effective May 18, 2022 (incorporated by reference to Exhibit 10.1 to Form 10-</w:t>
        </w:r>
      </w:hyperlink>
      <w:hyperlink r:id="rId175">
        <w:r>
          <w:rPr>
            <w:rFonts w:ascii="Times New Roman" w:cs="Times New Roman" w:eastAsia="Times New Roman" w:hAnsi="Times New Roman"/>
            <w:sz w:val="18"/>
            <w:szCs w:val="18"/>
            <w:u w:val="single" w:color="auto"/>
            <w:color w:val="0000FF"/>
          </w:rPr>
          <w:t>Q for the quarter ended June 30, 2022, filed July 28, 2022, File No. 001-16411)</w:t>
        </w:r>
      </w:hyperlink>
    </w:p>
    <w:p>
      <w:pPr>
        <w:spacing w:after="0" w:line="122" w:lineRule="exact"/>
        <w:rPr>
          <w:sz w:val="20"/>
          <w:szCs w:val="20"/>
          <w:color w:val="auto"/>
        </w:rPr>
      </w:pPr>
    </w:p>
    <w:p>
      <w:pPr>
        <w:ind w:left="1780" w:right="60" w:hanging="1066"/>
        <w:spacing w:after="0" w:line="22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+10(m)</w:t>
      </w:r>
      <w:r>
        <w:rPr>
          <w:sz w:val="20"/>
          <w:szCs w:val="20"/>
          <w:color w:val="auto"/>
        </w:rPr>
        <w:tab/>
      </w:r>
      <w:hyperlink r:id="rId176">
        <w:r>
          <w:rPr>
            <w:rFonts w:ascii="Times New Roman" w:cs="Times New Roman" w:eastAsia="Times New Roman" w:hAnsi="Times New Roman"/>
            <w:sz w:val="18"/>
            <w:szCs w:val="18"/>
            <w:u w:val="single" w:color="auto"/>
            <w:color w:val="0000FF"/>
          </w:rPr>
          <w:t>Form of Indemnification Agreement between Northrop Grumman Corporation and its directors and executive officers</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(incorporated by reference to Exhibit 10.3 to Form 10-Q for the quarter ended March 31, 2012, filed April 25, 2012, File No. 001-</w:t>
        </w:r>
      </w:hyperlink>
      <w:hyperlink r:id="rId176">
        <w:r>
          <w:rPr>
            <w:rFonts w:ascii="Times New Roman" w:cs="Times New Roman" w:eastAsia="Times New Roman" w:hAnsi="Times New Roman"/>
            <w:sz w:val="18"/>
            <w:szCs w:val="18"/>
            <w:u w:val="single" w:color="auto"/>
            <w:color w:val="0000FF"/>
          </w:rPr>
          <w:t>16411)</w:t>
        </w:r>
      </w:hyperlink>
    </w:p>
    <w:p>
      <w:pPr>
        <w:spacing w:after="0" w:line="117" w:lineRule="exact"/>
        <w:rPr>
          <w:rFonts w:ascii="Times New Roman" w:cs="Times New Roman" w:eastAsia="Times New Roman" w:hAnsi="Times New Roman"/>
          <w:sz w:val="18"/>
          <w:szCs w:val="18"/>
          <w:u w:val="single" w:color="auto"/>
          <w:color w:val="0000FF"/>
        </w:rPr>
      </w:pPr>
    </w:p>
    <w:p>
      <w:pPr>
        <w:ind w:left="1780" w:right="700" w:hanging="1066"/>
        <w:spacing w:after="0" w:line="279" w:lineRule="auto"/>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+10(n)</w:t>
      </w:r>
      <w:r>
        <w:rPr>
          <w:sz w:val="20"/>
          <w:szCs w:val="20"/>
          <w:color w:val="auto"/>
        </w:rPr>
        <w:tab/>
      </w:r>
      <w:hyperlink r:id="rId177">
        <w:r>
          <w:rPr>
            <w:rFonts w:ascii="Times New Roman" w:cs="Times New Roman" w:eastAsia="Times New Roman" w:hAnsi="Times New Roman"/>
            <w:sz w:val="17"/>
            <w:szCs w:val="17"/>
            <w:u w:val="single" w:color="auto"/>
            <w:color w:val="0000FF"/>
          </w:rPr>
          <w:t>Northrop Grumman Deferred Compensation Plan (Amended and Restated Effective as of April 1, 2016) (incorporated by</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reference to Exhibit 10.3 to Form 10-Q for the quarter ended March 31, 2016, filed April 27, 2016, File No. 001-16411)</w:t>
        </w:r>
      </w:hyperlink>
    </w:p>
    <w:p>
      <w:pPr>
        <w:spacing w:after="0" w:line="86" w:lineRule="exact"/>
        <w:rPr>
          <w:sz w:val="20"/>
          <w:szCs w:val="20"/>
          <w:color w:val="auto"/>
        </w:rPr>
      </w:pPr>
    </w:p>
    <w:p>
      <w:pPr>
        <w:ind w:left="1780" w:right="18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+10(o)</w:t>
      </w:r>
      <w:r>
        <w:rPr>
          <w:sz w:val="20"/>
          <w:szCs w:val="20"/>
          <w:color w:val="auto"/>
        </w:rPr>
        <w:tab/>
      </w:r>
      <w:hyperlink r:id="rId178">
        <w:r>
          <w:rPr>
            <w:rFonts w:ascii="Times New Roman" w:cs="Times New Roman" w:eastAsia="Times New Roman" w:hAnsi="Times New Roman"/>
            <w:sz w:val="18"/>
            <w:szCs w:val="18"/>
            <w:u w:val="single" w:color="auto"/>
            <w:color w:val="0000FF"/>
          </w:rPr>
          <w:t>Northrop Grumman 2006 Annual Incentive Plan and Incentive Compensation Plan, as amended and restated effective January 1,</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2024</w:t>
        </w:r>
      </w:hyperlink>
    </w:p>
    <w:p>
      <w:pPr>
        <w:spacing w:after="0" w:line="131" w:lineRule="exact"/>
        <w:rPr>
          <w:sz w:val="20"/>
          <w:szCs w:val="20"/>
          <w:color w:val="auto"/>
        </w:rPr>
      </w:pPr>
    </w:p>
    <w:p>
      <w:pPr>
        <w:ind w:left="1780" w:right="140" w:hanging="1066"/>
        <w:spacing w:after="0" w:line="22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+10(p)</w:t>
      </w:r>
      <w:r>
        <w:rPr>
          <w:sz w:val="20"/>
          <w:szCs w:val="20"/>
          <w:color w:val="auto"/>
        </w:rPr>
        <w:tab/>
      </w:r>
      <w:hyperlink r:id="rId179">
        <w:r>
          <w:rPr>
            <w:rFonts w:ascii="Times New Roman" w:cs="Times New Roman" w:eastAsia="Times New Roman" w:hAnsi="Times New Roman"/>
            <w:sz w:val="18"/>
            <w:szCs w:val="18"/>
            <w:u w:val="single" w:color="auto"/>
            <w:color w:val="0000FF"/>
          </w:rPr>
          <w:t>Northrop Grumman Innovation Systems Nonqualified Deferred Compensation Plan, as amended and restated January 1, 2019</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(incorporated by reference to Exhibit 10(r) to Form 10-K for the year ended December 31, 2018, filed January 31, 2019, File No.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001-16411)</w:t>
        </w:r>
      </w:hyperlink>
    </w:p>
    <w:p>
      <w:pPr>
        <w:spacing w:after="0" w:line="117" w:lineRule="exact"/>
        <w:rPr>
          <w:rFonts w:ascii="Times New Roman" w:cs="Times New Roman" w:eastAsia="Times New Roman" w:hAnsi="Times New Roman"/>
          <w:sz w:val="18"/>
          <w:szCs w:val="18"/>
          <w:u w:val="single" w:color="auto"/>
          <w:color w:val="0000FF"/>
        </w:rPr>
      </w:pPr>
    </w:p>
    <w:p>
      <w:pPr>
        <w:ind w:left="1780" w:right="480" w:hanging="1066"/>
        <w:spacing w:after="0" w:line="282"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+10(q)</w:t>
      </w:r>
      <w:r>
        <w:rPr>
          <w:sz w:val="20"/>
          <w:szCs w:val="20"/>
          <w:color w:val="auto"/>
        </w:rPr>
        <w:tab/>
      </w:r>
      <w:hyperlink r:id="rId180">
        <w:r>
          <w:rPr>
            <w:rFonts w:ascii="Times New Roman" w:cs="Times New Roman" w:eastAsia="Times New Roman" w:hAnsi="Times New Roman"/>
            <w:sz w:val="18"/>
            <w:szCs w:val="18"/>
            <w:u w:val="single" w:color="auto"/>
            <w:color w:val="0000FF"/>
          </w:rPr>
          <w:t>Northrop Grumman Savings Excess Plan (Amended and Restated Effective as of July 1, 2023) (incorporated by reference to</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Exhibit 10.2 to Form 10-Q for the quarter ended June 30, 2023, filed July 26, 2023, File No. 001-16411)</w:t>
        </w:r>
      </w:hyperlink>
    </w:p>
    <w:p>
      <w:pPr>
        <w:spacing w:after="0" w:line="108" w:lineRule="exact"/>
        <w:rPr>
          <w:sz w:val="20"/>
          <w:szCs w:val="20"/>
          <w:color w:val="auto"/>
        </w:rPr>
      </w:pPr>
    </w:p>
    <w:p>
      <w:pPr>
        <w:ind w:left="1780" w:right="120" w:hanging="1066"/>
        <w:spacing w:after="0" w:line="236" w:lineRule="auto"/>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+10(r)</w:t>
      </w:r>
      <w:r>
        <w:rPr>
          <w:sz w:val="20"/>
          <w:szCs w:val="20"/>
          <w:color w:val="auto"/>
        </w:rPr>
        <w:tab/>
      </w:r>
      <w:hyperlink r:id="rId181">
        <w:r>
          <w:rPr>
            <w:rFonts w:ascii="Times New Roman" w:cs="Times New Roman" w:eastAsia="Times New Roman" w:hAnsi="Times New Roman"/>
            <w:sz w:val="17"/>
            <w:szCs w:val="17"/>
            <w:u w:val="single" w:color="auto"/>
            <w:color w:val="0000FF"/>
          </w:rPr>
          <w:t>Northrop Grumman Officers Retirement Account Contribution Plan (Amended and Restated Effective as of January 1, 2019)</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(incorporated by reference to Exhibit 10(v) to Form 10-K for the year ended December 31, 2018, filed January 31, 2019, File No.</w:t>
        </w:r>
      </w:hyperlink>
    </w:p>
    <w:p>
      <w:pPr>
        <w:ind w:left="178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001-16411)</w:t>
        </w:r>
      </w:hyperlink>
    </w:p>
    <w:p>
      <w:pPr>
        <w:spacing w:after="0" w:line="124" w:lineRule="exact"/>
        <w:rPr>
          <w:sz w:val="20"/>
          <w:szCs w:val="20"/>
          <w:color w:val="auto"/>
        </w:rPr>
      </w:pPr>
    </w:p>
    <w:p>
      <w:pPr>
        <w:ind w:left="1780" w:right="220" w:hanging="1066"/>
        <w:spacing w:after="0" w:line="226"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+10(s)</w:t>
      </w:r>
      <w:r>
        <w:rPr>
          <w:sz w:val="20"/>
          <w:szCs w:val="20"/>
          <w:color w:val="auto"/>
        </w:rPr>
        <w:tab/>
      </w:r>
      <w:hyperlink r:id="rId182">
        <w:r>
          <w:rPr>
            <w:rFonts w:ascii="Times New Roman" w:cs="Times New Roman" w:eastAsia="Times New Roman" w:hAnsi="Times New Roman"/>
            <w:sz w:val="18"/>
            <w:szCs w:val="18"/>
            <w:u w:val="single" w:color="auto"/>
            <w:color w:val="0000FF"/>
          </w:rPr>
          <w:t>Northrop Grumman Innovation Systems Defined Benefit Supplemental Executive Retirement Plan, as amended and restated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effective January 1, 2019 (incorporated by reference to Exhibit 10(x) to Form 10-K for the year ended December 31, 2018, filed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January 31, 2019, File No. 001-16411)</w:t>
        </w:r>
      </w:hyperlink>
    </w:p>
    <w:p>
      <w:pPr>
        <w:spacing w:after="0" w:line="117" w:lineRule="exact"/>
        <w:rPr>
          <w:rFonts w:ascii="Times New Roman" w:cs="Times New Roman" w:eastAsia="Times New Roman" w:hAnsi="Times New Roman"/>
          <w:sz w:val="18"/>
          <w:szCs w:val="18"/>
          <w:u w:val="single" w:color="auto"/>
          <w:color w:val="0000FF"/>
        </w:rPr>
      </w:pPr>
    </w:p>
    <w:p>
      <w:pPr>
        <w:ind w:left="2420" w:right="160" w:hanging="639"/>
        <w:spacing w:after="0" w:line="231" w:lineRule="auto"/>
        <w:tabs>
          <w:tab w:leader="none" w:pos="2420" w:val="left"/>
        </w:tabs>
        <w:numPr>
          <w:ilvl w:val="0"/>
          <w:numId w:val="45"/>
        </w:numPr>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First Amendment to Northrop Grumman Innovation Systems Defined Benefit Supplemental Executive Retirement Plan,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effective December 31, 2019 (incorporated by reference to Exhibit 10(v)(i) to Form 10-K for the year ended December</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31, 2019, filed January 30, 2020, File No. 001-16411)</w:t>
        </w:r>
      </w:hyperlink>
    </w:p>
    <w:p>
      <w:pPr>
        <w:spacing w:after="0" w:line="118" w:lineRule="exact"/>
        <w:rPr>
          <w:rFonts w:ascii="Times New Roman" w:cs="Times New Roman" w:eastAsia="Times New Roman" w:hAnsi="Times New Roman"/>
          <w:sz w:val="18"/>
          <w:szCs w:val="18"/>
          <w:u w:val="single" w:color="auto"/>
          <w:color w:val="0000FF"/>
        </w:rPr>
      </w:pPr>
    </w:p>
    <w:p>
      <w:pPr>
        <w:ind w:left="1780" w:right="100" w:hanging="1066"/>
        <w:spacing w:after="0" w:line="236" w:lineRule="auto"/>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+10(t)</w:t>
      </w:r>
      <w:r>
        <w:rPr>
          <w:sz w:val="20"/>
          <w:szCs w:val="20"/>
          <w:color w:val="auto"/>
        </w:rPr>
        <w:tab/>
      </w:r>
      <w:hyperlink r:id="rId184">
        <w:r>
          <w:rPr>
            <w:rFonts w:ascii="Times New Roman" w:cs="Times New Roman" w:eastAsia="Times New Roman" w:hAnsi="Times New Roman"/>
            <w:sz w:val="17"/>
            <w:szCs w:val="17"/>
            <w:u w:val="single" w:color="auto"/>
            <w:color w:val="0000FF"/>
          </w:rPr>
          <w:t>Northrop Grumman Innovation Systems Defined Contribution Supplemental Executive Retirement Plan, as amended and restated</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effective January 1, 2019 (incorporated by reference to Exhibit 10(y) to Form 10-K for the year ended December 31, 2018, filed</w:t>
        </w:r>
      </w:hyperlink>
    </w:p>
    <w:p>
      <w:pPr>
        <w:ind w:left="1780"/>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January 31, 2019, File No. 001-16411)</w:t>
        </w:r>
      </w:hyperlink>
    </w:p>
    <w:p>
      <w:pPr>
        <w:spacing w:after="0" w:line="124" w:lineRule="exact"/>
        <w:rPr>
          <w:sz w:val="20"/>
          <w:szCs w:val="20"/>
          <w:color w:val="auto"/>
        </w:rPr>
      </w:pPr>
    </w:p>
    <w:p>
      <w:pPr>
        <w:ind w:left="1780" w:right="140" w:hanging="1066"/>
        <w:spacing w:after="0" w:line="237"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+10(u)</w:t>
      </w:r>
      <w:r>
        <w:rPr>
          <w:sz w:val="20"/>
          <w:szCs w:val="20"/>
          <w:color w:val="auto"/>
        </w:rPr>
        <w:tab/>
      </w:r>
      <w:hyperlink r:id="rId185">
        <w:r>
          <w:rPr>
            <w:rFonts w:ascii="Times New Roman" w:cs="Times New Roman" w:eastAsia="Times New Roman" w:hAnsi="Times New Roman"/>
            <w:sz w:val="18"/>
            <w:szCs w:val="18"/>
            <w:u w:val="single" w:color="auto"/>
            <w:color w:val="0000FF"/>
          </w:rPr>
          <w:t>Executive Basic Life Insurance and Accidental Death and Dismemberment Insurance Policy dated January 1, 2019 (incorporated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by reference to Exhibit 10.4 to Form 10-Q for the quarter ended March 31, 2019, filed April 24, 2019, File No. 001-16411)</w:t>
        </w:r>
      </w:hyperlink>
    </w:p>
    <w:p>
      <w:pPr>
        <w:spacing w:after="0" w:line="118" w:lineRule="exact"/>
        <w:rPr>
          <w:sz w:val="20"/>
          <w:szCs w:val="20"/>
          <w:color w:val="auto"/>
        </w:rPr>
      </w:pPr>
    </w:p>
    <w:p>
      <w:pPr>
        <w:ind w:left="1780" w:right="120" w:hanging="1066"/>
        <w:spacing w:after="0" w:line="250" w:lineRule="auto"/>
        <w:tabs>
          <w:tab w:leader="none" w:pos="1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+10(v)</w:t>
      </w:r>
      <w:r>
        <w:rPr>
          <w:sz w:val="20"/>
          <w:szCs w:val="20"/>
          <w:color w:val="auto"/>
        </w:rPr>
        <w:tab/>
      </w:r>
      <w:hyperlink r:id="rId186">
        <w:r>
          <w:rPr>
            <w:rFonts w:ascii="Times New Roman" w:cs="Times New Roman" w:eastAsia="Times New Roman" w:hAnsi="Times New Roman"/>
            <w:sz w:val="18"/>
            <w:szCs w:val="18"/>
            <w:u w:val="single" w:color="auto"/>
            <w:color w:val="0000FF"/>
          </w:rPr>
          <w:t>Executive Long-Term Disability Insurance Policy dated January 1, 2019 (incorporated by reference to Exhibit 10.5 to Form 10-Q</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for the quarter ended March 31, 2019, filed April 24, 2019, File No. 001-16411)</w:t>
        </w:r>
      </w:hyperlink>
    </w:p>
    <w:p>
      <w:pPr>
        <w:spacing w:after="0" w:line="109" w:lineRule="exact"/>
        <w:rPr>
          <w:sz w:val="20"/>
          <w:szCs w:val="20"/>
          <w:color w:val="auto"/>
        </w:rPr>
      </w:pPr>
    </w:p>
    <w:p>
      <w:pPr>
        <w:ind w:left="720"/>
        <w:spacing w:after="0"/>
        <w:tabs>
          <w:tab w:leader="none" w:pos="1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+10(w)</w:t>
      </w:r>
      <w:r>
        <w:rPr>
          <w:sz w:val="20"/>
          <w:szCs w:val="20"/>
          <w:color w:val="auto"/>
        </w:rPr>
        <w:tab/>
      </w:r>
      <w:hyperlink r:id="rId187">
        <w:r>
          <w:rPr>
            <w:rFonts w:ascii="Times New Roman" w:cs="Times New Roman" w:eastAsia="Times New Roman" w:hAnsi="Times New Roman"/>
            <w:sz w:val="17"/>
            <w:szCs w:val="17"/>
            <w:u w:val="single" w:color="auto"/>
            <w:color w:val="0000FF"/>
          </w:rPr>
          <w:t>Executive Supplemental Individual Disability Insurance Plan dated June 10, 2022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+10(x)</w:t>
            </w:r>
          </w:p>
        </w:tc>
        <w:tc>
          <w:tcPr>
            <w:tcW w:w="9380" w:type="dxa"/>
            <w:vAlign w:val="bottom"/>
            <w:gridSpan w:val="1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Group Personal Excess Liability Policy effective as of January 1, 2023 (incorporated by reference to Exhibit 10.3 to Form 10-Q</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for the quarter ended March 31, 2023, filed April 26, 2023, File No. 001-16411)</w:t>
              </w:r>
            </w:hyperlink>
          </w:p>
        </w:tc>
        <w:tc>
          <w:tcPr>
            <w:tcW w:w="342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+10(y)</w:t>
            </w:r>
          </w:p>
        </w:tc>
        <w:tc>
          <w:tcPr>
            <w:tcW w:w="92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Letter dated February 3, 2020 from Northrop Grumman Corporation to David Keffer regarding compensation effective February</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80" w:type="dxa"/>
            <w:vAlign w:val="bottom"/>
            <w:gridSpan w:val="14"/>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17, 2020 (incorporated by reference to Exhibit 10.4 to Form 10-Q for the quarter ended March 31, 2020, filed April 29, 2020, File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3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No. 001-16411)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+10(z)</w:t>
            </w:r>
          </w:p>
        </w:tc>
        <w:tc>
          <w:tcPr>
            <w:tcW w:w="9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Transition and Retirement Agreement dated as of September 9, 2022, as revised, by and between Northrop Grumman Systems</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380" w:type="dxa"/>
            <w:vAlign w:val="bottom"/>
            <w:gridSpan w:val="14"/>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Corporation and Mary D. Petryszyn (incorporated by reference to Exhibit 10(dd) to Form 10-K for the year ended December 31,</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2022, filed January 25, 2023, File No. 001-16411)</w:t>
              </w:r>
            </w:hyperlink>
          </w:p>
        </w:tc>
        <w:tc>
          <w:tcPr>
            <w:tcW w:w="5640" w:type="dxa"/>
            <w:vAlign w:val="bottom"/>
            <w:tcBorders>
              <w:top w:val="single" w:sz="8" w:color="0000FF"/>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0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302 of the Sarbanes-Oxley Act of 2002</w:t>
            </w:r>
          </w:p>
        </w:tc>
        <w:tc>
          <w:tcPr>
            <w:tcW w:w="2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David F. Keffer pursuant to Section 302 of the Sarbanes-Oxley 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580" w:type="dxa"/>
            <w:vAlign w:val="bottom"/>
            <w:gridSpan w:val="7"/>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Kathy J. Warden pursuant to Section 906 of the Sarbanes-Oxley Act of 2002</w:t>
            </w:r>
          </w:p>
        </w:tc>
        <w:tc>
          <w:tcPr>
            <w:tcW w:w="2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David F. Keffer pursuant to Section 906 of the Sarbanes-Oxley Act of 2002</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w:t>
            </w:r>
          </w:p>
        </w:tc>
        <w:tc>
          <w:tcPr>
            <w:tcW w:w="6580" w:type="dxa"/>
            <w:vAlign w:val="bottom"/>
            <w:gridSpan w:val="7"/>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vMerge w:val="continue"/>
          </w:tcPr>
          <w:p>
            <w:pPr>
              <w:spacing w:after="0"/>
              <w:rPr>
                <w:sz w:val="24"/>
                <w:szCs w:val="24"/>
                <w:color w:val="auto"/>
              </w:rPr>
            </w:pP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Northrop Grumman Policy Regarding the Recoupment of Certain Incentive Compensation Payments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60" w:type="dxa"/>
            <w:vAlign w:val="bottom"/>
            <w:gridSpan w:val="9"/>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Northrop Grumman Corporation Annual Report on Form 10-K for the fiscal year ended December 31, 2023, formatted as inline</w:t>
            </w:r>
          </w:p>
        </w:tc>
        <w:tc>
          <w:tcPr>
            <w:tcW w:w="0" w:type="dxa"/>
            <w:vAlign w:val="bottom"/>
          </w:tcPr>
          <w:p>
            <w:pPr>
              <w:spacing w:after="0"/>
              <w:rPr>
                <w:sz w:val="1"/>
                <w:szCs w:val="1"/>
                <w:color w:val="auto"/>
              </w:rPr>
            </w:pPr>
          </w:p>
        </w:tc>
      </w:tr>
    </w:tbl>
    <w:p>
      <w:pPr>
        <w:ind w:left="1780" w:right="600"/>
        <w:spacing w:after="0" w:line="215" w:lineRule="auto"/>
        <w:rPr>
          <w:sz w:val="20"/>
          <w:szCs w:val="20"/>
          <w:color w:val="auto"/>
        </w:rPr>
      </w:pPr>
      <w:r>
        <w:rPr>
          <w:rFonts w:ascii="Times New Roman" w:cs="Times New Roman" w:eastAsia="Times New Roman" w:hAnsi="Times New Roman"/>
          <w:sz w:val="17"/>
          <w:szCs w:val="17"/>
          <w:color w:val="auto"/>
        </w:rPr>
        <w:t>XBRL (Extensible Business Reporting Language); (i) the Cover Page, (ii) the Consolidated Statements of Earnings and Comprehensive Income, (iii) Consolidated Statements of Financial Position, (iv) Consolidated Statements of Cash Flows,</w:t>
      </w:r>
    </w:p>
    <w:p>
      <w:pPr>
        <w:spacing w:after="0" w:line="1" w:lineRule="exact"/>
        <w:rPr>
          <w:sz w:val="20"/>
          <w:szCs w:val="20"/>
          <w:color w:val="auto"/>
        </w:rPr>
      </w:pPr>
    </w:p>
    <w:p>
      <w:pPr>
        <w:ind w:left="1780" w:right="380" w:firstLine="1"/>
        <w:spacing w:after="0" w:line="223" w:lineRule="auto"/>
        <w:tabs>
          <w:tab w:leader="none" w:pos="20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and (vi) Notes to Consolidated Financial Statements. The instance document does not appear in the Interactive Data File because its XBRL tags are embedded within the Inline XBRL document.</w:t>
      </w:r>
    </w:p>
    <w:p>
      <w:pPr>
        <w:spacing w:after="0" w:line="119" w:lineRule="exact"/>
        <w:rPr>
          <w:sz w:val="20"/>
          <w:szCs w:val="20"/>
          <w:color w:val="auto"/>
        </w:rPr>
      </w:pPr>
    </w:p>
    <w:p>
      <w:pPr>
        <w:ind w:left="720"/>
        <w:spacing w:after="0"/>
        <w:tabs>
          <w:tab w:leader="none" w:pos="1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4" w:lineRule="exact"/>
        <w:rPr>
          <w:sz w:val="20"/>
          <w:szCs w:val="20"/>
          <w:color w:val="auto"/>
        </w:rPr>
      </w:pPr>
    </w:p>
    <w:p>
      <w:pPr>
        <w:ind w:left="1780" w:hanging="1066"/>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31" w:lineRule="exact"/>
        <w:rPr>
          <w:sz w:val="20"/>
          <w:szCs w:val="20"/>
          <w:color w:val="auto"/>
        </w:rPr>
      </w:pPr>
    </w:p>
    <w:p>
      <w:pPr>
        <w:ind w:left="1780" w:hanging="1066"/>
        <w:spacing w:after="0"/>
        <w:tabs>
          <w:tab w:leader="none" w:pos="1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144" w:lineRule="exact"/>
        <w:rPr>
          <w:sz w:val="20"/>
          <w:szCs w:val="20"/>
          <w:color w:val="auto"/>
        </w:rPr>
      </w:pPr>
    </w:p>
    <w:p>
      <w:pPr>
        <w:ind w:left="1780" w:hanging="1066"/>
        <w:spacing w:after="0"/>
        <w:tabs>
          <w:tab w:leader="none" w:pos="1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99" w:lineRule="exact"/>
        <w:rPr>
          <w:rFonts w:ascii="Times New Roman" w:cs="Times New Roman" w:eastAsia="Times New Roman" w:hAnsi="Times New Roman"/>
          <w:sz w:val="18"/>
          <w:szCs w:val="18"/>
          <w:color w:val="auto"/>
        </w:rPr>
      </w:pPr>
    </w:p>
    <w:p>
      <w:pPr>
        <w:ind w:right="880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 16. Form 10-K Summary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24th day of January 2024.</w:t>
      </w:r>
    </w:p>
    <w:p>
      <w:pPr>
        <w:spacing w:after="0" w:line="3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89" w:lineRule="exact"/>
        <w:rPr>
          <w:sz w:val="20"/>
          <w:szCs w:val="20"/>
          <w:color w:val="auto"/>
        </w:rPr>
      </w:pPr>
    </w:p>
    <w:p>
      <w:pPr>
        <w:ind w:left="570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19685</wp:posOffset>
            </wp:positionV>
            <wp:extent cx="31718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A. Hardesty</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7"/>
          <w:szCs w:val="17"/>
          <w:color w:val="auto"/>
        </w:rPr>
        <w:t>Corporate Vice President, Controller and Chief Accounting Officer</w:t>
      </w:r>
    </w:p>
    <w:p>
      <w:pPr>
        <w:spacing w:after="0" w:line="3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behalf of the registrant this the 24th day of January 2024, by the following persons and in the capacities indicated.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920" w:type="dxa"/>
            <w:vAlign w:val="bottom"/>
          </w:tcPr>
          <w:p>
            <w:pPr>
              <w:spacing w:after="0"/>
              <w:rPr>
                <w:sz w:val="13"/>
                <w:szCs w:val="13"/>
                <w:color w:val="auto"/>
              </w:rPr>
            </w:pPr>
          </w:p>
        </w:tc>
        <w:tc>
          <w:tcPr>
            <w:tcW w:w="6280" w:type="dxa"/>
            <w:vAlign w:val="bottom"/>
            <w:gridSpan w:val="3"/>
          </w:tcPr>
          <w:p>
            <w:pPr>
              <w:ind w:left="33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80"/>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Kathy J. Warden*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 Chief Executive Officer and President (Principal Executive Officer), and</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F. Keffer*</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 (Principal Financial Officer)</w:t>
            </w:r>
          </w:p>
        </w:tc>
      </w:tr>
      <w:tr>
        <w:trPr>
          <w:trHeight w:val="279"/>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A. Hardesty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Vice President, Controller and Chief Accounting Officer (Principal</w:t>
            </w: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P. Abney*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Marianne C. Brown*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 M. Fudge*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Madeleine A. Kleiner*</w:t>
            </w: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Arvind Krishna*</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Graham N. Robinson*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Kimberly A. Ross*</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Gary Roughead*</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S. Turley*</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 A. Welsh III*</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Mary A. Winston*</w:t>
            </w:r>
          </w:p>
        </w:tc>
        <w:tc>
          <w:tcPr>
            <w:tcW w:w="2920" w:type="dxa"/>
            <w:vAlign w:val="bottom"/>
          </w:tcPr>
          <w:p>
            <w:pPr>
              <w:spacing w:after="0"/>
              <w:rPr>
                <w:sz w:val="24"/>
                <w:szCs w:val="24"/>
                <w:color w:val="auto"/>
              </w:rPr>
            </w:pPr>
          </w:p>
        </w:tc>
        <w:tc>
          <w:tcPr>
            <w:tcW w:w="6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51"/>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 Jennifer C. McGarey</w:t>
            </w: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8"/>
        </w:trPr>
        <w:tc>
          <w:tcPr>
            <w:tcW w:w="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rPr>
              <w:t>Jennifer C. McGarey</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Corporate Vice President and Secretary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Attorney-in-Fact</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pursuant to a power of attorney</w:t>
            </w: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60"/>
          </w:cols>
          <w:pgMar w:left="320" w:top="360" w:right="4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10(f)(viii)</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2023 RESTRICTED STOCK RIGHTS GRANT AGREEMENT</w:t>
      </w:r>
    </w:p>
    <w:p>
      <w:pPr>
        <w:spacing w:after="0" w:line="1" w:lineRule="exact"/>
        <w:rPr>
          <w:sz w:val="20"/>
          <w:szCs w:val="20"/>
          <w:color w:val="auto"/>
        </w:rPr>
      </w:pPr>
    </w:p>
    <w:p>
      <w:pPr>
        <w:ind w:right="100" w:firstLine="405"/>
        <w:spacing w:after="0" w:line="220" w:lineRule="auto"/>
        <w:rPr>
          <w:sz w:val="20"/>
          <w:szCs w:val="20"/>
          <w:color w:val="auto"/>
        </w:rPr>
      </w:pPr>
      <w:r>
        <w:rPr>
          <w:rFonts w:ascii="Times New Roman" w:cs="Times New Roman" w:eastAsia="Times New Roman" w:hAnsi="Times New Roman"/>
          <w:sz w:val="17"/>
          <w:szCs w:val="17"/>
          <w:color w:val="auto"/>
        </w:rPr>
        <w:t>This 2023 Restricted Stock Rights Grant Agreement (“Agreement”) applies to certain “Restricted Stock Rights” (“RSRs”) granted by Northrop Grumman Corporation (the “Company”) in 2023 under its 2011 Long-Term Incentive Stock Plan. The date of grant of your RSR award (the “Grant Date”) and the number of RSRs applicable to your award are set forth in the letter from the Company announcing your RSR award (your “Grant Letter”) and are</w:t>
      </w:r>
    </w:p>
    <w:p>
      <w:pPr>
        <w:spacing w:after="0" w:line="2" w:lineRule="exact"/>
        <w:rPr>
          <w:sz w:val="20"/>
          <w:szCs w:val="20"/>
          <w:color w:val="auto"/>
        </w:rPr>
      </w:pP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also reflected in the electronic stock plan award recordkeeping system (“Stock Plan System”) maintained by the Company or its designee. This Agreement applies only with respect to the 2023 RSR award identified in your Grant Letter, and you are subject to this Agreement upon accepting your grant. You are referred to as the “Grantee” with respect to your award. Capitalized terms are generally defined in Section 12 below if not otherwise defined herein.</w:t>
      </w:r>
    </w:p>
    <w:p>
      <w:pPr>
        <w:spacing w:after="0" w:line="131" w:lineRule="exact"/>
        <w:rPr>
          <w:sz w:val="20"/>
          <w:szCs w:val="20"/>
          <w:color w:val="auto"/>
        </w:rPr>
      </w:pPr>
    </w:p>
    <w:p>
      <w:pPr>
        <w:jc w:val="both"/>
        <w:ind w:right="100" w:firstLine="180"/>
        <w:spacing w:after="0" w:line="236" w:lineRule="auto"/>
        <w:rPr>
          <w:sz w:val="20"/>
          <w:szCs w:val="20"/>
          <w:color w:val="auto"/>
        </w:rPr>
      </w:pPr>
      <w:r>
        <w:rPr>
          <w:rFonts w:ascii="Times New Roman" w:cs="Times New Roman" w:eastAsia="Times New Roman" w:hAnsi="Times New Roman"/>
          <w:sz w:val="17"/>
          <w:szCs w:val="17"/>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w:t>
      </w:r>
    </w:p>
    <w:p>
      <w:pPr>
        <w:ind w:right="60"/>
        <w:spacing w:after="0" w:line="218" w:lineRule="auto"/>
        <w:rPr>
          <w:sz w:val="20"/>
          <w:szCs w:val="20"/>
          <w:color w:val="auto"/>
        </w:rPr>
      </w:pPr>
      <w:r>
        <w:rPr>
          <w:rFonts w:ascii="Times New Roman" w:cs="Times New Roman" w:eastAsia="Times New Roman" w:hAnsi="Times New Roman"/>
          <w:sz w:val="18"/>
          <w:szCs w:val="18"/>
          <w:color w:val="auto"/>
        </w:rPr>
        <w:t>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94" w:right="339" w:bottom="1440" w:gutter="0" w:footer="0" w:header="0"/>
        </w:sectPr>
      </w:pPr>
    </w:p>
    <w:p>
      <w:pPr>
        <w:spacing w:after="0" w:line="168"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Subject to Sections 2, 3, 4 and 6 below, one hundred percent</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(100%) of the number of RSRs (and any Dividend Equivalents (as defined below)) subject to your award (subject to adjustment as provided in Section 6.1) shall vest upon the second anniversary of the</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Grant Date, provided that if the second anniversary of the Grant Date falls on a weekend or holiday, then the award shall vest on the next business day.</w:t>
      </w:r>
    </w:p>
    <w:p>
      <w:pPr>
        <w:spacing w:after="0" w:line="127" w:lineRule="exact"/>
        <w:rPr>
          <w:sz w:val="20"/>
          <w:szCs w:val="20"/>
          <w:color w:val="auto"/>
        </w:rPr>
      </w:pPr>
    </w:p>
    <w:p>
      <w:pPr>
        <w:ind w:right="24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b w:val="1"/>
          <w:bCs w:val="1"/>
          <w:i w:val="1"/>
          <w:iCs w:val="1"/>
          <w:color w:val="auto"/>
        </w:rPr>
        <w:t>Payment of RSRs</w:t>
      </w:r>
      <w:r>
        <w:rPr>
          <w:rFonts w:ascii="Times New Roman" w:cs="Times New Roman" w:eastAsia="Times New Roman" w:hAnsi="Times New Roman"/>
          <w:sz w:val="17"/>
          <w:szCs w:val="17"/>
          <w:color w:val="auto"/>
        </w:rPr>
        <w:t>. Except as otherwise provided below,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pay an RSR subject to the award that vests (“Vested</w:t>
      </w:r>
    </w:p>
    <w:p>
      <w:pPr>
        <w:spacing w:after="0" w:line="1"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RSR”) (and related Dividend Equivalents) within 60 days following the respective vesting of the RSR on the second anniversary of the Grant Date. The Company shall pay such Vested RSRs in either an equivalent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number of shares of Common Stock, or, in the discretion of the Committee, in cash or in a combination of shares of Common Stock and cash. In the event of a cash payment, the amount of the payment for</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each Vested RSR to be paid in cash will equal the Fair Market Value (as defined below) of a share of Common Stock as of the date that such RSR became vested.</w:t>
      </w:r>
    </w:p>
    <w:p>
      <w:pPr>
        <w:spacing w:after="0" w:line="1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p>
    <w:p>
      <w:pPr>
        <w:jc w:val="center"/>
        <w:ind w:right="220"/>
        <w:spacing w:after="0" w:line="232" w:lineRule="auto"/>
        <w:rPr>
          <w:sz w:val="20"/>
          <w:szCs w:val="20"/>
          <w:color w:val="auto"/>
        </w:rPr>
      </w:pPr>
      <w:r>
        <w:rPr>
          <w:rFonts w:ascii="Times New Roman" w:cs="Times New Roman" w:eastAsia="Times New Roman" w:hAnsi="Times New Roman"/>
          <w:sz w:val="17"/>
          <w:szCs w:val="17"/>
          <w:color w:val="auto"/>
        </w:rPr>
        <w:t>payment for Dividend Equivalents (if any) with respect to any Vested</w:t>
      </w:r>
    </w:p>
    <w:p>
      <w:pPr>
        <w:ind w:right="120"/>
        <w:spacing w:after="0" w:line="220" w:lineRule="auto"/>
        <w:rPr>
          <w:sz w:val="20"/>
          <w:szCs w:val="20"/>
          <w:color w:val="auto"/>
        </w:rPr>
      </w:pPr>
      <w:r>
        <w:rPr>
          <w:rFonts w:ascii="Times New Roman" w:cs="Times New Roman" w:eastAsia="Times New Roman" w:hAnsi="Times New Roman"/>
          <w:sz w:val="17"/>
          <w:szCs w:val="17"/>
          <w:color w:val="auto"/>
        </w:rPr>
        <w:t>RSRs. For purposes of this Agreement, “Dividend Equivalents” means the aggregate amount of dividends paid by the Company on a number of shares of Common Stock equivalent to the number of Vested RSRs</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during the period from the Grant date until the date the Vested RSRs are paid (without interest or other adjustments to reflect the time value of money). Dividend Equivalents (if any) will be paid at the same time as</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the Vested RSRs to which they relate are paid. Dividend Equivalents will be paid in cash.</w:t>
      </w:r>
    </w:p>
    <w:p>
      <w:pPr>
        <w:spacing w:after="0" w:line="126"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RSRs (and related Dividend Equivalents)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award, to the extent not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7"/>
          <w:szCs w:val="17"/>
          <w:color w:val="auto"/>
        </w:rPr>
        <w:t>previously vested, shall terminate and become null and void if and when (a) the award terminates in connection with a Change in Control pursuant to Section 6 below, or (b) except as provided in Sections 2.6</w:t>
      </w:r>
    </w:p>
    <w:p>
      <w:pPr>
        <w:ind w:right="600"/>
        <w:spacing w:after="0" w:line="226" w:lineRule="auto"/>
        <w:rPr>
          <w:sz w:val="20"/>
          <w:szCs w:val="20"/>
          <w:color w:val="auto"/>
        </w:rPr>
      </w:pPr>
      <w:r>
        <w:rPr>
          <w:rFonts w:ascii="Times New Roman" w:cs="Times New Roman" w:eastAsia="Times New Roman" w:hAnsi="Times New Roman"/>
          <w:sz w:val="18"/>
          <w:szCs w:val="18"/>
          <w:color w:val="auto"/>
        </w:rPr>
        <w:t>and 6, the Grantee ceases for any reason to be an employee of the Company or one of its subsidiaries.</w:t>
      </w:r>
    </w:p>
    <w:p>
      <w:pPr>
        <w:spacing w:after="0" w:line="126" w:lineRule="exact"/>
        <w:rPr>
          <w:sz w:val="20"/>
          <w:szCs w:val="20"/>
          <w:color w:val="auto"/>
        </w:rPr>
      </w:pPr>
    </w:p>
    <w:p>
      <w:pPr>
        <w:ind w:right="12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i w:val="1"/>
          <w:iCs w:val="1"/>
          <w:color w:val="auto"/>
        </w:rPr>
        <w:t>Leave of Absence</w:t>
      </w:r>
      <w:r>
        <w:rPr>
          <w:rFonts w:ascii="Times New Roman" w:cs="Times New Roman" w:eastAsia="Times New Roman" w:hAnsi="Times New Roman"/>
          <w:sz w:val="17"/>
          <w:szCs w:val="17"/>
          <w:color w:val="auto"/>
        </w:rPr>
        <w:t>. Unless the Committee otherwise provides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the time of the leave or otherwise), if the Grantee is granted a leave of absence by the Company, the Grantee (a) shall not be deemed to have</w:t>
      </w:r>
    </w:p>
    <w:p>
      <w:pPr>
        <w:spacing w:after="0" w:line="2" w:lineRule="exact"/>
        <w:rPr>
          <w:sz w:val="20"/>
          <w:szCs w:val="20"/>
          <w:color w:val="auto"/>
        </w:rPr>
      </w:pPr>
    </w:p>
    <w:p>
      <w:pPr>
        <w:ind w:right="320"/>
        <w:spacing w:after="0" w:line="220" w:lineRule="auto"/>
        <w:rPr>
          <w:sz w:val="20"/>
          <w:szCs w:val="20"/>
          <w:color w:val="auto"/>
        </w:rPr>
      </w:pPr>
      <w:r>
        <w:rPr>
          <w:rFonts w:ascii="Times New Roman" w:cs="Times New Roman" w:eastAsia="Times New Roman" w:hAnsi="Times New Roman"/>
          <w:sz w:val="17"/>
          <w:szCs w:val="17"/>
          <w:color w:val="auto"/>
        </w:rPr>
        <w:t>incurred a termination of employment at the time such leave commences for purposes of the award, and (b) shall be deemed to be employed by the Company for the duration of such approved leave of</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absence for purposes of the award. A termination of employment shall be deemed to have occurred if the Grantee does not timely return to active employment upon the expiration of such approved leave or if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commences a leave that is not approved by the Company.</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p>
    <w:p>
      <w:pPr>
        <w:spacing w:after="0" w:line="6"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“employment” as used herein means active employment by the Company and salary continuation without active employment (other than a leave of absence approved by the Company that is covered by</w:t>
      </w:r>
    </w:p>
    <w:p>
      <w:pPr>
        <w:spacing w:after="0" w:line="2" w:lineRule="exact"/>
        <w:rPr>
          <w:sz w:val="20"/>
          <w:szCs w:val="20"/>
          <w:color w:val="auto"/>
        </w:rPr>
      </w:pPr>
    </w:p>
    <w:p>
      <w:pPr>
        <w:ind w:right="380"/>
        <w:spacing w:after="0" w:line="220" w:lineRule="auto"/>
        <w:rPr>
          <w:sz w:val="20"/>
          <w:szCs w:val="20"/>
          <w:color w:val="auto"/>
        </w:rPr>
      </w:pPr>
      <w:r>
        <w:rPr>
          <w:rFonts w:ascii="Times New Roman" w:cs="Times New Roman" w:eastAsia="Times New Roman" w:hAnsi="Times New Roman"/>
          <w:sz w:val="17"/>
          <w:szCs w:val="17"/>
          <w:color w:val="auto"/>
        </w:rPr>
        <w:t>Section 2.2) will not, in and of itself, constitute “employment” for purposes hereof (in the case of salary continuation without active employment, the Grantee’s cessation of active employee status shall,</w:t>
      </w:r>
    </w:p>
    <w:p>
      <w:pPr>
        <w:spacing w:after="0" w:line="2" w:lineRule="exact"/>
        <w:rPr>
          <w:sz w:val="20"/>
          <w:szCs w:val="20"/>
          <w:color w:val="auto"/>
        </w:rPr>
      </w:pPr>
    </w:p>
    <w:p>
      <w:pPr>
        <w:jc w:val="both"/>
        <w:ind w:right="220"/>
        <w:spacing w:after="0" w:line="220" w:lineRule="auto"/>
        <w:rPr>
          <w:sz w:val="20"/>
          <w:szCs w:val="20"/>
          <w:color w:val="auto"/>
        </w:rPr>
      </w:pPr>
      <w:r>
        <w:rPr>
          <w:rFonts w:ascii="Times New Roman" w:cs="Times New Roman" w:eastAsia="Times New Roman" w:hAnsi="Times New Roman"/>
          <w:sz w:val="17"/>
          <w:szCs w:val="17"/>
          <w:color w:val="auto"/>
        </w:rPr>
        <w:t>subject to Section 2.2, be deemed to be a termination of “employment” for purposes hereof). Furthermore, salary continuation will not, in and of itself, constitute a leave of absence approved by the Company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the award.</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w:t>
      </w:r>
    </w:p>
    <w:p>
      <w:pPr>
        <w:spacing w:after="0" w:line="6"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of the RSRs (and related Dividend Equivalents) subject to the award, a termination of employment of the Grantee shall be deemed to have occurred if the Grantee is employed by a subsidiary or business unit and</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that subsidiary or business unit is sold, spun off, or otherwise divested, the Grantee does not otherwise continue to be employed by the Company or</w:t>
      </w:r>
    </w:p>
    <w:p>
      <w:pPr>
        <w:spacing w:after="0" w:line="382" w:lineRule="exact"/>
        <w:rPr>
          <w:sz w:val="20"/>
          <w:szCs w:val="20"/>
          <w:color w:val="auto"/>
        </w:rPr>
      </w:pPr>
    </w:p>
    <w:p>
      <w:pPr>
        <w:sectPr>
          <w:pgSz w:w="11900" w:h="16838" w:orient="portrait"/>
          <w:cols w:equalWidth="0" w:num="2">
            <w:col w:w="5220" w:space="700"/>
            <w:col w:w="5320"/>
          </w:cols>
          <w:pgMar w:left="320" w:top="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4"/>
          <w:szCs w:val="14"/>
          <w:color w:val="auto"/>
        </w:rPr>
        <w:t>ELT_2023 Special 2-Year Vest RSR Agreement</w:t>
      </w:r>
      <w:r>
        <w:rPr>
          <w:sz w:val="20"/>
          <w:szCs w:val="20"/>
          <w:color w:val="auto"/>
        </w:rPr>
        <w:tab/>
      </w: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4" w:right="339" w:bottom="1440" w:gutter="0" w:footer="0" w:header="0"/>
          <w:type w:val="continuous"/>
        </w:sectPr>
      </w:pPr>
    </w:p>
    <w:bookmarkStart w:id="106" w:name="page107"/>
    <w:bookmarkEnd w:id="106"/>
    <w:p>
      <w:pPr>
        <w:ind w:right="300"/>
        <w:spacing w:after="0" w:line="226" w:lineRule="auto"/>
        <w:rPr>
          <w:sz w:val="20"/>
          <w:szCs w:val="20"/>
          <w:color w:val="auto"/>
        </w:rPr>
      </w:pPr>
      <w:r>
        <w:rPr>
          <w:rFonts w:ascii="Times New Roman" w:cs="Times New Roman" w:eastAsia="Times New Roman" w:hAnsi="Times New Roman"/>
          <w:sz w:val="18"/>
          <w:szCs w:val="18"/>
          <w:color w:val="auto"/>
        </w:rPr>
        <w:t>one of its subsidiaries after such event, and the divested entity or business (or its successor or a parent company) does not assume the award in connection with such transaction.</w:t>
      </w:r>
    </w:p>
    <w:p>
      <w:pPr>
        <w:spacing w:after="0" w:line="127" w:lineRule="exact"/>
        <w:rPr>
          <w:sz w:val="20"/>
          <w:szCs w:val="20"/>
          <w:color w:val="auto"/>
        </w:rPr>
      </w:pPr>
    </w:p>
    <w:p>
      <w:pPr>
        <w:ind w:right="14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2.6 and in Section 6, the vesting of the RSRs (and</w:t>
      </w:r>
    </w:p>
    <w:p>
      <w:pPr>
        <w:ind w:right="160"/>
        <w:spacing w:after="0" w:line="208" w:lineRule="auto"/>
        <w:rPr>
          <w:sz w:val="20"/>
          <w:szCs w:val="20"/>
          <w:color w:val="auto"/>
        </w:rPr>
      </w:pPr>
      <w:r>
        <w:rPr>
          <w:rFonts w:ascii="Times New Roman" w:cs="Times New Roman" w:eastAsia="Times New Roman" w:hAnsi="Times New Roman"/>
          <w:sz w:val="18"/>
          <w:szCs w:val="18"/>
          <w:color w:val="auto"/>
        </w:rPr>
        <w:t>related Dividend Equivalents) subject to the award requires continued employment through the second anniversary of the Grant Date, as a condition to the vesting of any portion of the award. Employment for</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only a portion of the vesting period, even if a substantial portion, will not entitle the Grantee to any proportionate vesting or avoid or mitigate a termination of rights and benefits upon or following a termination of</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employment. Nothing contained in this Agreement, the Stock Plan System, or the Plan constitutes an employment commitment by the Company or any subsidiary, affects the Grantee’s status (if the Grantee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is otherwise an at-will employee) as an employee at will who is subject to termination without cause, confers upon the Grantee any right to continue in the employ of the Company or any subsidiary, or interferes</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in any way with the right of the Company or of any subsidiary to terminate such employment at any time.</w:t>
      </w:r>
    </w:p>
    <w:p>
      <w:pPr>
        <w:spacing w:after="0" w:line="126" w:lineRule="exact"/>
        <w:rPr>
          <w:sz w:val="20"/>
          <w:szCs w:val="20"/>
          <w:color w:val="auto"/>
        </w:rPr>
      </w:pPr>
    </w:p>
    <w:p>
      <w:pPr>
        <w:ind w:right="12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or a subsidiary and such death or Disability occurs more than six months after the Grant Date, the</w:t>
      </w:r>
    </w:p>
    <w:p>
      <w:pPr>
        <w:spacing w:after="0" w:line="3"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outstanding and previously unvested RSRs (and related Dividend Equivalents) subject to the award shall vest as of the date of the Grantee’s death or Disability, as applicable. RSRs (and related Dividend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Equivalents) vesting under this Section shall be paid within 60 days following the earlier of (a) Grantee’s death or (b) Grantee’s Disability. In the event of the Grantee’s death prior to the delivery of shares or</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other payment with respect to any vested RSRs (and related Dividend Equivalents), the Grantee’s Successor shall be entitled to any payments to which the Grantee would have been entitled under this Agreement</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with respect to such vested and unpaid RSRs (and related Dividend Equivalents).</w:t>
      </w:r>
    </w:p>
    <w:p>
      <w:pPr>
        <w:spacing w:after="0" w:line="126"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Non-Transferability</w:t>
      </w:r>
      <w:r>
        <w:rPr>
          <w:rFonts w:ascii="Times New Roman" w:cs="Times New Roman" w:eastAsia="Times New Roman" w:hAnsi="Times New Roman"/>
          <w:sz w:val="17"/>
          <w:szCs w:val="17"/>
          <w:color w:val="auto"/>
        </w:rPr>
        <w:t>. The award, as well as the RSRs (and</w:t>
      </w:r>
    </w:p>
    <w:p>
      <w:pPr>
        <w:spacing w:after="0" w:line="6"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related Dividend Equivalents) subject to the award, are non-transferable and shall not be subject in any manner to sale, transfer, anticipation, alienation, assignment, pledge, encumbrance or charge. The foregoing</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transfer restrictions shall not apply to transfers to the Company. Notwithstanding the foregoing, the Company may honor any transfer required pursuant to the terms of a court order in a divorce or similar</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domestic relations matter to the extent that such transfer does not adversely affect the Company’s ability to register the offer and sale of the underlying shares on a Form S-8 Registration Statement and such</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transfer is otherwise in compliance with all applicable legal, regulatory and listing requirements.</w:t>
      </w:r>
    </w:p>
    <w:p>
      <w:pPr>
        <w:spacing w:after="0" w:line="126" w:lineRule="exact"/>
        <w:rPr>
          <w:sz w:val="20"/>
          <w:szCs w:val="20"/>
          <w:color w:val="auto"/>
        </w:rPr>
      </w:pPr>
    </w:p>
    <w:p>
      <w:pPr>
        <w:jc w:val="both"/>
        <w:ind w:right="12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i w:val="1"/>
          <w:iCs w:val="1"/>
          <w:color w:val="auto"/>
        </w:rPr>
        <w:t>Forfeiture or Recoupment of Awards</w:t>
      </w:r>
      <w:r>
        <w:rPr>
          <w:rFonts w:ascii="Times New Roman" w:cs="Times New Roman" w:eastAsia="Times New Roman" w:hAnsi="Times New Roman"/>
          <w:sz w:val="17"/>
          <w:szCs w:val="17"/>
          <w:color w:val="auto"/>
        </w:rPr>
        <w:t>. If, prior to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issuance of shares with respect to the award, Grantee’s employment is terminated for Cause (or Grantee has engaged in misconduct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ind w:left="2" w:right="40"/>
        <w:spacing w:after="0" w:line="229" w:lineRule="auto"/>
        <w:rPr>
          <w:sz w:val="20"/>
          <w:szCs w:val="20"/>
          <w:color w:val="auto"/>
        </w:rPr>
      </w:pPr>
      <w:r>
        <w:rPr>
          <w:rFonts w:ascii="Times New Roman" w:cs="Times New Roman" w:eastAsia="Times New Roman" w:hAnsi="Times New Roman"/>
          <w:sz w:val="17"/>
          <w:szCs w:val="17"/>
          <w:color w:val="auto"/>
        </w:rPr>
        <w:t>resulted in Grantee’s termination of employment for Cause if Grantee had remained an employee), the Company may reduce or eliminate any payments or issuances of shares with respect to the award. Further, any</w:t>
      </w:r>
    </w:p>
    <w:p>
      <w:pPr>
        <w:ind w:left="2" w:right="20"/>
        <w:spacing w:after="0" w:line="208" w:lineRule="auto"/>
        <w:rPr>
          <w:sz w:val="20"/>
          <w:szCs w:val="20"/>
          <w:color w:val="auto"/>
        </w:rPr>
      </w:pPr>
      <w:r>
        <w:rPr>
          <w:rFonts w:ascii="Times New Roman" w:cs="Times New Roman" w:eastAsia="Times New Roman" w:hAnsi="Times New Roman"/>
          <w:sz w:val="18"/>
          <w:szCs w:val="18"/>
          <w:color w:val="auto"/>
        </w:rPr>
        <w:t>payments or issuances of shares with respect to the award are subject to recoupment pursuant to the Company’s Policy Regarding the Recoupment of Certain Incentive Compensation Payments as in effect</w:t>
      </w:r>
    </w:p>
    <w:p>
      <w:pPr>
        <w:spacing w:after="0" w:line="2"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from time to time, as well as any recoupment or similar provisions of applicable law, and the Grantee shall promptly make any reimbursement requested by the Board or Committee pursuant to such</w:t>
      </w:r>
    </w:p>
    <w:p>
      <w:pPr>
        <w:spacing w:after="0" w:line="2" w:lineRule="exact"/>
        <w:rPr>
          <w:sz w:val="20"/>
          <w:szCs w:val="20"/>
          <w:color w:val="auto"/>
        </w:rPr>
      </w:pPr>
    </w:p>
    <w:p>
      <w:pPr>
        <w:jc w:val="both"/>
        <w:ind w:left="2" w:right="60"/>
        <w:spacing w:after="0" w:line="220" w:lineRule="auto"/>
        <w:rPr>
          <w:sz w:val="20"/>
          <w:szCs w:val="20"/>
          <w:color w:val="auto"/>
        </w:rPr>
      </w:pPr>
      <w:r>
        <w:rPr>
          <w:rFonts w:ascii="Times New Roman" w:cs="Times New Roman" w:eastAsia="Times New Roman" w:hAnsi="Times New Roman"/>
          <w:sz w:val="17"/>
          <w:szCs w:val="17"/>
          <w:color w:val="auto"/>
        </w:rPr>
        <w:t>policy or applicable law with respect to the award. The Grantee agrees, by accepting the award, that the Company and its affiliates may deduct from any amounts it may owe the Grantee from time to time (such as</w:t>
      </w:r>
    </w:p>
    <w:p>
      <w:pPr>
        <w:spacing w:after="0" w:line="2" w:lineRule="exact"/>
        <w:rPr>
          <w:sz w:val="20"/>
          <w:szCs w:val="20"/>
          <w:color w:val="auto"/>
        </w:rPr>
      </w:pPr>
    </w:p>
    <w:p>
      <w:pPr>
        <w:ind w:left="2" w:right="60"/>
        <w:spacing w:after="0" w:line="218" w:lineRule="auto"/>
        <w:rPr>
          <w:sz w:val="20"/>
          <w:szCs w:val="20"/>
          <w:color w:val="auto"/>
        </w:rPr>
      </w:pPr>
      <w:r>
        <w:rPr>
          <w:rFonts w:ascii="Times New Roman" w:cs="Times New Roman" w:eastAsia="Times New Roman" w:hAnsi="Times New Roman"/>
          <w:sz w:val="18"/>
          <w:szCs w:val="18"/>
          <w:color w:val="auto"/>
        </w:rPr>
        <w:t>wages or other compensation) to the extent of any amounts the Grantee is required to reimburse the Company pursuant to such policy or applicable law with respect to the award.</w:t>
      </w:r>
    </w:p>
    <w:p>
      <w:pPr>
        <w:spacing w:after="0" w:line="127" w:lineRule="exact"/>
        <w:rPr>
          <w:sz w:val="20"/>
          <w:szCs w:val="20"/>
          <w:color w:val="auto"/>
        </w:rPr>
      </w:pPr>
    </w:p>
    <w:p>
      <w:pPr>
        <w:ind w:left="642" w:hanging="642"/>
        <w:spacing w:after="0"/>
        <w:tabs>
          <w:tab w:leader="none" w:pos="6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2" w:right="2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i w:val="1"/>
          <w:iCs w:val="1"/>
          <w:color w:val="auto"/>
        </w:rPr>
        <w:t>Executive Leadership Team Contribution.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w:t>
      </w:r>
    </w:p>
    <w:p>
      <w:pPr>
        <w:spacing w:after="0" w:line="2" w:lineRule="exact"/>
        <w:rPr>
          <w:sz w:val="20"/>
          <w:szCs w:val="20"/>
          <w:color w:val="auto"/>
        </w:rPr>
      </w:pP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incorporated in Delaware and headquartered in Virginia. You are involved in the most sensitive and proprietary matters affecting the Company, its subsidiaries, predecessors, and/or affiliates (collectively,</w:t>
      </w:r>
    </w:p>
    <w:p>
      <w:pPr>
        <w:spacing w:after="0" w:line="2" w:lineRule="exact"/>
        <w:rPr>
          <w:sz w:val="20"/>
          <w:szCs w:val="20"/>
          <w:color w:val="auto"/>
        </w:rPr>
      </w:pPr>
    </w:p>
    <w:p>
      <w:pPr>
        <w:ind w:left="2" w:right="100"/>
        <w:spacing w:after="0" w:line="220" w:lineRule="auto"/>
        <w:rPr>
          <w:sz w:val="20"/>
          <w:szCs w:val="20"/>
          <w:color w:val="auto"/>
        </w:rPr>
      </w:pPr>
      <w:r>
        <w:rPr>
          <w:rFonts w:ascii="Times New Roman" w:cs="Times New Roman" w:eastAsia="Times New Roman" w:hAnsi="Times New Roman"/>
          <w:sz w:val="17"/>
          <w:szCs w:val="17"/>
          <w:color w:val="auto"/>
        </w:rPr>
        <w:t>“Northrop Grumman”), including from a technical, strategic and financial perspective, and are widely exposed to confidential, sensitive and proprietary information concerning Northrop Grumman’s global</w:t>
      </w:r>
    </w:p>
    <w:p>
      <w:pPr>
        <w:spacing w:after="0" w:line="2" w:lineRule="exact"/>
        <w:rPr>
          <w:sz w:val="20"/>
          <w:szCs w:val="20"/>
          <w:color w:val="auto"/>
        </w:rPr>
      </w:pPr>
    </w:p>
    <w:p>
      <w:pPr>
        <w:ind w:left="2" w:right="200"/>
        <w:spacing w:after="0" w:line="220" w:lineRule="auto"/>
        <w:rPr>
          <w:sz w:val="20"/>
          <w:szCs w:val="20"/>
          <w:color w:val="auto"/>
        </w:rPr>
      </w:pPr>
      <w:r>
        <w:rPr>
          <w:rFonts w:ascii="Times New Roman" w:cs="Times New Roman" w:eastAsia="Times New Roman" w:hAnsi="Times New Roman"/>
          <w:sz w:val="17"/>
          <w:szCs w:val="17"/>
          <w:color w:val="auto"/>
        </w:rPr>
        <w:t>operations, at the headquarters and each of the operating sectors, including in the areas of autonomous systems, cyber, C4ISR, space, strike, sensors, electronics, and logistics and modernization. Your job</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responsibilities require that you have a primary office location in Virginia and/or you spend substantial time at the corporate headquarters in Virginia, among other things, attending ELT and other leadership</w:t>
      </w:r>
    </w:p>
    <w:p>
      <w:pPr>
        <w:spacing w:after="0" w:line="2" w:lineRule="exact"/>
        <w:rPr>
          <w:sz w:val="20"/>
          <w:szCs w:val="20"/>
          <w:color w:val="auto"/>
        </w:rPr>
      </w:pPr>
    </w:p>
    <w:p>
      <w:pPr>
        <w:ind w:left="2" w:right="80"/>
        <w:spacing w:after="0" w:line="208" w:lineRule="auto"/>
        <w:rPr>
          <w:sz w:val="20"/>
          <w:szCs w:val="20"/>
          <w:color w:val="auto"/>
        </w:rPr>
      </w:pPr>
      <w:r>
        <w:rPr>
          <w:rFonts w:ascii="Times New Roman" w:cs="Times New Roman" w:eastAsia="Times New Roman" w:hAnsi="Times New Roman"/>
          <w:sz w:val="18"/>
          <w:szCs w:val="18"/>
          <w:color w:val="auto"/>
        </w:rPr>
        <w:t>meetings, and managing operations and employees in Virginia. You occupy one of the most senior executive positions in the Company and have far-reaching access to highly confidential, valuable and sensitive</w:t>
      </w:r>
    </w:p>
    <w:p>
      <w:pPr>
        <w:spacing w:after="0" w:line="2" w:lineRule="exact"/>
        <w:rPr>
          <w:sz w:val="20"/>
          <w:szCs w:val="20"/>
          <w:color w:val="auto"/>
        </w:rPr>
      </w:pPr>
    </w:p>
    <w:p>
      <w:pPr>
        <w:ind w:left="2" w:right="100"/>
        <w:spacing w:after="0" w:line="220" w:lineRule="auto"/>
        <w:rPr>
          <w:sz w:val="20"/>
          <w:szCs w:val="20"/>
          <w:color w:val="auto"/>
        </w:rPr>
      </w:pPr>
      <w:r>
        <w:rPr>
          <w:rFonts w:ascii="Times New Roman" w:cs="Times New Roman" w:eastAsia="Times New Roman" w:hAnsi="Times New Roman"/>
          <w:sz w:val="17"/>
          <w:szCs w:val="17"/>
          <w:color w:val="auto"/>
        </w:rPr>
        <w:t>information, customer, vendor and employee relationships, intellectual property, strategic and tactical plans, and financial information and plans. The Company has a legitimate business interest in restricting</w:t>
      </w:r>
    </w:p>
    <w:p>
      <w:pPr>
        <w:spacing w:after="0" w:line="2" w:lineRule="exact"/>
        <w:rPr>
          <w:sz w:val="20"/>
          <w:szCs w:val="20"/>
          <w:color w:val="auto"/>
        </w:rPr>
      </w:pPr>
    </w:p>
    <w:p>
      <w:pPr>
        <w:ind w:left="2" w:right="40"/>
        <w:spacing w:after="0" w:line="218" w:lineRule="auto"/>
        <w:rPr>
          <w:sz w:val="20"/>
          <w:szCs w:val="20"/>
          <w:color w:val="auto"/>
        </w:rPr>
      </w:pPr>
      <w:r>
        <w:rPr>
          <w:rFonts w:ascii="Times New Roman" w:cs="Times New Roman" w:eastAsia="Times New Roman" w:hAnsi="Times New Roman"/>
          <w:sz w:val="18"/>
          <w:szCs w:val="18"/>
          <w:color w:val="auto"/>
        </w:rPr>
        <w:t>your ability to compete in the specific manner set forth below. The Company has provided you this grant, subject to this Agreement and as consideration for the restrictive covenants set forth in this Section 4.</w:t>
      </w:r>
    </w:p>
    <w:p>
      <w:pPr>
        <w:spacing w:after="0" w:line="195" w:lineRule="exact"/>
        <w:rPr>
          <w:sz w:val="20"/>
          <w:szCs w:val="20"/>
          <w:color w:val="auto"/>
        </w:rPr>
      </w:pPr>
    </w:p>
    <w:p>
      <w:pPr>
        <w:ind w:left="2" w:right="140" w:firstLine="324"/>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i w:val="1"/>
          <w:iCs w:val="1"/>
          <w:color w:val="auto"/>
        </w:rPr>
        <w:t>Non-Competition</w:t>
      </w:r>
      <w:r>
        <w:rPr>
          <w:rFonts w:ascii="Times New Roman" w:cs="Times New Roman" w:eastAsia="Times New Roman" w:hAnsi="Times New Roman"/>
          <w:sz w:val="17"/>
          <w:szCs w:val="17"/>
          <w:color w:val="auto"/>
        </w:rPr>
        <w:t>. For a period of twelve (12) months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the termination of Grantee’s employment for any reason (other than a Reduction-in-Force as determined at the Company’s sole</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discretion) (“Termination”), you will not, directly or indirectly, oversee, control, participate in, or support the design, operation, research, manufacture, marketing, sale, or distribution of “Competitive Products</w:t>
      </w:r>
    </w:p>
    <w:p>
      <w:pPr>
        <w:spacing w:after="0" w:line="2" w:lineRule="exact"/>
        <w:rPr>
          <w:sz w:val="20"/>
          <w:szCs w:val="20"/>
          <w:color w:val="auto"/>
        </w:rPr>
      </w:pPr>
    </w:p>
    <w:p>
      <w:pPr>
        <w:ind w:left="2" w:right="180"/>
        <w:spacing w:after="0" w:line="208" w:lineRule="auto"/>
        <w:rPr>
          <w:sz w:val="20"/>
          <w:szCs w:val="20"/>
          <w:color w:val="auto"/>
        </w:rPr>
      </w:pPr>
      <w:r>
        <w:rPr>
          <w:rFonts w:ascii="Times New Roman" w:cs="Times New Roman" w:eastAsia="Times New Roman" w:hAnsi="Times New Roman"/>
          <w:sz w:val="18"/>
          <w:szCs w:val="18"/>
          <w:color w:val="auto"/>
        </w:rPr>
        <w:t>and Services”. For the purpose of this section, “Competitive Products and Services” shall mean products or services that compete for resources with, or are an alternative or potential alternative to, the</w:t>
      </w:r>
    </w:p>
    <w:p>
      <w:pPr>
        <w:spacing w:after="0" w:line="2" w:lineRule="exact"/>
        <w:rPr>
          <w:sz w:val="20"/>
          <w:szCs w:val="20"/>
          <w:color w:val="auto"/>
        </w:rPr>
      </w:pPr>
    </w:p>
    <w:p>
      <w:pPr>
        <w:ind w:left="2" w:right="240"/>
        <w:spacing w:after="0" w:line="226" w:lineRule="auto"/>
        <w:rPr>
          <w:sz w:val="20"/>
          <w:szCs w:val="20"/>
          <w:color w:val="auto"/>
        </w:rPr>
      </w:pPr>
      <w:r>
        <w:rPr>
          <w:rFonts w:ascii="Times New Roman" w:cs="Times New Roman" w:eastAsia="Times New Roman" w:hAnsi="Times New Roman"/>
          <w:sz w:val="18"/>
          <w:szCs w:val="18"/>
          <w:color w:val="auto"/>
        </w:rPr>
        <w:t>products sold or services provided by Northrop Grumman, including without limitation</w:t>
      </w:r>
    </w:p>
    <w:p>
      <w:pPr>
        <w:sectPr>
          <w:pgSz w:w="11900" w:h="16838" w:orient="portrait"/>
          <w:cols w:equalWidth="0" w:num="2">
            <w:col w:w="5200" w:space="718"/>
            <w:col w:w="5182"/>
          </w:cols>
          <w:pgMar w:left="320" w:top="1147" w:right="479" w:bottom="1440" w:gutter="0" w:footer="0" w:header="0"/>
        </w:sectPr>
      </w:pPr>
    </w:p>
    <w:bookmarkStart w:id="107" w:name="page108"/>
    <w:bookmarkEnd w:id="107"/>
    <w:p>
      <w:pPr>
        <w:ind w:right="520"/>
        <w:spacing w:after="0" w:line="226" w:lineRule="auto"/>
        <w:rPr>
          <w:sz w:val="20"/>
          <w:szCs w:val="20"/>
          <w:color w:val="auto"/>
        </w:rPr>
      </w:pPr>
      <w:r>
        <w:rPr>
          <w:rFonts w:ascii="Times New Roman" w:cs="Times New Roman" w:eastAsia="Times New Roman" w:hAnsi="Times New Roman"/>
          <w:sz w:val="18"/>
          <w:szCs w:val="18"/>
          <w:color w:val="auto"/>
        </w:rPr>
        <w:t>products and services in the areas of autonomous systems, cyber, C4ISR, space, strike, sensors, electronics, and logistics and modernization.</w:t>
      </w:r>
    </w:p>
    <w:p>
      <w:pPr>
        <w:spacing w:after="0" w:line="194" w:lineRule="exact"/>
        <w:rPr>
          <w:sz w:val="20"/>
          <w:szCs w:val="20"/>
          <w:color w:val="auto"/>
        </w:rPr>
      </w:pPr>
    </w:p>
    <w:p>
      <w:pPr>
        <w:ind w:right="8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w:t>
      </w:r>
    </w:p>
    <w:p>
      <w:pPr>
        <w:spacing w:after="0" w:line="3"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Grumman with whom you engaged, or about whom you received confidential, sensitive, or proprietary information, in the course of your employment with Northrop Grumman, for purposes of providing</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products or services in competition with Northrop Grumman. In the case of a governmental, regulatory or administrative agency, commission, department or other governmental authority, the customer</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is determined by reference to the specific program offices or activities for which Northrop Grumman provides goods or services.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6" w:lineRule="exact"/>
        <w:rPr>
          <w:sz w:val="20"/>
          <w:szCs w:val="20"/>
          <w:color w:val="auto"/>
        </w:rPr>
      </w:pPr>
    </w:p>
    <w:p>
      <w:pPr>
        <w:ind w:firstLine="8"/>
        <w:spacing w:after="0" w:line="228" w:lineRule="auto"/>
        <w:tabs>
          <w:tab w:leader="none" w:pos="34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p>
    <w:p>
      <w:pPr>
        <w:spacing w:after="0" w:line="6"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foregoing shall not apply to any truthful statements made in connection with a legal process, including government investigation, or as otherwise provided by law.</w:t>
      </w:r>
    </w:p>
    <w:p>
      <w:pPr>
        <w:spacing w:after="0" w:line="2" w:lineRule="exact"/>
        <w:rPr>
          <w:sz w:val="20"/>
          <w:szCs w:val="20"/>
          <w:color w:val="auto"/>
        </w:rPr>
      </w:pPr>
    </w:p>
    <w:p>
      <w:pPr>
        <w:ind w:right="20" w:firstLine="405"/>
        <w:spacing w:after="0" w:line="220"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request an exception to the covenants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or 4.4 by making a written request to the Company’s Chief Human Resources Officer, with such exceptions being considered</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at the sole discretion of the Company and communicated in writing to you.</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p>
    <w:p>
      <w:pPr>
        <w:spacing w:after="0" w:line="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Sections 4.2, 4.3, and 4.4 are (i) reasonable and necessary in all respects, including duration, territory and scope of activity, in order to protect the Company’s legitimate business interests, (ii) that the parties</w:t>
      </w:r>
    </w:p>
    <w:p>
      <w:pPr>
        <w:spacing w:after="0" w:line="2"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7"/>
          <w:szCs w:val="17"/>
          <w:color w:val="auto"/>
        </w:rPr>
        <w:t>have attempted to limit your right to compete only to the extent necessary to protect the Company’s legitimate business interests, and</w:t>
      </w:r>
    </w:p>
    <w:p>
      <w:pPr>
        <w:spacing w:after="0" w:line="1" w:lineRule="exact"/>
        <w:rPr>
          <w:sz w:val="20"/>
          <w:szCs w:val="20"/>
          <w:color w:val="auto"/>
        </w:rPr>
      </w:pPr>
    </w:p>
    <w:p>
      <w:pPr>
        <w:ind w:right="160" w:firstLine="8"/>
        <w:spacing w:after="0" w:line="223" w:lineRule="auto"/>
        <w:tabs>
          <w:tab w:leader="none" w:pos="3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2" w:lineRule="exact"/>
        <w:rPr>
          <w:rFonts w:ascii="Times New Roman" w:cs="Times New Roman" w:eastAsia="Times New Roman" w:hAnsi="Times New Roman"/>
          <w:sz w:val="17"/>
          <w:szCs w:val="17"/>
          <w:color w:val="auto"/>
        </w:rPr>
      </w:pPr>
    </w:p>
    <w:p>
      <w:pPr>
        <w:spacing w:after="0" w:line="2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82" w:lineRule="exact"/>
        <w:rPr>
          <w:sz w:val="20"/>
          <w:szCs w:val="20"/>
          <w:color w:val="auto"/>
        </w:rPr>
      </w:pPr>
    </w:p>
    <w:p>
      <w:pPr>
        <w:ind w:right="40" w:firstLine="405"/>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left="2" w:right="80"/>
        <w:spacing w:after="0" w:line="216" w:lineRule="auto"/>
        <w:rPr>
          <w:sz w:val="20"/>
          <w:szCs w:val="20"/>
          <w:color w:val="auto"/>
        </w:rPr>
      </w:pPr>
      <w:r>
        <w:rPr>
          <w:rFonts w:ascii="Times New Roman" w:cs="Times New Roman" w:eastAsia="Times New Roman" w:hAnsi="Times New Roman"/>
          <w:sz w:val="18"/>
          <w:szCs w:val="18"/>
          <w:color w:val="auto"/>
        </w:rPr>
        <w:t>Company shall have the right to terminate without payment to you any unvested and/or unpaid RSRs (and associated Dividend Equivalents) and require that you immediately deliver to the Company an amount in</w:t>
      </w:r>
    </w:p>
    <w:p>
      <w:pPr>
        <w:spacing w:after="0" w:line="1" w:lineRule="exact"/>
        <w:rPr>
          <w:sz w:val="20"/>
          <w:szCs w:val="20"/>
          <w:color w:val="auto"/>
        </w:rPr>
      </w:pPr>
    </w:p>
    <w:p>
      <w:pPr>
        <w:ind w:left="2" w:right="100"/>
        <w:spacing w:after="0" w:line="220" w:lineRule="auto"/>
        <w:rPr>
          <w:sz w:val="20"/>
          <w:szCs w:val="20"/>
          <w:color w:val="auto"/>
        </w:rPr>
      </w:pPr>
      <w:r>
        <w:rPr>
          <w:rFonts w:ascii="Times New Roman" w:cs="Times New Roman" w:eastAsia="Times New Roman" w:hAnsi="Times New Roman"/>
          <w:sz w:val="17"/>
          <w:szCs w:val="17"/>
          <w:color w:val="auto"/>
        </w:rPr>
        <w:t>cash equal to the aggregate Fair Market Value, determined as of the vesting and/or payment date of all RSRs already received, including any Dividend Equivalents, within one year prior to the breach. Further,</w:t>
      </w:r>
    </w:p>
    <w:p>
      <w:pPr>
        <w:spacing w:after="0" w:line="2" w:lineRule="exact"/>
        <w:rPr>
          <w:sz w:val="20"/>
          <w:szCs w:val="20"/>
          <w:color w:val="auto"/>
        </w:rPr>
      </w:pP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you acknowledge and agree that a breach of any of the provisions of this section will result in immediate, irreparable, and continuing damage to the Company for which there is no adequate remedy at law,</w:t>
      </w:r>
    </w:p>
    <w:p>
      <w:pPr>
        <w:spacing w:after="0" w:line="2" w:lineRule="exact"/>
        <w:rPr>
          <w:sz w:val="20"/>
          <w:szCs w:val="20"/>
          <w:color w:val="auto"/>
        </w:rPr>
      </w:pPr>
    </w:p>
    <w:p>
      <w:pPr>
        <w:ind w:left="2" w:right="460"/>
        <w:spacing w:after="0" w:line="218" w:lineRule="auto"/>
        <w:rPr>
          <w:sz w:val="20"/>
          <w:szCs w:val="20"/>
          <w:color w:val="auto"/>
        </w:rPr>
      </w:pPr>
      <w:r>
        <w:rPr>
          <w:rFonts w:ascii="Times New Roman" w:cs="Times New Roman" w:eastAsia="Times New Roman" w:hAnsi="Times New Roman"/>
          <w:sz w:val="18"/>
          <w:szCs w:val="18"/>
          <w:color w:val="auto"/>
        </w:rPr>
        <w:t>and the Company will be entitled to injunctive relief, a decree of specific performance, and other relief as may be proper, including monetary damages, to the maximum extent available.</w:t>
      </w:r>
    </w:p>
    <w:p>
      <w:pPr>
        <w:spacing w:after="0" w:line="195" w:lineRule="exact"/>
        <w:rPr>
          <w:sz w:val="20"/>
          <w:szCs w:val="20"/>
          <w:color w:val="auto"/>
        </w:rPr>
      </w:pPr>
    </w:p>
    <w:p>
      <w:pPr>
        <w:ind w:left="402" w:right="540" w:hanging="402"/>
        <w:spacing w:after="0" w:line="239" w:lineRule="auto"/>
        <w:tabs>
          <w:tab w:leader="none" w:pos="40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left="2" w:right="240" w:firstLine="405"/>
        <w:spacing w:after="0" w:line="216"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w:t>
      </w:r>
    </w:p>
    <w:p>
      <w:pPr>
        <w:spacing w:after="0" w:line="1" w:lineRule="exact"/>
        <w:rPr>
          <w:sz w:val="20"/>
          <w:szCs w:val="20"/>
          <w:color w:val="auto"/>
        </w:rPr>
      </w:pPr>
    </w:p>
    <w:p>
      <w:pPr>
        <w:jc w:val="both"/>
        <w:ind w:left="2" w:right="140"/>
        <w:spacing w:after="0" w:line="208" w:lineRule="auto"/>
        <w:rPr>
          <w:sz w:val="20"/>
          <w:szCs w:val="20"/>
          <w:color w:val="auto"/>
        </w:rPr>
      </w:pPr>
      <w:r>
        <w:rPr>
          <w:rFonts w:ascii="Times New Roman" w:cs="Times New Roman" w:eastAsia="Times New Roman" w:hAnsi="Times New Roman"/>
          <w:sz w:val="18"/>
          <w:szCs w:val="18"/>
          <w:color w:val="auto"/>
        </w:rPr>
        <w:t>Commission, or other regulatory agencies having jurisdiction over the Company and its shares, and of any exchange upon which stock of the Company may be listed. The Grantee shall not have the rights and</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privileges of a stockholder, including without limitation the right to vote or receive dividends (except as expressly provided in this Agreement with respect to Dividend Equivalents), with respect to any shares which</w:t>
      </w:r>
    </w:p>
    <w:p>
      <w:pPr>
        <w:spacing w:after="0" w:line="2" w:lineRule="exact"/>
        <w:rPr>
          <w:sz w:val="20"/>
          <w:szCs w:val="20"/>
          <w:color w:val="auto"/>
        </w:rPr>
      </w:pPr>
    </w:p>
    <w:p>
      <w:pPr>
        <w:ind w:left="2" w:right="200"/>
        <w:spacing w:after="0" w:line="220" w:lineRule="auto"/>
        <w:rPr>
          <w:sz w:val="20"/>
          <w:szCs w:val="20"/>
          <w:color w:val="auto"/>
        </w:rPr>
      </w:pPr>
      <w:r>
        <w:rPr>
          <w:rFonts w:ascii="Times New Roman" w:cs="Times New Roman" w:eastAsia="Times New Roman" w:hAnsi="Times New Roman"/>
          <w:sz w:val="17"/>
          <w:szCs w:val="17"/>
          <w:color w:val="auto"/>
        </w:rPr>
        <w:t>may be issued in respect of the RSRs until the date appearing on the certificate(s) for such shares (or, in the case of shares entered in book entry form, the date that the shares are actually recorded in such form</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benefit of the Grantee), if such shares become deliverable.</w:t>
      </w:r>
    </w:p>
    <w:p>
      <w:pPr>
        <w:spacing w:after="0" w:line="120" w:lineRule="exact"/>
        <w:rPr>
          <w:sz w:val="20"/>
          <w:szCs w:val="20"/>
          <w:color w:val="auto"/>
        </w:rPr>
      </w:pPr>
    </w:p>
    <w:p>
      <w:pPr>
        <w:ind w:left="382" w:hanging="382"/>
        <w:spacing w:after="0"/>
        <w:tabs>
          <w:tab w:leader="none" w:pos="38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 w:firstLine="324"/>
        <w:spacing w:after="0" w:line="22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 subject to the award are subject to adjustment upon the occurrence of</w:t>
      </w:r>
    </w:p>
    <w:p>
      <w:pPr>
        <w:ind w:left="2" w:right="580"/>
        <w:spacing w:after="0" w:line="226" w:lineRule="auto"/>
        <w:rPr>
          <w:sz w:val="20"/>
          <w:szCs w:val="20"/>
          <w:color w:val="auto"/>
        </w:rPr>
      </w:pPr>
      <w:r>
        <w:rPr>
          <w:rFonts w:ascii="Times New Roman" w:cs="Times New Roman" w:eastAsia="Times New Roman" w:hAnsi="Times New Roman"/>
          <w:sz w:val="18"/>
          <w:szCs w:val="18"/>
          <w:color w:val="auto"/>
        </w:rPr>
        <w:t>events such as stock splits, stock dividends and other changes in capitalization in accordance with Section 6(a) of the Plan.</w:t>
      </w:r>
    </w:p>
    <w:p>
      <w:pPr>
        <w:spacing w:after="0" w:line="126" w:lineRule="exact"/>
        <w:rPr>
          <w:sz w:val="20"/>
          <w:szCs w:val="20"/>
          <w:color w:val="auto"/>
        </w:rPr>
      </w:pPr>
    </w:p>
    <w:p>
      <w:pPr>
        <w:ind w:left="2" w:right="80" w:firstLine="324"/>
        <w:spacing w:after="0" w:line="21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 the provisions of Section 2 hereof, and further subject to the Company’s ability to terminate the award as provided in Section</w:t>
      </w:r>
    </w:p>
    <w:p>
      <w:pPr>
        <w:spacing w:after="0" w:line="3" w:lineRule="exact"/>
        <w:rPr>
          <w:sz w:val="20"/>
          <w:szCs w:val="20"/>
          <w:color w:val="auto"/>
        </w:rPr>
      </w:pPr>
    </w:p>
    <w:p>
      <w:pPr>
        <w:ind w:left="2" w:right="20"/>
        <w:spacing w:after="0" w:line="208" w:lineRule="auto"/>
        <w:rPr>
          <w:sz w:val="20"/>
          <w:szCs w:val="20"/>
          <w:color w:val="auto"/>
        </w:rPr>
      </w:pPr>
      <w:r>
        <w:rPr>
          <w:rFonts w:ascii="Times New Roman" w:cs="Times New Roman" w:eastAsia="Times New Roman" w:hAnsi="Times New Roman"/>
          <w:sz w:val="18"/>
          <w:szCs w:val="18"/>
          <w:color w:val="auto"/>
        </w:rPr>
        <w:t>6.3 below, the outstanding and previously unvested RSRs (and related Dividend Equivalents) subject to the award shall become fully vested as of the date of the Grantee’s termination of employment if the</w:t>
      </w:r>
    </w:p>
    <w:p>
      <w:pPr>
        <w:spacing w:after="0" w:line="2" w:lineRule="exact"/>
        <w:rPr>
          <w:sz w:val="20"/>
          <w:szCs w:val="20"/>
          <w:color w:val="auto"/>
        </w:rPr>
      </w:pPr>
    </w:p>
    <w:p>
      <w:pPr>
        <w:jc w:val="both"/>
        <w:ind w:left="2" w:right="20"/>
        <w:spacing w:after="0" w:line="220" w:lineRule="auto"/>
        <w:rPr>
          <w:sz w:val="20"/>
          <w:szCs w:val="20"/>
          <w:color w:val="auto"/>
        </w:rPr>
      </w:pPr>
      <w:r>
        <w:rPr>
          <w:rFonts w:ascii="Times New Roman" w:cs="Times New Roman" w:eastAsia="Times New Roman" w:hAnsi="Times New Roman"/>
          <w:sz w:val="17"/>
          <w:szCs w:val="17"/>
          <w:color w:val="auto"/>
        </w:rPr>
        <w:t>termination occurs either within the Protected Period corresponding to a Change in Control of the Company or within twenty-four (24) calendar months following the date of a Change in Control of the Company, the</w:t>
      </w:r>
    </w:p>
    <w:p>
      <w:pPr>
        <w:spacing w:after="0" w:line="2" w:lineRule="exact"/>
        <w:rPr>
          <w:sz w:val="20"/>
          <w:szCs w:val="20"/>
          <w:color w:val="auto"/>
        </w:rPr>
      </w:pPr>
    </w:p>
    <w:p>
      <w:pPr>
        <w:ind w:left="2" w:right="560"/>
        <w:spacing w:after="0" w:line="231" w:lineRule="auto"/>
        <w:rPr>
          <w:sz w:val="20"/>
          <w:szCs w:val="20"/>
          <w:color w:val="auto"/>
        </w:rPr>
      </w:pPr>
      <w:r>
        <w:rPr>
          <w:rFonts w:ascii="Times New Roman" w:cs="Times New Roman" w:eastAsia="Times New Roman" w:hAnsi="Times New Roman"/>
          <w:sz w:val="17"/>
          <w:szCs w:val="17"/>
          <w:color w:val="auto"/>
        </w:rPr>
        <w:t>Grantee’s employment by the Company and its subsidiaries is involuntarily terminated by the Company and its subsidiaries for reasons other than Cause or by the Grantee for Good Reason.</w:t>
      </w:r>
    </w:p>
    <w:p>
      <w:pPr>
        <w:spacing w:after="0" w:line="131" w:lineRule="exact"/>
        <w:rPr>
          <w:sz w:val="20"/>
          <w:szCs w:val="20"/>
          <w:color w:val="auto"/>
        </w:rPr>
      </w:pPr>
    </w:p>
    <w:p>
      <w:pPr>
        <w:ind w:left="2" w:right="240" w:firstLine="405"/>
        <w:spacing w:after="0" w:line="236" w:lineRule="auto"/>
        <w:rPr>
          <w:sz w:val="20"/>
          <w:szCs w:val="20"/>
          <w:color w:val="auto"/>
        </w:rPr>
      </w:pPr>
      <w:r>
        <w:rPr>
          <w:rFonts w:ascii="Times New Roman" w:cs="Times New Roman" w:eastAsia="Times New Roman" w:hAnsi="Times New Roman"/>
          <w:sz w:val="17"/>
          <w:szCs w:val="17"/>
          <w:color w:val="auto"/>
        </w:rPr>
        <w:t>Notwithstanding anything else contained herein to the contrary, the termination of the Grantee’s employment (or other events giving</w:t>
      </w:r>
    </w:p>
    <w:p>
      <w:pPr>
        <w:ind w:left="2" w:right="300"/>
        <w:spacing w:after="0" w:line="239" w:lineRule="auto"/>
        <w:rPr>
          <w:sz w:val="20"/>
          <w:szCs w:val="20"/>
          <w:color w:val="auto"/>
        </w:rPr>
      </w:pPr>
      <w:r>
        <w:rPr>
          <w:rFonts w:ascii="Times New Roman" w:cs="Times New Roman" w:eastAsia="Times New Roman" w:hAnsi="Times New Roman"/>
          <w:sz w:val="17"/>
          <w:szCs w:val="17"/>
          <w:color w:val="auto"/>
        </w:rPr>
        <w:t>rise to Good Reason) shall not entitle the Grantee to any accelerated vesting pursuant to this Section 6.2 if there is objective evidence</w:t>
      </w:r>
    </w:p>
    <w:p>
      <w:pPr>
        <w:sectPr>
          <w:pgSz w:w="11900" w:h="16838" w:orient="portrait"/>
          <w:cols w:equalWidth="0" w:num="2">
            <w:col w:w="5200" w:space="718"/>
            <w:col w:w="5202"/>
          </w:cols>
          <w:pgMar w:left="320" w:top="1147" w:right="459" w:bottom="1440" w:gutter="0" w:footer="0" w:header="0"/>
        </w:sectPr>
      </w:pPr>
    </w:p>
    <w:bookmarkStart w:id="108" w:name="page109"/>
    <w:bookmarkEnd w:id="108"/>
    <w:p>
      <w:pPr>
        <w:spacing w:after="0" w:line="4"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that, as of the commencement of the Protected Period, the Grantee had specifically been identified by the Company as an employee whose employment would be terminated as part of a corporate restructuring or</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downsizing program that commenced prior to the Protected Period and such termination of employment was expected at that time to occur within six (6) months.</w:t>
      </w:r>
    </w:p>
    <w:p>
      <w:pPr>
        <w:spacing w:after="0" w:line="131" w:lineRule="exact"/>
        <w:rPr>
          <w:sz w:val="20"/>
          <w:szCs w:val="20"/>
          <w:color w:val="auto"/>
        </w:rPr>
      </w:pPr>
    </w:p>
    <w:p>
      <w:pPr>
        <w:ind w:firstLine="405"/>
        <w:spacing w:after="0" w:line="222"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6.2 will be made within 60 days of the termination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Grantee’s employment.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w:t>
      </w:r>
    </w:p>
    <w:p>
      <w:pPr>
        <w:spacing w:after="0" w:line="6"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undergoes a Change in Control triggered by clause (iii) or (iv) of the definition thereof and the Company is not the surviving entity and the successor to the Company (if any) (or a Parent thereof) does not agree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in writing prior to the occurrence of the Change in Control to continue and assume the award following the Change in Control, or if for any other reason the award would not continue after the Change in Control,</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then upon the Change in Control the outstanding and previously unvested RSRs (and related Dividend Equivalents) subject to the award shall vest fully and completely. Unless the Committee expressly</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provides otherwise in the circumstances, no acceleration of vesting of the award shall occur pursuant to this Section 6.3 in connection with a Change in Control if either (a) the Company is the surviving entity, or</w:t>
      </w:r>
    </w:p>
    <w:p>
      <w:pPr>
        <w:spacing w:after="0" w:line="2" w:lineRule="exact"/>
        <w:rPr>
          <w:sz w:val="20"/>
          <w:szCs w:val="20"/>
          <w:color w:val="auto"/>
        </w:rPr>
      </w:pPr>
    </w:p>
    <w:p>
      <w:pPr>
        <w:ind w:right="40" w:firstLine="8"/>
        <w:spacing w:after="0" w:line="211"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 Payment of any RSRs (and related Dividend Equivalents) that vest under this Section 6.3 will be made within 60 days of the Change in Control.</w:t>
      </w:r>
    </w:p>
    <w:p>
      <w:pPr>
        <w:spacing w:after="0" w:line="128"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RSRs</w:t>
      </w:r>
    </w:p>
    <w:p>
      <w:pPr>
        <w:spacing w:after="0" w:line="3"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(and related Dividend Equivalents), that the Grantee or other person entitled to such shares or other payment pay the minimum sums required to be withheld by federal, state, local or other applicable tax</w:t>
      </w:r>
    </w:p>
    <w:p>
      <w:pPr>
        <w:spacing w:after="0" w:line="2" w:lineRule="exact"/>
        <w:rPr>
          <w:sz w:val="20"/>
          <w:szCs w:val="20"/>
          <w:color w:val="auto"/>
        </w:rPr>
      </w:pPr>
    </w:p>
    <w:p>
      <w:pPr>
        <w:jc w:val="both"/>
        <w:ind w:right="700"/>
        <w:spacing w:after="0" w:line="208" w:lineRule="auto"/>
        <w:rPr>
          <w:sz w:val="20"/>
          <w:szCs w:val="20"/>
          <w:color w:val="auto"/>
        </w:rPr>
      </w:pPr>
      <w:r>
        <w:rPr>
          <w:rFonts w:ascii="Times New Roman" w:cs="Times New Roman" w:eastAsia="Times New Roman" w:hAnsi="Times New Roman"/>
          <w:sz w:val="18"/>
          <w:szCs w:val="18"/>
          <w:color w:val="auto"/>
        </w:rPr>
        <w:t>law with respect to such vesting or payment. Alternatively, the Company or such subsidiary, in its discretion, may make such provisions for the withholding of taxes as it deems appropriate</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(including, without limitation, withholding the taxes due from compensation otherwise payable to the Grantee or reducing the number of shares otherwise deliverable with respect to the award (valued at</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their then Fair Market Value) by the amount necessary to satisfy such statutory minimum withholding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firstLine="324"/>
        <w:spacing w:after="0" w:line="22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 transfer taxes, if any, and other fees and expenses in connection with the issuance of shares in connection with the vesting of the RSRs.</w:t>
      </w:r>
    </w:p>
    <w:p>
      <w:pPr>
        <w:spacing w:after="0" w:line="128" w:lineRule="exact"/>
        <w:rPr>
          <w:sz w:val="20"/>
          <w:szCs w:val="20"/>
          <w:color w:val="auto"/>
        </w:rPr>
      </w:pPr>
    </w:p>
    <w:p>
      <w:pPr>
        <w:ind w:left="2" w:right="180" w:firstLine="324"/>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i w:val="1"/>
          <w:iCs w:val="1"/>
          <w:color w:val="auto"/>
        </w:rPr>
        <w:t>Compliance with Code</w:t>
      </w:r>
      <w:r>
        <w:rPr>
          <w:rFonts w:ascii="Times New Roman" w:cs="Times New Roman" w:eastAsia="Times New Roman" w:hAnsi="Times New Roman"/>
          <w:sz w:val="17"/>
          <w:szCs w:val="17"/>
          <w:color w:val="auto"/>
        </w:rPr>
        <w:t>. This Agreement is designed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exempt from Code Section 409A, and the Committee shall administer</w:t>
      </w:r>
    </w:p>
    <w:p>
      <w:pPr>
        <w:spacing w:after="0" w:line="1" w:lineRule="exact"/>
        <w:rPr>
          <w:sz w:val="20"/>
          <w:szCs w:val="20"/>
          <w:color w:val="auto"/>
        </w:rPr>
      </w:pPr>
    </w:p>
    <w:p>
      <w:pPr>
        <w:ind w:left="2" w:right="420"/>
        <w:spacing w:after="0" w:line="226" w:lineRule="auto"/>
        <w:rPr>
          <w:sz w:val="20"/>
          <w:szCs w:val="20"/>
          <w:color w:val="auto"/>
        </w:rPr>
      </w:pPr>
      <w:r>
        <w:rPr>
          <w:rFonts w:ascii="Times New Roman" w:cs="Times New Roman" w:eastAsia="Times New Roman" w:hAnsi="Times New Roman"/>
          <w:sz w:val="18"/>
          <w:szCs w:val="18"/>
          <w:color w:val="auto"/>
        </w:rPr>
        <w:t>and construe the award, in such a way as to be exempt from and to avoid adverse tax consequences under Code Section 409A.</w:t>
      </w:r>
    </w:p>
    <w:p>
      <w:pPr>
        <w:spacing w:after="0" w:line="126" w:lineRule="exact"/>
        <w:rPr>
          <w:sz w:val="20"/>
          <w:szCs w:val="20"/>
          <w:color w:val="auto"/>
        </w:rPr>
      </w:pPr>
    </w:p>
    <w:p>
      <w:pPr>
        <w:ind w:left="2" w:right="14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w:t>
      </w:r>
    </w:p>
    <w:p>
      <w:pPr>
        <w:spacing w:after="0" w:line="3" w:lineRule="exact"/>
        <w:rPr>
          <w:sz w:val="20"/>
          <w:szCs w:val="20"/>
          <w:color w:val="auto"/>
        </w:rPr>
      </w:pPr>
    </w:p>
    <w:p>
      <w:pPr>
        <w:ind w:left="2" w:right="200"/>
        <w:spacing w:after="0" w:line="218" w:lineRule="auto"/>
        <w:rPr>
          <w:sz w:val="20"/>
          <w:szCs w:val="20"/>
          <w:color w:val="auto"/>
        </w:rPr>
      </w:pPr>
      <w:r>
        <w:rPr>
          <w:rFonts w:ascii="Times New Roman" w:cs="Times New Roman" w:eastAsia="Times New Roman" w:hAnsi="Times New Roman"/>
          <w:sz w:val="18"/>
          <w:szCs w:val="18"/>
          <w:color w:val="auto"/>
        </w:rPr>
        <w:t>shall have any rights in or against any specific assets of the Company based on the award. Awards shall at all times be considered entirely unfunded for tax purposes.</w:t>
      </w:r>
    </w:p>
    <w:p>
      <w:pPr>
        <w:spacing w:after="0" w:line="127" w:lineRule="exact"/>
        <w:rPr>
          <w:sz w:val="20"/>
          <w:szCs w:val="20"/>
          <w:color w:val="auto"/>
        </w:rPr>
      </w:pPr>
    </w:p>
    <w:p>
      <w:pPr>
        <w:ind w:left="2" w:right="20" w:firstLine="324"/>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7.5 Code Section 280G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Notwithstanding any other provision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Agreement to the contrary, in the event that any amounts payable to</w:t>
      </w:r>
    </w:p>
    <w:p>
      <w:pPr>
        <w:spacing w:after="0" w:line="1" w:lineRule="exact"/>
        <w:rPr>
          <w:sz w:val="20"/>
          <w:szCs w:val="20"/>
          <w:color w:val="auto"/>
        </w:rPr>
      </w:pPr>
    </w:p>
    <w:p>
      <w:pPr>
        <w:ind w:left="2" w:right="20"/>
        <w:spacing w:after="0" w:line="215" w:lineRule="auto"/>
        <w:rPr>
          <w:sz w:val="20"/>
          <w:szCs w:val="20"/>
          <w:color w:val="auto"/>
        </w:rPr>
      </w:pPr>
      <w:r>
        <w:rPr>
          <w:rFonts w:ascii="Times New Roman" w:cs="Times New Roman" w:eastAsia="Times New Roman" w:hAnsi="Times New Roman"/>
          <w:sz w:val="17"/>
          <w:szCs w:val="17"/>
          <w:color w:val="auto"/>
        </w:rPr>
        <w:t>you as a result of Section 6.2 or 6.3 hereof, either alone or together with amounts payable pursuant to any other plan, program or arrangement</w:t>
      </w:r>
    </w:p>
    <w:p>
      <w:pPr>
        <w:spacing w:after="0" w:line="1" w:lineRule="exact"/>
        <w:rPr>
          <w:sz w:val="20"/>
          <w:szCs w:val="20"/>
          <w:color w:val="auto"/>
        </w:rPr>
      </w:pPr>
    </w:p>
    <w:p>
      <w:pPr>
        <w:ind w:left="2" w:hanging="2"/>
        <w:spacing w:after="0" w:line="210" w:lineRule="auto"/>
        <w:tabs>
          <w:tab w:leader="none" w:pos="2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38" w:lineRule="exact"/>
        <w:rPr>
          <w:sz w:val="20"/>
          <w:szCs w:val="20"/>
          <w:color w:val="auto"/>
        </w:rPr>
      </w:pPr>
    </w:p>
    <w:p>
      <w:pPr>
        <w:ind w:left="642" w:hanging="642"/>
        <w:spacing w:after="0"/>
        <w:tabs>
          <w:tab w:leader="none" w:pos="64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This agreement shall be governed by the laws of the State of</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Delaware. Any cause of action or claim arising out of or related to the terms and conditions applicable to this grant will be determined through final and binding arbitration, in accordance with Northrop Grumman</w:t>
      </w:r>
    </w:p>
    <w:p>
      <w:pPr>
        <w:spacing w:after="0" w:line="2" w:lineRule="exact"/>
        <w:rPr>
          <w:sz w:val="20"/>
          <w:szCs w:val="20"/>
          <w:color w:val="auto"/>
        </w:rPr>
      </w:pPr>
    </w:p>
    <w:p>
      <w:pPr>
        <w:ind w:left="2"/>
        <w:spacing w:after="0" w:line="218" w:lineRule="auto"/>
        <w:rPr>
          <w:sz w:val="20"/>
          <w:szCs w:val="20"/>
          <w:color w:val="auto"/>
        </w:rPr>
      </w:pPr>
      <w:r>
        <w:rPr>
          <w:rFonts w:ascii="Times New Roman" w:cs="Times New Roman" w:eastAsia="Times New Roman" w:hAnsi="Times New Roman"/>
          <w:sz w:val="18"/>
          <w:szCs w:val="18"/>
          <w:color w:val="auto"/>
        </w:rPr>
        <w:t>Manual USHR 2-32, provided that the prevailing party in the arbitration shall be entitled to receive from the losing party reasonably incurred attorneys’ fees and costs. You and the Company agree</w:t>
      </w:r>
    </w:p>
    <w:p>
      <w:pPr>
        <w:sectPr>
          <w:pgSz w:w="11900" w:h="16838" w:orient="portrait"/>
          <w:cols w:equalWidth="0" w:num="2">
            <w:col w:w="5220" w:space="698"/>
            <w:col w:w="5202"/>
          </w:cols>
          <w:pgMar w:left="320" w:top="1143" w:right="459" w:bottom="1440" w:gutter="0" w:footer="0" w:header="0"/>
        </w:sectPr>
      </w:pPr>
    </w:p>
    <w:bookmarkStart w:id="109" w:name="page110"/>
    <w:bookmarkEnd w:id="109"/>
    <w:p>
      <w:pPr>
        <w:ind w:right="160"/>
        <w:spacing w:after="0" w:line="229" w:lineRule="auto"/>
        <w:rPr>
          <w:sz w:val="20"/>
          <w:szCs w:val="20"/>
          <w:color w:val="auto"/>
        </w:rPr>
      </w:pPr>
      <w:r>
        <w:rPr>
          <w:rFonts w:ascii="Times New Roman" w:cs="Times New Roman" w:eastAsia="Times New Roman" w:hAnsi="Times New Roman"/>
          <w:sz w:val="17"/>
          <w:szCs w:val="17"/>
          <w:color w:val="auto"/>
        </w:rPr>
        <w:t>that any arbitration hearing and related proceedings shall be convened and conducted in Falls Church, VA. If you or the Company believes they require immediate relief to enforce or challenge this Agreement,</w:t>
      </w:r>
    </w:p>
    <w:p>
      <w:pPr>
        <w:jc w:val="both"/>
        <w:ind w:right="240"/>
        <w:spacing w:after="0" w:line="208" w:lineRule="auto"/>
        <w:rPr>
          <w:sz w:val="20"/>
          <w:szCs w:val="20"/>
          <w:color w:val="auto"/>
        </w:rPr>
      </w:pPr>
      <w:r>
        <w:rPr>
          <w:rFonts w:ascii="Times New Roman" w:cs="Times New Roman" w:eastAsia="Times New Roman" w:hAnsi="Times New Roman"/>
          <w:sz w:val="18"/>
          <w:szCs w:val="18"/>
          <w:color w:val="auto"/>
        </w:rPr>
        <w:t>before arbitration is commenced or concluded, either party may seek injunctive or other provisional equitable relief from a state or federal court in the Commonwealth of Virginia. All court actions or</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proceedings arising under this Agreement shall be heard in a state or federal court in the Commonwealth of Virginia. The Company and you hereby agree to the jurisdiction of the state and federal courts in the</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Commonwealth of Virginia and waive any right to object to such actions on grounds of venue, jurisdiction or convenience.</w:t>
      </w:r>
    </w:p>
    <w:p>
      <w:pPr>
        <w:spacing w:after="0" w:line="126"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Committee has the discretionary authority to determine any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questions as to the date when the Grantee’s employment terminated and the cause of such termination and to interpret any provision of this Agreement, the Grant Letter, the Stock Plan System, the Plan, and any</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other applicable rules. Any action taken by, or inaction of, the Committee relating to or pursuant to this Agreement, the Grant Letter, the Stock Plan System, the Plan, or any other applicable rules shall be</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within the absolute discretion of the Committee and shall be conclusive and binding on all persons.</w:t>
      </w:r>
    </w:p>
    <w:p>
      <w:pPr>
        <w:spacing w:after="0" w:line="126"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RSRs (and related Dividend Equivalents) subject to the award</w:t>
      </w:r>
    </w:p>
    <w:p>
      <w:pPr>
        <w:spacing w:after="0" w:line="14"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are governed by, and the Grantee’s rights are subject to, all of the terms and conditions of the Plan and any other rules adopted by the Committee, as the foregoing may be amended from time to time. The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Grantee shall have no rights with respect to any amendment of this Agreement or the Plan unless such amendment is in writing and signed by a duly authorized officer of the Company. In the event of a conflict</w:t>
      </w:r>
    </w:p>
    <w:p>
      <w:pPr>
        <w:spacing w:after="0" w:line="2" w:lineRule="exact"/>
        <w:rPr>
          <w:sz w:val="20"/>
          <w:szCs w:val="20"/>
          <w:color w:val="auto"/>
        </w:rPr>
      </w:pPr>
    </w:p>
    <w:p>
      <w:pPr>
        <w:jc w:val="both"/>
        <w:ind w:right="500"/>
        <w:spacing w:after="0" w:line="208" w:lineRule="auto"/>
        <w:rPr>
          <w:sz w:val="20"/>
          <w:szCs w:val="20"/>
          <w:color w:val="auto"/>
        </w:rPr>
      </w:pPr>
      <w:r>
        <w:rPr>
          <w:rFonts w:ascii="Times New Roman" w:cs="Times New Roman" w:eastAsia="Times New Roman" w:hAnsi="Times New Roman"/>
          <w:sz w:val="18"/>
          <w:szCs w:val="18"/>
          <w:color w:val="auto"/>
        </w:rPr>
        <w:t>between the provisions of the Grant Letter and/or the Stock Plan System and the provisions of this Agreement and/or the Plan, the provisions of this Agreement and/or the Plan, as applicable,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120"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right="160" w:firstLine="180"/>
        <w:spacing w:after="0" w:line="222"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date Vested RSRs are paid (or, if earlier, on the date the Grantee’s employment by the Company and its subsidiaries terminates for any reason). Any Grantee subject to this Section 11 shall not be permitted to</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sell, transfer, anticipate, alienate, assign, pledge, encumber or charge the number of shares equal to 50% of the total payout of Vested RSRs(net of taxes withheld) until the earlier of (A) the third anniversary</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of the date such shares of Common Stock are paid to the Grantee, (B) the date the Grantee’s employment by the Company and its subsidiaries terminates due to the Grantee’s death or Disability, (C) the occurrence</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of a Change in Control that results in termination and payment under Section 6.2 or 6.3 above, or (D) with respected to Grantee’s entering a U.S. federal government position only, the latest of (i) the date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Grantee’s employment with the Company terminates, or (ii) the date the Grantee formally accepts the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right="280"/>
        <w:spacing w:after="0" w:line="229" w:lineRule="auto"/>
        <w:rPr>
          <w:sz w:val="20"/>
          <w:szCs w:val="20"/>
          <w:color w:val="auto"/>
        </w:rPr>
      </w:pPr>
      <w:r>
        <w:rPr>
          <w:rFonts w:ascii="Times New Roman" w:cs="Times New Roman" w:eastAsia="Times New Roman" w:hAnsi="Times New Roman"/>
          <w:sz w:val="17"/>
          <w:szCs w:val="17"/>
          <w:color w:val="auto"/>
        </w:rPr>
        <w:t>position in writing, or (iii) the date the government confirms the Grantee (for positions requiring nomination and confirmation). For purposes of this Section 11, the total payout of Vested RSRs shall be</w:t>
      </w: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determined on a net basis after taking into account any shares otherwise deliverable with respect to the award that the Company withholds to satisfy tax obligations pursuant to Section 7.1. If Grantee is paid less</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than 50% of the total payout of Vested RSRs (net of taxes) in shares, then all of the shares received will be subject to the holding period requirements in this Section 11. Any shares of Common Stock received</w:t>
      </w:r>
    </w:p>
    <w:p>
      <w:pPr>
        <w:spacing w:after="0" w:line="2" w:lineRule="exact"/>
        <w:rPr>
          <w:sz w:val="20"/>
          <w:szCs w:val="20"/>
          <w:color w:val="auto"/>
        </w:rPr>
      </w:pPr>
    </w:p>
    <w:p>
      <w:pPr>
        <w:jc w:val="both"/>
        <w:ind w:left="2" w:right="60"/>
        <w:spacing w:after="0" w:line="220" w:lineRule="auto"/>
        <w:rPr>
          <w:sz w:val="20"/>
          <w:szCs w:val="20"/>
          <w:color w:val="auto"/>
        </w:rPr>
      </w:pPr>
      <w:r>
        <w:rPr>
          <w:rFonts w:ascii="Times New Roman" w:cs="Times New Roman" w:eastAsia="Times New Roman" w:hAnsi="Times New Roman"/>
          <w:sz w:val="17"/>
          <w:szCs w:val="17"/>
          <w:color w:val="auto"/>
        </w:rPr>
        <w:t>in respect of shares that are covered by the holding period requirements of this Section 11 (such as shares received in respect of a stock split or stock dividend) shall be subject to the same holding period</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requirements as the shares to which they relate.</w:t>
      </w:r>
    </w:p>
    <w:p>
      <w:pPr>
        <w:spacing w:after="0" w:line="120" w:lineRule="exact"/>
        <w:rPr>
          <w:sz w:val="20"/>
          <w:szCs w:val="20"/>
          <w:color w:val="auto"/>
        </w:rPr>
      </w:pPr>
    </w:p>
    <w:p>
      <w:pPr>
        <w:ind w:left="402" w:hanging="402"/>
        <w:spacing w:after="0"/>
        <w:tabs>
          <w:tab w:leader="none" w:pos="40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right="80" w:firstLine="405"/>
        <w:spacing w:after="0" w:line="236" w:lineRule="auto"/>
        <w:rPr>
          <w:sz w:val="20"/>
          <w:szCs w:val="20"/>
          <w:color w:val="auto"/>
        </w:rPr>
      </w:pPr>
      <w:r>
        <w:rPr>
          <w:rFonts w:ascii="Times New Roman" w:cs="Times New Roman" w:eastAsia="Times New Roman" w:hAnsi="Times New Roman"/>
          <w:sz w:val="17"/>
          <w:szCs w:val="17"/>
          <w:color w:val="auto"/>
        </w:rPr>
        <w:t>Whenever used in this Agreement, the following terms shall have the meanings set forth below and, when the meaning is intended, the</w:t>
      </w:r>
    </w:p>
    <w:p>
      <w:pPr>
        <w:ind w:left="2"/>
        <w:spacing w:after="0"/>
        <w:rPr>
          <w:sz w:val="20"/>
          <w:szCs w:val="20"/>
          <w:color w:val="auto"/>
        </w:rPr>
      </w:pPr>
      <w:r>
        <w:rPr>
          <w:rFonts w:ascii="Times New Roman" w:cs="Times New Roman" w:eastAsia="Times New Roman" w:hAnsi="Times New Roman"/>
          <w:sz w:val="18"/>
          <w:szCs w:val="18"/>
          <w:color w:val="auto"/>
        </w:rPr>
        <w:t>initial letter of the word is capitalized:</w:t>
      </w:r>
    </w:p>
    <w:p>
      <w:pPr>
        <w:spacing w:after="0" w:line="12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62" w:lineRule="exact"/>
        <w:rPr>
          <w:sz w:val="20"/>
          <w:szCs w:val="20"/>
          <w:color w:val="auto"/>
        </w:rPr>
      </w:pPr>
    </w:p>
    <w:p>
      <w:pPr>
        <w:ind w:left="562" w:right="120" w:hanging="319"/>
        <w:spacing w:after="0" w:line="220" w:lineRule="auto"/>
        <w:tabs>
          <w:tab w:leader="none" w:pos="5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31" w:lineRule="exact"/>
        <w:rPr>
          <w:rFonts w:ascii="Times New Roman" w:cs="Times New Roman" w:eastAsia="Times New Roman" w:hAnsi="Times New Roman"/>
          <w:sz w:val="18"/>
          <w:szCs w:val="18"/>
          <w:color w:val="auto"/>
        </w:rPr>
      </w:pPr>
    </w:p>
    <w:p>
      <w:pPr>
        <w:ind w:left="562" w:right="40" w:hanging="319"/>
        <w:spacing w:after="0" w:line="217" w:lineRule="auto"/>
        <w:tabs>
          <w:tab w:leader="none" w:pos="6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29"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left="2" w:right="10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28" w:lineRule="exact"/>
        <w:rPr>
          <w:sz w:val="20"/>
          <w:szCs w:val="20"/>
          <w:color w:val="auto"/>
        </w:rPr>
      </w:pPr>
    </w:p>
    <w:p>
      <w:pPr>
        <w:jc w:val="both"/>
        <w:ind w:left="2"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Committee or any successor committee appointed by the Board to administer the Plan.</w:t>
      </w:r>
    </w:p>
    <w:p>
      <w:pPr>
        <w:spacing w:after="0" w:line="12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4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w:t>
      </w:r>
    </w:p>
    <w:p>
      <w:pPr>
        <w:spacing w:after="0" w:line="6" w:lineRule="exact"/>
        <w:rPr>
          <w:sz w:val="20"/>
          <w:szCs w:val="20"/>
          <w:color w:val="auto"/>
        </w:rPr>
      </w:pP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is unable to engage in any substantial gainful activity by reason of any medically determinable physical or mental impairment which can be expected to result in death or can be expected to last for a continuous</w:t>
      </w:r>
    </w:p>
    <w:p>
      <w:pPr>
        <w:spacing w:after="0" w:line="2" w:lineRule="exact"/>
        <w:rPr>
          <w:sz w:val="20"/>
          <w:szCs w:val="20"/>
          <w:color w:val="auto"/>
        </w:rPr>
      </w:pPr>
    </w:p>
    <w:p>
      <w:pPr>
        <w:ind w:left="2" w:right="260"/>
        <w:spacing w:after="0" w:line="218" w:lineRule="auto"/>
        <w:rPr>
          <w:sz w:val="20"/>
          <w:szCs w:val="20"/>
          <w:color w:val="auto"/>
        </w:rPr>
      </w:pPr>
      <w:r>
        <w:rPr>
          <w:rFonts w:ascii="Times New Roman" w:cs="Times New Roman" w:eastAsia="Times New Roman" w:hAnsi="Times New Roman"/>
          <w:sz w:val="18"/>
          <w:szCs w:val="18"/>
          <w:color w:val="auto"/>
        </w:rPr>
        <w:t>period of not less than twelve months; or (ii) is, by reason of any medically determinable physical or mental impairment which can be expected to result in death or</w:t>
      </w:r>
    </w:p>
    <w:p>
      <w:pPr>
        <w:sectPr>
          <w:pgSz w:w="11900" w:h="16838" w:orient="portrait"/>
          <w:cols w:equalWidth="0" w:num="2">
            <w:col w:w="5200" w:space="718"/>
            <w:col w:w="5202"/>
          </w:cols>
          <w:pgMar w:left="320" w:top="1147" w:right="459" w:bottom="1440" w:gutter="0" w:footer="0" w:header="0"/>
        </w:sectPr>
      </w:pPr>
    </w:p>
    <w:bookmarkStart w:id="110" w:name="page111"/>
    <w:bookmarkEnd w:id="110"/>
    <w:p>
      <w:pPr>
        <w:jc w:val="both"/>
        <w:ind w:right="120"/>
        <w:spacing w:after="0" w:line="216" w:lineRule="auto"/>
        <w:rPr>
          <w:sz w:val="20"/>
          <w:szCs w:val="20"/>
          <w:color w:val="auto"/>
        </w:rPr>
      </w:pPr>
      <w:r>
        <w:rPr>
          <w:rFonts w:ascii="Times New Roman" w:cs="Times New Roman" w:eastAsia="Times New Roman" w:hAnsi="Times New Roman"/>
          <w:sz w:val="18"/>
          <w:szCs w:val="18"/>
          <w:color w:val="auto"/>
        </w:rPr>
        <w:t>can be expected to last for a continuous period of not less than twelve months, receiving income replacement benefits for a period of not less than three months under an accident and health plan covering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the Grantee’s employer.</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w:t>
      </w:r>
    </w:p>
    <w:p>
      <w:pPr>
        <w:spacing w:after="0" w:line="6" w:lineRule="exact"/>
        <w:rPr>
          <w:sz w:val="20"/>
          <w:szCs w:val="20"/>
          <w:color w:val="auto"/>
        </w:rPr>
      </w:pPr>
    </w:p>
    <w:p>
      <w:pPr>
        <w:jc w:val="both"/>
        <w:ind w:right="340"/>
        <w:spacing w:after="0" w:line="218" w:lineRule="auto"/>
        <w:rPr>
          <w:sz w:val="20"/>
          <w:szCs w:val="20"/>
          <w:color w:val="auto"/>
        </w:rPr>
      </w:pPr>
      <w:r>
        <w:rPr>
          <w:rFonts w:ascii="Times New Roman" w:cs="Times New Roman" w:eastAsia="Times New Roman" w:hAnsi="Times New Roman"/>
          <w:sz w:val="18"/>
          <w:szCs w:val="18"/>
          <w:color w:val="auto"/>
        </w:rPr>
        <w:t>however, the Committee in determining such Fair Market Value for purposes of the award may utilize such other exchange, market, or listing as it deems appropriate.</w:t>
      </w:r>
    </w:p>
    <w:p>
      <w:pPr>
        <w:spacing w:after="0" w:line="127" w:lineRule="exact"/>
        <w:rPr>
          <w:sz w:val="20"/>
          <w:szCs w:val="20"/>
          <w:color w:val="auto"/>
        </w:rPr>
      </w:pPr>
    </w:p>
    <w:p>
      <w:pPr>
        <w:ind w:right="320" w:firstLine="40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107" w:lineRule="exact"/>
        <w:rPr>
          <w:sz w:val="20"/>
          <w:szCs w:val="20"/>
          <w:color w:val="auto"/>
        </w:rPr>
      </w:pPr>
    </w:p>
    <w:p>
      <w:pPr>
        <w:ind w:left="580" w:right="120" w:hanging="329"/>
        <w:spacing w:after="0" w:line="212" w:lineRule="auto"/>
        <w:tabs>
          <w:tab w:leader="none" w:pos="5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580" w:hanging="143"/>
        <w:spacing w:after="0" w:line="229" w:lineRule="auto"/>
        <w:rPr>
          <w:sz w:val="20"/>
          <w:szCs w:val="20"/>
          <w:color w:val="auto"/>
        </w:rPr>
      </w:pPr>
      <w:r>
        <w:rPr>
          <w:rFonts w:ascii="Times New Roman" w:cs="Times New Roman" w:eastAsia="Times New Roman" w:hAnsi="Times New Roman"/>
          <w:sz w:val="17"/>
          <w:szCs w:val="17"/>
          <w:color w:val="auto"/>
        </w:rPr>
        <w:t>In addition, if the Grantee is a vice president, the Grantee’s loss of vice-president status will constitute “Good Reason”; provided that the loss of the title of “vice president” will not, in and of</w:t>
      </w:r>
    </w:p>
    <w:p>
      <w:pPr>
        <w:ind w:left="580" w:right="120"/>
        <w:spacing w:after="0" w:line="220" w:lineRule="auto"/>
        <w:rPr>
          <w:sz w:val="20"/>
          <w:szCs w:val="20"/>
          <w:color w:val="auto"/>
        </w:rPr>
      </w:pPr>
      <w:r>
        <w:rPr>
          <w:rFonts w:ascii="Times New Roman" w:cs="Times New Roman" w:eastAsia="Times New Roman" w:hAnsi="Times New Roman"/>
          <w:sz w:val="17"/>
          <w:szCs w:val="17"/>
          <w:color w:val="auto"/>
        </w:rPr>
        <w:t>itself, constitute Good Reason if the Grantee’s lack of a vice president title is generally consistent with the manner in which the title of vice president is used within the Grantee’s business</w:t>
      </w:r>
    </w:p>
    <w:p>
      <w:pPr>
        <w:spacing w:after="0" w:line="2" w:lineRule="exact"/>
        <w:rPr>
          <w:sz w:val="20"/>
          <w:szCs w:val="20"/>
          <w:color w:val="auto"/>
        </w:rPr>
      </w:pPr>
    </w:p>
    <w:p>
      <w:pPr>
        <w:ind w:left="580" w:right="100"/>
        <w:spacing w:after="0" w:line="220" w:lineRule="auto"/>
        <w:rPr>
          <w:sz w:val="20"/>
          <w:szCs w:val="20"/>
          <w:color w:val="auto"/>
        </w:rPr>
      </w:pPr>
      <w:r>
        <w:rPr>
          <w:rFonts w:ascii="Times New Roman" w:cs="Times New Roman" w:eastAsia="Times New Roman" w:hAnsi="Times New Roman"/>
          <w:sz w:val="17"/>
          <w:szCs w:val="17"/>
          <w:color w:val="auto"/>
        </w:rPr>
        <w:t>unit or if the loss of the title is the result of a promotion to a higher level office. For the purposes of the preceding sentence, the Grantee’s lack of a vice-president title will only be</w:t>
      </w:r>
    </w:p>
    <w:p>
      <w:pPr>
        <w:spacing w:after="0" w:line="2" w:lineRule="exact"/>
        <w:rPr>
          <w:sz w:val="20"/>
          <w:szCs w:val="20"/>
          <w:color w:val="auto"/>
        </w:rPr>
      </w:pPr>
    </w:p>
    <w:p>
      <w:pPr>
        <w:jc w:val="both"/>
        <w:ind w:left="580" w:right="20"/>
        <w:spacing w:after="0" w:line="220" w:lineRule="auto"/>
        <w:rPr>
          <w:sz w:val="20"/>
          <w:szCs w:val="20"/>
          <w:color w:val="auto"/>
        </w:rPr>
      </w:pPr>
      <w:r>
        <w:rPr>
          <w:rFonts w:ascii="Times New Roman" w:cs="Times New Roman" w:eastAsia="Times New Roman" w:hAnsi="Times New Roman"/>
          <w:sz w:val="17"/>
          <w:szCs w:val="17"/>
          <w:color w:val="auto"/>
        </w:rPr>
        <w:t>considered generally consistent with the manner in which such title is used if most persons in the business unit with authorities, duties, and responsibilities comparable to those of the Grantee</w:t>
      </w:r>
    </w:p>
    <w:p>
      <w:pPr>
        <w:spacing w:after="0" w:line="2" w:lineRule="exact"/>
        <w:rPr>
          <w:sz w:val="20"/>
          <w:szCs w:val="20"/>
          <w:color w:val="auto"/>
        </w:rPr>
      </w:pPr>
    </w:p>
    <w:p>
      <w:pPr>
        <w:jc w:val="both"/>
        <w:ind w:left="580"/>
        <w:spacing w:after="0" w:line="226" w:lineRule="auto"/>
        <w:rPr>
          <w:sz w:val="20"/>
          <w:szCs w:val="20"/>
          <w:color w:val="auto"/>
        </w:rPr>
      </w:pPr>
      <w:r>
        <w:rPr>
          <w:rFonts w:ascii="Times New Roman" w:cs="Times New Roman" w:eastAsia="Times New Roman" w:hAnsi="Times New Roman"/>
          <w:sz w:val="18"/>
          <w:szCs w:val="18"/>
          <w:color w:val="auto"/>
        </w:rPr>
        <w:t>immediately prior to the commencement of the Protected Period do not have the title of vice-president.</w:t>
      </w:r>
    </w:p>
    <w:p>
      <w:pPr>
        <w:spacing w:after="0" w:line="130" w:lineRule="exact"/>
        <w:rPr>
          <w:sz w:val="20"/>
          <w:szCs w:val="20"/>
          <w:color w:val="auto"/>
        </w:rPr>
      </w:pPr>
    </w:p>
    <w:p>
      <w:pPr>
        <w:ind w:left="580" w:right="40" w:hanging="329"/>
        <w:spacing w:after="0" w:line="224" w:lineRule="auto"/>
        <w:tabs>
          <w:tab w:leader="none" w:pos="6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560" w:right="20" w:hanging="319"/>
        <w:spacing w:after="0" w:line="213" w:lineRule="auto"/>
        <w:tabs>
          <w:tab w:leader="none" w:pos="6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1" w:lineRule="exact"/>
        <w:rPr>
          <w:rFonts w:ascii="Times New Roman" w:cs="Times New Roman" w:eastAsia="Times New Roman" w:hAnsi="Times New Roman"/>
          <w:sz w:val="18"/>
          <w:szCs w:val="18"/>
          <w:color w:val="auto"/>
        </w:rPr>
      </w:pPr>
    </w:p>
    <w:p>
      <w:pPr>
        <w:ind w:left="560" w:hanging="319"/>
        <w:spacing w:after="0" w:line="215" w:lineRule="auto"/>
        <w:tabs>
          <w:tab w:leader="none" w:pos="6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0" w:lineRule="exact"/>
        <w:rPr>
          <w:rFonts w:ascii="Times New Roman" w:cs="Times New Roman" w:eastAsia="Times New Roman" w:hAnsi="Times New Roman"/>
          <w:sz w:val="18"/>
          <w:szCs w:val="18"/>
          <w:color w:val="auto"/>
        </w:rPr>
      </w:pPr>
    </w:p>
    <w:p>
      <w:pPr>
        <w:ind w:left="560" w:right="100" w:hanging="319"/>
        <w:spacing w:after="0" w:line="214" w:lineRule="auto"/>
        <w:tabs>
          <w:tab w:leader="none" w:pos="6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34" w:lineRule="exact"/>
        <w:rPr>
          <w:sz w:val="20"/>
          <w:szCs w:val="20"/>
          <w:color w:val="auto"/>
        </w:rPr>
      </w:pPr>
    </w:p>
    <w:p>
      <w:pPr>
        <w:ind w:right="260" w:firstLine="405"/>
        <w:spacing w:after="0" w:line="236" w:lineRule="auto"/>
        <w:rPr>
          <w:sz w:val="20"/>
          <w:szCs w:val="20"/>
          <w:color w:val="auto"/>
        </w:rPr>
      </w:pPr>
      <w:r>
        <w:rPr>
          <w:rFonts w:ascii="Times New Roman" w:cs="Times New Roman" w:eastAsia="Times New Roman" w:hAnsi="Times New Roman"/>
          <w:sz w:val="17"/>
          <w:szCs w:val="17"/>
          <w:color w:val="auto"/>
        </w:rPr>
        <w:t>The Grantee’s right to terminate employment for Good Reason shall not be affected by the Grantee’s incapacity due to physical or</w:t>
      </w:r>
    </w:p>
    <w:p>
      <w:pPr>
        <w:spacing w:after="0" w:line="218" w:lineRule="auto"/>
        <w:rPr>
          <w:sz w:val="20"/>
          <w:szCs w:val="20"/>
          <w:color w:val="auto"/>
        </w:rPr>
      </w:pPr>
      <w:r>
        <w:rPr>
          <w:rFonts w:ascii="Times New Roman" w:cs="Times New Roman" w:eastAsia="Times New Roman" w:hAnsi="Times New Roman"/>
          <w:sz w:val="18"/>
          <w:szCs w:val="18"/>
          <w:color w:val="auto"/>
        </w:rPr>
        <w:t>mental illness. The Grantee’s continued employment shall not constitute a consent to, or a waiver of rights with respect to, any circumstances constituting Good Reason herein.</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28" w:lineRule="exact"/>
        <w:rPr>
          <w:sz w:val="20"/>
          <w:szCs w:val="20"/>
          <w:color w:val="auto"/>
        </w:rPr>
      </w:pPr>
    </w:p>
    <w:p>
      <w:pPr>
        <w:ind w:right="60" w:firstLine="405"/>
        <w:spacing w:after="0" w:line="22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2" w:lineRule="exact"/>
        <w:rPr>
          <w:sz w:val="20"/>
          <w:szCs w:val="20"/>
          <w:color w:val="auto"/>
        </w:rPr>
      </w:pPr>
    </w:p>
    <w:p>
      <w:pPr>
        <w:ind w:left="560" w:hanging="319"/>
        <w:spacing w:after="0" w:line="220" w:lineRule="auto"/>
        <w:tabs>
          <w:tab w:leader="none" w:pos="5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w:t>
      </w:r>
    </w:p>
    <w:p>
      <w:pPr>
        <w:sectPr>
          <w:pgSz w:w="11900" w:h="16838" w:orient="portrait"/>
          <w:cols w:equalWidth="0" w:num="2">
            <w:col w:w="5200" w:space="720"/>
            <w:col w:w="5200"/>
          </w:cols>
          <w:pgMar w:left="320" w:top="1147" w:right="459" w:bottom="1440" w:gutter="0" w:footer="0" w:header="0"/>
        </w:sectPr>
      </w:pPr>
    </w:p>
    <w:bookmarkStart w:id="111" w:name="page112"/>
    <w:bookmarkEnd w:id="111"/>
    <w:p>
      <w:pPr>
        <w:ind w:left="580"/>
        <w:spacing w:after="0"/>
        <w:rPr>
          <w:sz w:val="20"/>
          <w:szCs w:val="20"/>
          <w:color w:val="auto"/>
        </w:rPr>
      </w:pPr>
      <w:r>
        <w:rPr>
          <w:rFonts w:ascii="Times New Roman" w:cs="Times New Roman" w:eastAsia="Times New Roman" w:hAnsi="Times New Roman"/>
          <w:sz w:val="18"/>
          <w:szCs w:val="18"/>
          <w:color w:val="auto"/>
        </w:rPr>
        <w:t>case will the Protected Period commence earlier than the date</w:t>
      </w:r>
    </w:p>
    <w:p>
      <w:pPr>
        <w:ind w:left="580"/>
        <w:spacing w:after="0"/>
        <w:rPr>
          <w:sz w:val="20"/>
          <w:szCs w:val="20"/>
          <w:color w:val="auto"/>
        </w:rPr>
      </w:pPr>
      <w:r>
        <w:rPr>
          <w:rFonts w:ascii="Times New Roman" w:cs="Times New Roman" w:eastAsia="Times New Roman" w:hAnsi="Times New Roman"/>
          <w:sz w:val="18"/>
          <w:szCs w:val="18"/>
          <w:color w:val="auto"/>
        </w:rPr>
        <w:t>that is six (6) months prior to the Change in Control.</w:t>
      </w:r>
    </w:p>
    <w:p>
      <w:pPr>
        <w:spacing w:after="0" w:line="138" w:lineRule="exact"/>
        <w:rPr>
          <w:sz w:val="20"/>
          <w:szCs w:val="20"/>
          <w:color w:val="auto"/>
        </w:rPr>
      </w:pPr>
    </w:p>
    <w:p>
      <w:pPr>
        <w:ind w:left="580" w:right="4939" w:hanging="329"/>
        <w:spacing w:after="0" w:line="214" w:lineRule="auto"/>
        <w:tabs>
          <w:tab w:leader="none" w:pos="6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2" w:lineRule="exact"/>
        <w:rPr>
          <w:rFonts w:ascii="Times New Roman" w:cs="Times New Roman" w:eastAsia="Times New Roman" w:hAnsi="Times New Roman"/>
          <w:sz w:val="18"/>
          <w:szCs w:val="18"/>
          <w:color w:val="auto"/>
        </w:rPr>
      </w:pPr>
    </w:p>
    <w:p>
      <w:pPr>
        <w:ind w:left="700" w:hanging="449"/>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ind w:left="780" w:hanging="205"/>
        <w:spacing w:after="0" w:line="219" w:lineRule="auto"/>
        <w:tabs>
          <w:tab w:leader="none" w:pos="7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w:t>
      </w:r>
    </w:p>
    <w:p>
      <w:pPr>
        <w:ind w:left="580"/>
        <w:spacing w:after="0" w:line="203" w:lineRule="auto"/>
        <w:rPr>
          <w:sz w:val="20"/>
          <w:szCs w:val="20"/>
          <w:color w:val="auto"/>
        </w:rPr>
      </w:pPr>
      <w:r>
        <w:rPr>
          <w:rFonts w:ascii="Times New Roman" w:cs="Times New Roman" w:eastAsia="Times New Roman" w:hAnsi="Times New Roman"/>
          <w:sz w:val="18"/>
          <w:szCs w:val="18"/>
          <w:color w:val="auto"/>
        </w:rPr>
        <w:t>date that is six (6) months prior to the Change in Control and</w:t>
      </w:r>
    </w:p>
    <w:p>
      <w:pPr>
        <w:ind w:left="580"/>
        <w:spacing w:after="0" w:line="204" w:lineRule="auto"/>
        <w:rPr>
          <w:sz w:val="20"/>
          <w:szCs w:val="20"/>
          <w:color w:val="auto"/>
        </w:rPr>
      </w:pPr>
      <w:r>
        <w:rPr>
          <w:rFonts w:ascii="Times New Roman" w:cs="Times New Roman" w:eastAsia="Times New Roman" w:hAnsi="Times New Roman"/>
          <w:sz w:val="18"/>
          <w:szCs w:val="18"/>
          <w:color w:val="auto"/>
        </w:rPr>
        <w:t>shall continue through and including the date of the Change in</w:t>
      </w:r>
    </w:p>
    <w:p>
      <w:pPr>
        <w:ind w:left="580"/>
        <w:spacing w:after="0"/>
        <w:rPr>
          <w:sz w:val="20"/>
          <w:szCs w:val="20"/>
          <w:color w:val="auto"/>
        </w:rPr>
      </w:pPr>
      <w:r>
        <w:rPr>
          <w:rFonts w:ascii="Times New Roman" w:cs="Times New Roman" w:eastAsia="Times New Roman" w:hAnsi="Times New Roman"/>
          <w:sz w:val="18"/>
          <w:szCs w:val="18"/>
          <w:color w:val="auto"/>
        </w:rPr>
        <w:t>Control.</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w:t>
      </w:r>
    </w:p>
    <w:p>
      <w:pPr>
        <w:spacing w:after="0"/>
        <w:rPr>
          <w:sz w:val="20"/>
          <w:szCs w:val="20"/>
          <w:color w:val="auto"/>
        </w:rPr>
      </w:pPr>
      <w:r>
        <w:rPr>
          <w:rFonts w:ascii="Times New Roman" w:cs="Times New Roman" w:eastAsia="Times New Roman" w:hAnsi="Times New Roman"/>
          <w:sz w:val="18"/>
          <w:szCs w:val="18"/>
          <w:color w:val="auto"/>
        </w:rPr>
        <w:t>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39"/>
          </w:cols>
          <w:pgMar w:left="320" w:top="1136" w:right="1440" w:bottom="1440" w:gutter="0" w:footer="0" w:header="0"/>
        </w:sectPr>
      </w:pPr>
    </w:p>
    <w:bookmarkStart w:id="112" w:name="page113"/>
    <w:bookmarkEnd w:id="112"/>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NORTHROP GRUMMAN CORPORATION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Systems Corporation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Northrop Grumman Overseas Holdings, Inc.</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additional subsidiaries, which do not constitute significant subsidiaries.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All the above listed subsidiaries have been consolidated in the company's consolidated financial statements.</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144"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033-59815, 033-59853, 333-67266, 333-100179, 333-107734, 333-121104, 333-125120, 333-127317, 333-175798, and 333-273482 on Form S-8, 333-270497 on Form S-3, and 333-264549 on Form S-4 of our reports dated January 24, 2024, relating to the financial statements of Northrop Grumman Corporation and subsidiaries, and the effectiveness of Northrop Grumman Corporation and subsidiaries' internal control over financial reporting, appearing in this Annual Report on Form 10-K for the year ended December 31, 2023.</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ANNUAL REPORT ON FORM 10-K</w:t>
      </w:r>
    </w:p>
    <w:p>
      <w:pPr>
        <w:spacing w:after="0" w:line="2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directors and officers of NORTHROP GRUMMAN CORPORATION, a Delaware corporation, does hereby appoint KATHRYN G. SIMPSON and JENNIFER C. MCGAREY, and each of them as his or her agents and attorneys-in-fact (the “Agents”), in his or her respective name and in the capacity or capacities indicated below, to execute and/or file the Annual Report on Form 10-K for the fiscal year ended December 31, 2023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or superseded by written notice filed with the Commission.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each of the undersigned has caused this Power of Attorney to be executed as of this 24th day of January 2024.</w:t>
      </w:r>
    </w:p>
    <w:p>
      <w:pPr>
        <w:sectPr>
          <w:pgSz w:w="11900" w:h="16838" w:orient="portrait"/>
          <w:cols w:equalWidth="0" w:num="1">
            <w:col w:w="11240"/>
          </w:cols>
          <w:pgMar w:left="320" w:top="98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P. Abney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P. Abney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Marianne C. Brown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Marianne C. Brown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M. Fudge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M. Fudge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Madeleine A. Kleiner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Madeleine A. Kleiner</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Arvind Krishna</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Arvind Krishna</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Graham N. Robinson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N. Robinson</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Kimberly A. Ross</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Kimberly A. Ross</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Roughead</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Gary Roughead</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M. Schoewe</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M. Schoewe</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S. Turley</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James S. Turley</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A. Welsh, III</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A. Welsh, III</w:t>
            </w:r>
          </w:p>
        </w:tc>
        <w:tc>
          <w:tcPr>
            <w:tcW w:w="4180" w:type="dxa"/>
            <w:vAlign w:val="bottom"/>
          </w:tcPr>
          <w:p>
            <w:pPr>
              <w:spacing w:after="0"/>
              <w:rPr>
                <w:sz w:val="20"/>
                <w:szCs w:val="20"/>
                <w:color w:val="auto"/>
              </w:rPr>
            </w:pPr>
          </w:p>
        </w:tc>
      </w:tr>
      <w:tr>
        <w:trPr>
          <w:trHeight w:val="491"/>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A. Winston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Mary A. Winston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 Chief Executive Officer and President</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Kathy J. Warden</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Kathy J. Warden</w:t>
            </w:r>
          </w:p>
        </w:tc>
        <w:tc>
          <w:tcPr>
            <w:tcW w:w="4180" w:type="dxa"/>
            <w:vAlign w:val="bottom"/>
          </w:tcPr>
          <w:p>
            <w:pPr>
              <w:spacing w:after="0"/>
              <w:rPr>
                <w:sz w:val="20"/>
                <w:szCs w:val="20"/>
                <w:color w:val="auto"/>
              </w:rPr>
            </w:pPr>
          </w:p>
        </w:tc>
      </w:tr>
      <w:tr>
        <w:trPr>
          <w:trHeight w:val="437"/>
        </w:trPr>
        <w:tc>
          <w:tcPr>
            <w:tcW w:w="284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Corporate Vice President and Chief Financial Officer</w:t>
            </w:r>
          </w:p>
        </w:tc>
      </w:tr>
      <w:tr>
        <w:trPr>
          <w:trHeight w:val="2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F. Keffer</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2"/>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F. Keffer</w:t>
            </w:r>
          </w:p>
        </w:tc>
        <w:tc>
          <w:tcPr>
            <w:tcW w:w="4180" w:type="dxa"/>
            <w:vAlign w:val="bottom"/>
          </w:tcPr>
          <w:p>
            <w:pPr>
              <w:spacing w:after="0"/>
              <w:rPr>
                <w:sz w:val="20"/>
                <w:szCs w:val="20"/>
                <w:color w:val="auto"/>
              </w:rPr>
            </w:pPr>
          </w:p>
        </w:tc>
      </w:tr>
    </w:tbl>
    <w:p>
      <w:pPr>
        <w:sectPr>
          <w:pgSz w:w="11900" w:h="16838" w:orient="portrait"/>
          <w:cols w:equalWidth="0" w:num="1">
            <w:col w:w="10139"/>
          </w:cols>
          <w:pgMar w:left="320" w:top="1174"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2024</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2024</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2023,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2024</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Northrop Grumman Corporation (the “company”) on Form 10-K for the period ended December 31, 2023,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2024</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20" w:name="page121"/>
    <w:bookmarkEnd w:id="120"/>
    <w:p>
      <w:pPr>
        <w:ind w:left="10220"/>
        <w:spacing w:after="0"/>
        <w:rPr>
          <w:sz w:val="20"/>
          <w:szCs w:val="20"/>
          <w:color w:val="auto"/>
        </w:rPr>
      </w:pPr>
      <w:r>
        <w:rPr>
          <w:rFonts w:ascii="Arial" w:cs="Arial" w:eastAsia="Arial" w:hAnsi="Arial"/>
          <w:sz w:val="21"/>
          <w:szCs w:val="21"/>
          <w:b w:val="1"/>
          <w:bCs w:val="1"/>
          <w:u w:val="single" w:color="auto"/>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Northrop Grumman Policy Regarding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Recoupment of Certain Incentive Compensation Payments</w:t>
      </w:r>
    </w:p>
    <w:p>
      <w:pPr>
        <w:spacing w:after="0" w:line="22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This policy of Northrop Grumman Corporation (“Northrop Grumman” or the “Company”) sets forth the Company’s policy regarding the recoupment of certain incentive compensation payments.</w:t>
      </w:r>
    </w:p>
    <w:p>
      <w:pPr>
        <w:ind w:left="380" w:hanging="372"/>
        <w:spacing w:after="0" w:line="232" w:lineRule="auto"/>
        <w:tabs>
          <w:tab w:leader="none" w:pos="3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jc w:val="both"/>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“Accounting Restatement” </w:t>
      </w:r>
      <w:r>
        <w:rPr>
          <w:rFonts w:ascii="Times New Roman" w:cs="Times New Roman" w:eastAsia="Times New Roman" w:hAnsi="Times New Roman"/>
          <w:sz w:val="22"/>
          <w:szCs w:val="22"/>
          <w:color w:val="auto"/>
        </w:rPr>
        <w:t>means a requirement that the Company prepare an accounting restatement due to the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for purposes of this policy.</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of the Company (as defined in Rule 16a-1(f)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Act (an “Executive Officer”)) at any time during the performance period for the applicable Incentive-Based Compensation.</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“Erroneously Awarded Compensation” </w:t>
      </w:r>
      <w:r>
        <w:rPr>
          <w:rFonts w:ascii="Times New Roman" w:cs="Times New Roman" w:eastAsia="Times New Roman" w:hAnsi="Times New Roman"/>
          <w:sz w:val="21"/>
          <w:szCs w:val="21"/>
          <w:color w:val="auto"/>
        </w:rPr>
        <w:t>means the amount of Incentive-Based Compensation that was received that exceeds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amount of Incentive-Based Compensation that otherwise would have been Received had the amount of Incentive-Based Compensation been determined based on the restated amounts, computed without regard to any taxes paid by the Covered Person. For Incentive-Based Compensation based on stock price or total shareholder return, where the amount of erroneously awarded compensation is not subject to mathematical recalculation directly from the information in an Accounting Restatement,</w:t>
      </w:r>
    </w:p>
    <w:p>
      <w:pPr>
        <w:spacing w:after="0" w:line="2" w:lineRule="exact"/>
        <w:rPr>
          <w:sz w:val="20"/>
          <w:szCs w:val="20"/>
          <w:color w:val="auto"/>
        </w:rPr>
      </w:pPr>
    </w:p>
    <w:p>
      <w:pPr>
        <w:jc w:val="both"/>
        <w:ind w:firstLine="8"/>
        <w:spacing w:after="0" w:line="235" w:lineRule="auto"/>
        <w:tabs>
          <w:tab w:leader="none" w:pos="27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must be based on a reasonable estimate of the effect of the Accounting Restatement on the stock price or total shareholder return upon which the Incentive-Based Compensation was Received and (ii) the Company must maintain documentation of the determination of the estimate and provide the documentation to the NYSE.</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“Financial Reporting Measure” </w:t>
      </w:r>
      <w:r>
        <w:rPr>
          <w:rFonts w:ascii="Times New Roman" w:cs="Times New Roman" w:eastAsia="Times New Roman" w:hAnsi="Times New Roman"/>
          <w:sz w:val="22"/>
          <w:szCs w:val="22"/>
          <w:color w:val="auto"/>
        </w:rPr>
        <w:t>means any measure that is determined and presented in accordance with the accounting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principles used in preparing the Company’s financial statements, and any measure that is derived wholly or in part from such measure (including stock price and total shareholder return).</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attainment of a Financial Reporting Measures.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Incentive-Based Compensation award is attained, even if the payment or grant of the Incentive-Based Compensation occurs after the end of the period.</w:t>
      </w:r>
    </w:p>
    <w:p>
      <w:pPr>
        <w:spacing w:after="0" w:line="19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(i) the date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(the “Board”), a committee of the Board, or the officer/officers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Calibri" w:cs="Calibri" w:eastAsia="Calibri" w:hAnsi="Calibri"/>
          <w:sz w:val="16"/>
          <w:szCs w:val="16"/>
          <w:b w:val="1"/>
          <w:bCs w:val="1"/>
          <w:color w:val="auto"/>
        </w:rPr>
        <w:t>Efectve July 1, 2023</w:t>
      </w:r>
    </w:p>
    <w:p>
      <w:pPr>
        <w:sectPr>
          <w:pgSz w:w="11900" w:h="16838" w:orient="portrait"/>
          <w:cols w:equalWidth="0" w:num="1">
            <w:col w:w="11240"/>
          </w:cols>
          <w:pgMar w:left="320" w:top="367" w:right="339" w:bottom="1440" w:gutter="0" w:footer="0" w:header="0"/>
        </w:sectPr>
      </w:pPr>
    </w:p>
    <w:bookmarkStart w:id="121" w:name="page122"/>
    <w:bookmarkEnd w:id="121"/>
    <w:p>
      <w:pPr>
        <w:ind w:left="10220"/>
        <w:spacing w:after="0"/>
        <w:rPr>
          <w:sz w:val="20"/>
          <w:szCs w:val="20"/>
          <w:color w:val="auto"/>
        </w:rPr>
      </w:pPr>
      <w:r>
        <w:rPr>
          <w:rFonts w:ascii="Arial" w:cs="Arial" w:eastAsia="Arial" w:hAnsi="Arial"/>
          <w:sz w:val="21"/>
          <w:szCs w:val="21"/>
          <w:b w:val="1"/>
          <w:bCs w:val="1"/>
          <w:u w:val="single" w:color="auto"/>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96" w:lineRule="exact"/>
        <w:rPr>
          <w:sz w:val="20"/>
          <w:szCs w:val="20"/>
          <w:color w:val="auto"/>
        </w:rPr>
      </w:pPr>
    </w:p>
    <w:p>
      <w:pPr>
        <w:ind w:left="220" w:hanging="212"/>
        <w:spacing w:after="0"/>
        <w:tabs>
          <w:tab w:leader="none" w:pos="2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233" w:lineRule="exact"/>
        <w:rPr>
          <w:rFonts w:ascii="Times New Roman" w:cs="Times New Roman" w:eastAsia="Times New Roman" w:hAnsi="Times New Roman"/>
          <w:sz w:val="22"/>
          <w:szCs w:val="22"/>
          <w:b w:val="1"/>
          <w:bCs w:val="1"/>
          <w:color w:val="auto"/>
        </w:rPr>
      </w:pPr>
    </w:p>
    <w:p>
      <w:pPr>
        <w:jc w:val="both"/>
        <w:ind w:firstLine="567"/>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Subject to the terms of this policy and the requirements of Section 303A. 14 of the NYSE Listed Company Manual (“Section 303A.14”), if the Company is required to prepare an Accounting Restatement, the Company will attempt to recover, reasonably promptly from each Covered Person, the amount of Erroneously Awarded Compensation that was Received by such Covered Person during the Recovery Period.</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 Compensation Covered</w:t>
      </w:r>
      <w:r>
        <w:rPr>
          <w:rFonts w:ascii="Times New Roman" w:cs="Times New Roman" w:eastAsia="Times New Roman" w:hAnsi="Times New Roman"/>
          <w:sz w:val="22"/>
          <w:szCs w:val="22"/>
          <w:color w:val="auto"/>
        </w:rPr>
        <w:t>. This Section 2 does not apply to Incentive-Based Compensation that was Received by the Covered Person before October 2, 2023 or before beginning service as an Executive Officer or, if earlier, first being designated as a Covered Person.</w:t>
      </w:r>
    </w:p>
    <w:p>
      <w:pPr>
        <w:spacing w:after="0" w:line="19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i w:val="1"/>
          <w:iCs w:val="1"/>
          <w:color w:val="auto"/>
        </w:rPr>
        <w:t>Exceptions to Recovery</w:t>
      </w:r>
      <w:r>
        <w:rPr>
          <w:rFonts w:ascii="Times New Roman" w:cs="Times New Roman" w:eastAsia="Times New Roman" w:hAnsi="Times New Roman"/>
          <w:sz w:val="22"/>
          <w:szCs w:val="22"/>
          <w:color w:val="auto"/>
        </w:rPr>
        <w:t>. The Company shall not be required to recover Erroneously Awarded Compensation if a determination is made by the Compensation Committee that recovery would be impracticable where:</w:t>
      </w:r>
    </w:p>
    <w:p>
      <w:pPr>
        <w:spacing w:after="0" w:line="181" w:lineRule="exact"/>
        <w:rPr>
          <w:sz w:val="20"/>
          <w:szCs w:val="20"/>
          <w:color w:val="auto"/>
        </w:rPr>
      </w:pPr>
    </w:p>
    <w:p>
      <w:pPr>
        <w:jc w:val="both"/>
        <w:ind w:left="1300" w:hanging="320"/>
        <w:spacing w:after="0" w:line="244" w:lineRule="auto"/>
        <w:tabs>
          <w:tab w:leader="none" w:pos="129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after making a reasonable attempt to recover such compensation, documenting such reasonable attempt to recover and providing that documentation to the exchange; or</w:t>
      </w:r>
    </w:p>
    <w:p>
      <w:pPr>
        <w:spacing w:after="0" w:line="200"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29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2" w:lineRule="exact"/>
        <w:rPr>
          <w:sz w:val="20"/>
          <w:szCs w:val="20"/>
          <w:color w:val="auto"/>
        </w:rPr>
      </w:pPr>
    </w:p>
    <w:p>
      <w:pPr>
        <w:jc w:val="both"/>
        <w:ind w:firstLine="567"/>
        <w:spacing w:after="0" w:line="241"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i w:val="1"/>
          <w:iCs w:val="1"/>
          <w:color w:val="auto"/>
        </w:rPr>
        <w:t>. Interaction with Other Clawback Provisions; No Duplication of Recovery.</w:t>
      </w:r>
      <w:r>
        <w:rPr>
          <w:rFonts w:ascii="Times New Roman" w:cs="Times New Roman" w:eastAsia="Times New Roman" w:hAnsi="Times New Roman"/>
          <w:sz w:val="22"/>
          <w:szCs w:val="22"/>
          <w:color w:val="auto"/>
        </w:rPr>
        <w:t xml:space="preserve"> The Company will be deemed to have recovered Erroneously Awarded Compensation in accordance with this Section 2 to the extent the Company actually receives such amounts pursuant to any other Company policy, procedure (including Section 3 hereof) or pursuant to Section 304 of the Sarbanes-Oxley Act.</w:t>
      </w:r>
    </w:p>
    <w:p>
      <w:pPr>
        <w:spacing w:after="0" w:line="199" w:lineRule="exact"/>
        <w:rPr>
          <w:sz w:val="20"/>
          <w:szCs w:val="20"/>
          <w:color w:val="auto"/>
        </w:rPr>
      </w:pPr>
    </w:p>
    <w:p>
      <w:pPr>
        <w:ind w:left="220" w:hanging="212"/>
        <w:spacing w:after="0"/>
        <w:tabs>
          <w:tab w:leader="none" w:pos="2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Other Incentive Compensation Due to Misconduct</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 other provisions of this Policy, the Board of Directors may, after consideration of the facts and circumstances that the Board considers appropriate and in its discretion, require reimbursement of all or a portion of any performance-based short or long-term cash or equity incentive payment (“incentive payment”) made to an elected officer in the prior three years where:</w:t>
      </w:r>
    </w:p>
    <w:p>
      <w:pPr>
        <w:spacing w:after="0" w:line="206" w:lineRule="exact"/>
        <w:rPr>
          <w:sz w:val="20"/>
          <w:szCs w:val="20"/>
          <w:color w:val="auto"/>
        </w:rPr>
      </w:pPr>
    </w:p>
    <w:p>
      <w:pPr>
        <w:ind w:left="1060" w:hanging="323"/>
        <w:spacing w:after="0" w:line="258" w:lineRule="auto"/>
        <w:tabs>
          <w:tab w:leader="none" w:pos="106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incentive payment was predicated on achieving or reflects certain financial results that were subsequently the subject of a restatement of Company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Calibri" w:cs="Calibri" w:eastAsia="Calibri" w:hAnsi="Calibri"/>
          <w:sz w:val="16"/>
          <w:szCs w:val="16"/>
          <w:b w:val="1"/>
          <w:bCs w:val="1"/>
          <w:color w:val="auto"/>
        </w:rPr>
        <w:t>Efectve July 1, 2023</w:t>
      </w:r>
    </w:p>
    <w:p>
      <w:pPr>
        <w:sectPr>
          <w:pgSz w:w="11900" w:h="16838" w:orient="portrait"/>
          <w:cols w:equalWidth="0" w:num="1">
            <w:col w:w="11240"/>
          </w:cols>
          <w:pgMar w:left="320" w:top="367" w:right="339" w:bottom="1440" w:gutter="0" w:footer="0" w:header="0"/>
        </w:sectPr>
      </w:pPr>
    </w:p>
    <w:bookmarkStart w:id="122" w:name="page123"/>
    <w:bookmarkEnd w:id="122"/>
    <w:p>
      <w:pPr>
        <w:ind w:left="10220"/>
        <w:spacing w:after="0"/>
        <w:rPr>
          <w:sz w:val="20"/>
          <w:szCs w:val="20"/>
          <w:color w:val="auto"/>
        </w:rPr>
      </w:pPr>
      <w:r>
        <w:rPr>
          <w:rFonts w:ascii="Arial" w:cs="Arial" w:eastAsia="Arial" w:hAnsi="Arial"/>
          <w:sz w:val="21"/>
          <w:szCs w:val="21"/>
          <w:b w:val="1"/>
          <w:bCs w:val="1"/>
          <w:u w:val="single" w:color="auto"/>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60"/>
        <w:spacing w:after="0" w:line="258" w:lineRule="auto"/>
        <w:rPr>
          <w:sz w:val="20"/>
          <w:szCs w:val="20"/>
          <w:color w:val="auto"/>
        </w:rPr>
      </w:pPr>
      <w:r>
        <w:rPr>
          <w:rFonts w:ascii="Times New Roman" w:cs="Times New Roman" w:eastAsia="Times New Roman" w:hAnsi="Times New Roman"/>
          <w:sz w:val="22"/>
          <w:szCs w:val="22"/>
          <w:color w:val="auto"/>
        </w:rPr>
        <w:t>statements filed with the SEC, and the restatement was as a result of the employee’s misconduct or failure to report another’s misconduct; or</w:t>
      </w:r>
    </w:p>
    <w:p>
      <w:pPr>
        <w:spacing w:after="0" w:line="185" w:lineRule="exact"/>
        <w:rPr>
          <w:sz w:val="20"/>
          <w:szCs w:val="20"/>
          <w:color w:val="auto"/>
        </w:rPr>
      </w:pPr>
    </w:p>
    <w:p>
      <w:pPr>
        <w:ind w:left="980" w:hanging="324"/>
        <w:spacing w:after="0" w:line="258" w:lineRule="auto"/>
        <w:tabs>
          <w:tab w:leader="none" w:pos="97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engaged in fraud, bribery or any other illegal act, or failed to report another’s fraud, bribery or illegal act, and such misconduct caused significant financial or reputational harm to the Company; or</w:t>
      </w:r>
    </w:p>
    <w:p>
      <w:pPr>
        <w:spacing w:after="0" w:line="185" w:lineRule="exact"/>
        <w:rPr>
          <w:rFonts w:ascii="Times New Roman" w:cs="Times New Roman" w:eastAsia="Times New Roman" w:hAnsi="Times New Roman"/>
          <w:sz w:val="22"/>
          <w:szCs w:val="22"/>
          <w:color w:val="auto"/>
        </w:rPr>
      </w:pPr>
    </w:p>
    <w:p>
      <w:pPr>
        <w:ind w:left="1040" w:hanging="303"/>
        <w:spacing w:after="0"/>
        <w:tabs>
          <w:tab w:leader="none" w:pos="104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was grossly negligent in failing to supervise another employee, as a result of which the other employee</w:t>
      </w:r>
    </w:p>
    <w:p>
      <w:pPr>
        <w:spacing w:after="0" w:line="26" w:lineRule="exact"/>
        <w:rPr>
          <w:sz w:val="20"/>
          <w:szCs w:val="20"/>
          <w:color w:val="auto"/>
        </w:rPr>
      </w:pPr>
    </w:p>
    <w:p>
      <w:pPr>
        <w:ind w:left="1060"/>
        <w:spacing w:after="0" w:line="224" w:lineRule="auto"/>
        <w:rPr>
          <w:sz w:val="20"/>
          <w:szCs w:val="20"/>
          <w:color w:val="auto"/>
        </w:rPr>
      </w:pPr>
      <w:r>
        <w:rPr>
          <w:rFonts w:ascii="Times New Roman" w:cs="Times New Roman" w:eastAsia="Times New Roman" w:hAnsi="Times New Roman"/>
          <w:sz w:val="22"/>
          <w:szCs w:val="22"/>
          <w:color w:val="auto"/>
        </w:rPr>
        <w:t>was able to engage in (a) misconduct that led to a restatement, or (b) illegal misconduct that caused significant financial or reputational harm to the Company.</w:t>
      </w:r>
    </w:p>
    <w:p>
      <w:pPr>
        <w:jc w:val="both"/>
        <w:spacing w:after="0" w:line="256" w:lineRule="auto"/>
        <w:rPr>
          <w:sz w:val="20"/>
          <w:szCs w:val="20"/>
          <w:color w:val="auto"/>
        </w:rPr>
      </w:pPr>
      <w:r>
        <w:rPr>
          <w:rFonts w:ascii="Times New Roman" w:cs="Times New Roman" w:eastAsia="Times New Roman" w:hAnsi="Times New Roman"/>
          <w:sz w:val="21"/>
          <w:szCs w:val="21"/>
          <w:color w:val="auto"/>
        </w:rPr>
        <w:t>In the event the Board of Directors requires reimbursement under the terms of this Section 3, the Company will disclose the aggregate amount recovered, provided the underlying event has been previously disclosed by the Company, in its public filings with the SEC or otherwise, and disclosure is permitted. The Company intends this disclosure would appear in the proxy statement following any such determination by the Board of Directors and would provide the context and aggregate amount recovered.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Chief Executive Officer may, under similar circumstances provided under this Section 3, require reimbursement of incentive payments made to non-elected officers and other employees.</w:t>
      </w:r>
    </w:p>
    <w:p>
      <w:pPr>
        <w:spacing w:after="0" w:line="181" w:lineRule="exact"/>
        <w:rPr>
          <w:sz w:val="20"/>
          <w:szCs w:val="20"/>
          <w:color w:val="auto"/>
        </w:rPr>
      </w:pPr>
    </w:p>
    <w:p>
      <w:pPr>
        <w:ind w:left="220" w:hanging="212"/>
        <w:spacing w:after="0"/>
        <w:tabs>
          <w:tab w:leader="none" w:pos="2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Prohibition on Indemnification or Company-Paid Insurance</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will not indemnify any officer or employee against the loss of compensation that is recovered in accordance with this policy and will not pay or reimburse any officer or employee for the purchase of a third-party insurance policy to fund potential recovery obligations.</w:t>
      </w:r>
    </w:p>
    <w:p>
      <w:pPr>
        <w:spacing w:after="0" w:line="214" w:lineRule="exact"/>
        <w:rPr>
          <w:sz w:val="20"/>
          <w:szCs w:val="20"/>
          <w:color w:val="auto"/>
        </w:rPr>
      </w:pPr>
    </w:p>
    <w:p>
      <w:pPr>
        <w:ind w:left="220" w:hanging="212"/>
        <w:spacing w:after="0"/>
        <w:tabs>
          <w:tab w:leader="none" w:pos="2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Remedies</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This policy does not limit any other remedies the Company may have available to it in the circumstances, which may include, without limitation, dismissing an employee or initiating other disciplinary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Calibri" w:cs="Calibri" w:eastAsia="Calibri" w:hAnsi="Calibri"/>
          <w:sz w:val="16"/>
          <w:szCs w:val="16"/>
          <w:b w:val="1"/>
          <w:bCs w:val="1"/>
          <w:color w:val="auto"/>
        </w:rPr>
        <w:t>Efectve July 1, 2023</w:t>
      </w:r>
    </w:p>
    <w:sectPr>
      <w:pgSz w:w="11900" w:h="16838" w:orient="portrait"/>
      <w:cols w:equalWidth="0" w:num="1">
        <w:col w:w="11240"/>
      </w:cols>
      <w:pgMar w:left="320" w:top="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2"/>
    </w:lvl>
  </w:abstractNum>
  <w:abstractNum w:abstractNumId="24">
    <w:nsid w:val="4F4EF005"/>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25">
    <w:nsid w:val="23F9C13C"/>
    <w:multiLevelType w:val="hybridMultilevel"/>
    <w:lvl w:ilvl="0">
      <w:lvlJc w:val="left"/>
      <w:lvlText w:val="•"/>
      <w:numFmt w:val="bullet"/>
      <w:start w:val="1"/>
    </w:lvl>
    <w:lvl w:ilvl="1">
      <w:lvlJc w:val="left"/>
      <w:lvlText w:val="\endash "/>
      <w:numFmt w:val="bullet"/>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1."/>
      <w:numFmt w:val="decimal"/>
      <w:start w:val="2"/>
    </w:lvl>
  </w:abstractNum>
  <w:abstractNum w:abstractNumId="41">
    <w:nsid w:val="77AE35EB"/>
    <w:multiLevelType w:val="hybridMultilevel"/>
    <w:lvl w:ilvl="0">
      <w:lvlJc w:val="left"/>
      <w:lvlText w:val="(%1)"/>
      <w:numFmt w:val="lowerRoman"/>
      <w:start w:val="4"/>
    </w:lvl>
  </w:abstractNum>
  <w:abstractNum w:abstractNumId="42">
    <w:nsid w:val="579BE4F1"/>
    <w:multiLevelType w:val="hybridMultilevel"/>
    <w:lvl w:ilvl="0">
      <w:lvlJc w:val="left"/>
      <w:lvlText w:val="(%1)"/>
      <w:numFmt w:val="lowerRoman"/>
      <w:start w:val="1"/>
    </w:lvl>
  </w:abstractNum>
  <w:abstractNum w:abstractNumId="43">
    <w:nsid w:val="310C50B3"/>
    <w:multiLevelType w:val="hybridMultilevel"/>
    <w:lvl w:ilvl="0">
      <w:lvlJc w:val="left"/>
      <w:lvlText w:val="(%1)"/>
      <w:numFmt w:val="lowerRoman"/>
      <w:start w:val="1"/>
    </w:lvl>
  </w:abstractNum>
  <w:abstractNum w:abstractNumId="44">
    <w:nsid w:val="5FF87E05"/>
    <w:multiLevelType w:val="hybridMultilevel"/>
    <w:lvl w:ilvl="0">
      <w:lvlJc w:val="left"/>
      <w:lvlText w:val="(%1)"/>
      <w:numFmt w:val="lowerRoman"/>
      <w:start w:val="1"/>
    </w:lvl>
  </w:abstractNum>
  <w:abstractNum w:abstractNumId="45">
    <w:nsid w:val="2F305DEF"/>
    <w:multiLevelType w:val="hybridMultilevel"/>
    <w:lvl w:ilvl="0">
      <w:lvlJc w:val="left"/>
      <w:lvlText w:val="(%1)"/>
      <w:numFmt w:val="lowerRoman"/>
      <w:start w:val="5"/>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2"/>
    </w:lvl>
  </w:abstractNum>
  <w:abstractNum w:abstractNumId="51">
    <w:nsid w:val="5DB70AE5"/>
    <w:multiLevelType w:val="hybridMultilevel"/>
    <w:lvl w:ilvl="0">
      <w:lvlJc w:val="left"/>
      <w:lvlText w:val="%1."/>
      <w:numFmt w:val="decimal"/>
      <w:start w:val="3"/>
    </w:lvl>
  </w:abstractNum>
  <w:abstractNum w:abstractNumId="52">
    <w:nsid w:val="100F8FCA"/>
    <w:multiLevelType w:val="hybridMultilevel"/>
    <w:lvl w:ilvl="0">
      <w:lvlJc w:val="left"/>
      <w:lvlText w:val="%1."/>
      <w:numFmt w:val="decimal"/>
      <w:start w:val="4"/>
    </w:lvl>
  </w:abstractNum>
  <w:abstractNum w:abstractNumId="53">
    <w:nsid w:val="6590700B"/>
    <w:multiLevelType w:val="hybridMultilevel"/>
    <w:lvl w:ilvl="0">
      <w:lvlJc w:val="left"/>
      <w:lvlText w:val="(%1)"/>
      <w:numFmt w:val="decimal"/>
      <w:start w:val="24"/>
    </w:lvl>
  </w:abstractNum>
  <w:abstractNum w:abstractNumId="54">
    <w:nsid w:val="15014ACB"/>
    <w:multiLevelType w:val="hybridMultilevel"/>
    <w:lvl w:ilvl="0">
      <w:lvlJc w:val="left"/>
      <w:lvlText w:val="(%1)"/>
      <w:numFmt w:val="lowerRoman"/>
      <w:start w:val="3"/>
    </w:lvl>
  </w:abstractNum>
  <w:abstractNum w:abstractNumId="55">
    <w:nsid w:val="5F5E7FD0"/>
    <w:multiLevelType w:val="hybridMultilevel"/>
    <w:lvl w:ilvl="0">
      <w:lvlJc w:val="left"/>
      <w:lvlText w:val="%1."/>
      <w:numFmt w:val="decimal"/>
      <w:start w:val="5"/>
    </w:lvl>
  </w:abstractNum>
  <w:abstractNum w:abstractNumId="56">
    <w:nsid w:val="98A3148"/>
    <w:multiLevelType w:val="hybridMultilevel"/>
    <w:lvl w:ilvl="0">
      <w:lvlJc w:val="left"/>
      <w:lvlText w:val="%1."/>
      <w:numFmt w:val="decimal"/>
      <w:start w:val="6"/>
    </w:lvl>
  </w:abstractNum>
  <w:abstractNum w:abstractNumId="57">
    <w:nsid w:val="799D0247"/>
    <w:multiLevelType w:val="hybridMultilevel"/>
    <w:lvl w:ilvl="0">
      <w:lvlJc w:val="left"/>
      <w:lvlText w:val="(%1)"/>
      <w:numFmt w:val="lowerLetter"/>
      <w:start w:val="2"/>
    </w:lvl>
  </w:abstractNum>
  <w:abstractNum w:abstractNumId="58">
    <w:nsid w:val="6B94764"/>
    <w:multiLevelType w:val="hybridMultilevel"/>
    <w:lvl w:ilvl="0">
      <w:lvlJc w:val="left"/>
      <w:lvlText w:val="%1."/>
      <w:numFmt w:val="decimal"/>
      <w:start w:val="7"/>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decimal"/>
      <w:start w:val="8"/>
    </w:lvl>
  </w:abstractNum>
  <w:abstractNum w:abstractNumId="61">
    <w:nsid w:val="1EBA5D23"/>
    <w:multiLevelType w:val="hybridMultilevel"/>
    <w:lvl w:ilvl="0">
      <w:lvlJc w:val="left"/>
      <w:lvlText w:val="%1."/>
      <w:numFmt w:val="decimal"/>
      <w:start w:val="9"/>
    </w:lvl>
  </w:abstractNum>
  <w:abstractNum w:abstractNumId="62">
    <w:nsid w:val="661E3F1E"/>
    <w:multiLevelType w:val="hybridMultilevel"/>
    <w:lvl w:ilvl="0">
      <w:lvlJc w:val="left"/>
      <w:lvlText w:val="%1."/>
      <w:numFmt w:val="decimal"/>
      <w:start w:val="10"/>
    </w:lvl>
  </w:abstractNum>
  <w:abstractNum w:abstractNumId="63">
    <w:nsid w:val="5DC79EA8"/>
    <w:multiLevelType w:val="hybridMultilevel"/>
    <w:lvl w:ilvl="0">
      <w:lvlJc w:val="left"/>
      <w:lvlText w:val="%1."/>
      <w:numFmt w:val="decimal"/>
      <w:start w:val="11"/>
    </w:lvl>
  </w:abstractNum>
  <w:abstractNum w:abstractNumId="64">
    <w:nsid w:val="540A471C"/>
    <w:multiLevelType w:val="hybridMultilevel"/>
    <w:lvl w:ilvl="0">
      <w:lvlJc w:val="left"/>
      <w:lvlText w:val="%1."/>
      <w:numFmt w:val="decimal"/>
      <w:start w:val="12"/>
    </w:lvl>
  </w:abstractNum>
  <w:abstractNum w:abstractNumId="65">
    <w:nsid w:val="7BD3EE7B"/>
    <w:multiLevelType w:val="hybridMultilevel"/>
    <w:lvl w:ilvl="0">
      <w:lvlJc w:val="left"/>
      <w:lvlText w:val="(%1)"/>
      <w:numFmt w:val="lowerRoman"/>
      <w:start w:val="1"/>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lowerRoman"/>
      <w:start w:val="3"/>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1)"/>
      <w:numFmt w:val="lowerRoman"/>
      <w:start w:val="2"/>
    </w:lvl>
    <w:lvl w:ilvl="1">
      <w:lvlJc w:val="left"/>
      <w:lvlText w:val="(%2)"/>
      <w:numFmt w:val="lowerRoman"/>
      <w:start w:val="1"/>
    </w:lvl>
  </w:abstractNum>
  <w:abstractNum w:abstractNumId="71">
    <w:nsid w:val="A0382C5"/>
    <w:multiLevelType w:val="hybridMultilevel"/>
    <w:lvl w:ilvl="0">
      <w:lvlJc w:val="left"/>
      <w:lvlText w:val="%1."/>
      <w:numFmt w:val="decimal"/>
      <w:start w:val="1"/>
    </w:lvl>
    <w:lvl w:ilvl="1">
      <w:lvlJc w:val="left"/>
      <w:lvlText w:val="%2)"/>
      <w:numFmt w:val="lowerLetter"/>
      <w:start w:val="1"/>
    </w:lvl>
  </w:abstractNum>
  <w:abstractNum w:abstractNumId="72">
    <w:nsid w:val="8F2B15E"/>
    <w:multiLevelType w:val="hybridMultilevel"/>
    <w:lvl w:ilvl="0">
      <w:lvlJc w:val="left"/>
      <w:lvlText w:val="%1."/>
      <w:numFmt w:val="decimal"/>
      <w:start w:val="1"/>
    </w:lvl>
    <w:lvl w:ilvl="1">
      <w:lvlJc w:val="left"/>
      <w:lvlText w:val="%2)"/>
      <w:numFmt w:val="lowerLetter"/>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lowerRoman"/>
      <w:start w:val="1"/>
    </w:lvl>
  </w:abstractNum>
  <w:abstractNum w:abstractNumId="77">
    <w:nsid w:val="60B6DF70"/>
    <w:multiLevelType w:val="hybridMultilevel"/>
    <w:lvl w:ilvl="0">
      <w:lvlJc w:val="left"/>
      <w:lvlText w:val="%1."/>
      <w:numFmt w:val="decimal"/>
      <w:start w:val="2"/>
    </w:lvl>
    <w:lvl w:ilvl="1">
      <w:lvlJc w:val="left"/>
      <w:lvlText w:val="%2"/>
      <w:numFmt w:val="upperLetter"/>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1."/>
      <w:numFmt w:val="decimal"/>
      <w:start w:val="3"/>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2"/>
    </w:lvl>
    <w:lvl w:ilvl="1">
      <w:lvlJc w:val="left"/>
      <w:lvlText w:val="(%2)"/>
      <w:numFmt w:val="decimal"/>
      <w:start w:val="3"/>
    </w:lvl>
  </w:abstractNum>
  <w:abstractNum w:abstractNumId="82">
    <w:nsid w:val="71EA1109"/>
    <w:multiLevelType w:val="hybridMultilevel"/>
    <w:lvl w:ilvl="0">
      <w:lvlJc w:val="left"/>
      <w:lvlText w:val="%1."/>
      <w:numFmt w:val="decimal"/>
      <w:start w:val="4"/>
    </w:lvl>
  </w:abstractNum>
  <w:abstractNum w:abstractNumId="83">
    <w:nsid w:val="100F59D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7" Type="http://schemas.openxmlformats.org/officeDocument/2006/relationships/image" Target="media/image102.png"/><Relationship Id="rId126" Type="http://schemas.openxmlformats.org/officeDocument/2006/relationships/image" Target="media/image103.png"/><Relationship Id="rId137" Type="http://schemas.openxmlformats.org/officeDocument/2006/relationships/image" Target="media/image104.png"/><Relationship Id="rId144" Type="http://schemas.openxmlformats.org/officeDocument/2006/relationships/image" Target="media/image105.png"/><Relationship Id="rId157" Type="http://schemas.openxmlformats.org/officeDocument/2006/relationships/image" Target="media/image106.png"/><Relationship Id="rId171" Type="http://schemas.openxmlformats.org/officeDocument/2006/relationships/image" Target="media/image107.png"/><Relationship Id="rId188" Type="http://schemas.openxmlformats.org/officeDocument/2006/relationships/image" Target="media/image108.png"/><Relationship Id="rId192" Type="http://schemas.openxmlformats.org/officeDocument/2006/relationships/image" Target="media/image109.png"/><Relationship Id="rId193" Type="http://schemas.openxmlformats.org/officeDocument/2006/relationships/image" Target="media/image110.png"/><Relationship Id="rId194" Type="http://schemas.openxmlformats.org/officeDocument/2006/relationships/image" Target="media/image111.png"/><Relationship Id="rId195" Type="http://schemas.openxmlformats.org/officeDocument/2006/relationships/image" Target="media/image112.png"/><Relationship Id="rId196" Type="http://schemas.openxmlformats.org/officeDocument/2006/relationships/image" Target="media/image113.png"/><Relationship Id="rId197" Type="http://schemas.openxmlformats.org/officeDocument/2006/relationships/image" Target="media/image114.png"/><Relationship Id="rId109" Type="http://schemas.openxmlformats.org/officeDocument/2006/relationships/hyperlink" Target="http://www.sec.gov/Archives/edgar/data/1133421/000095015717001300/ex2-1.htm" TargetMode="External"/><Relationship Id="rId110" Type="http://schemas.openxmlformats.org/officeDocument/2006/relationships/hyperlink" Target="http://www.sec.gov/Archives/edgar/data/866121/000095015714000426/ex2-1.htm" TargetMode="External"/><Relationship Id="rId111" Type="http://schemas.openxmlformats.org/officeDocument/2006/relationships/hyperlink" Target="https://www.sec.gov/Archives/edgar/data/1133421/000113342123000031/noc-form8xk051723xex31.htm" TargetMode="External"/><Relationship Id="rId112" Type="http://schemas.openxmlformats.org/officeDocument/2006/relationships/hyperlink" Target="https://www.sec.gov/Archives/edgar/data/1133421/000113342123000031/noc-form8xk051723xex32.htm" TargetMode="External"/><Relationship Id="rId113" Type="http://schemas.openxmlformats.org/officeDocument/2006/relationships/hyperlink" Target="http://www.sec.gov/Archives/edgar/data/72945/0000912057-94-003514.txt" TargetMode="External"/><Relationship Id="rId114" Type="http://schemas.openxmlformats.org/officeDocument/2006/relationships/hyperlink" Target="http://www.sec.gov/Archives/edgar/data/1133421/000095012311039852/v58707exv4w1.htm" TargetMode="External"/><Relationship Id="rId115" Type="http://schemas.openxmlformats.org/officeDocument/2006/relationships/hyperlink" Target="http://www.sec.gov/Archives/edgar/data/1133421/000095012311039852/v58707exv4w2.htm" TargetMode="External"/><Relationship Id="rId116" Type="http://schemas.openxmlformats.org/officeDocument/2006/relationships/hyperlink" Target="http://www.sec.gov/Archives/edgar/data/72945/0000912057-96-006729.txt" TargetMode="External"/><Relationship Id="rId118" Type="http://schemas.openxmlformats.org/officeDocument/2006/relationships/hyperlink" Target="http://www.sec.gov/Archives/edgar/data/1133421/000089843001500160/dex109.txt" TargetMode="External"/><Relationship Id="rId119" Type="http://schemas.openxmlformats.org/officeDocument/2006/relationships/hyperlink" Target="http://www.sec.gov/Archives/edgar/data/59880/0000950148-96-001149.txt" TargetMode="External"/><Relationship Id="rId120" Type="http://schemas.openxmlformats.org/officeDocument/2006/relationships/hyperlink" Target="http://www.sec.gov/Archives/edgar/data/1133421/000102140801500799/dex47.txt" TargetMode="External"/><Relationship Id="rId121" Type="http://schemas.openxmlformats.org/officeDocument/2006/relationships/hyperlink" Target="http://www.sec.gov/Archives/edgar/data/1133421/000089843003002012/dex4t.htm" TargetMode="External"/><Relationship Id="rId122" Type="http://schemas.openxmlformats.org/officeDocument/2006/relationships/hyperlink" Target="http://www.sec.gov/Archives/edgar/data/1133421/000095012311039852/v58707exv4w5.htm" TargetMode="External"/><Relationship Id="rId123" Type="http://schemas.openxmlformats.org/officeDocument/2006/relationships/hyperlink" Target="http://www.sec.gov/Archives/edgar/data/1133421/000095012311039852/v58707exv4w6.htm" TargetMode="External"/><Relationship Id="rId124" Type="http://schemas.openxmlformats.org/officeDocument/2006/relationships/hyperlink" Target="http://www.sec.gov/Archives/edgar/data/100030/000095015299006103/0000950152-99-006103.txt" TargetMode="External"/><Relationship Id="rId125" Type="http://schemas.openxmlformats.org/officeDocument/2006/relationships/hyperlink" Target="http://www.sec.gov/Archives/edgar/data/1133421/000095012310010126/v54508exv4wp.htm" TargetMode="External"/><Relationship Id="rId127" Type="http://schemas.openxmlformats.org/officeDocument/2006/relationships/hyperlink" Target="http://www.sec.gov/Archives/edgar/data/1133421/000095012311039852/v58707exv4w7.htm" TargetMode="External"/><Relationship Id="rId128" Type="http://schemas.openxmlformats.org/officeDocument/2006/relationships/hyperlink" Target="http://www.sec.gov/Archives/edgar/data/1133421/000095012311039852/v58707exv4w8.htm" TargetMode="External"/><Relationship Id="rId129" Type="http://schemas.openxmlformats.org/officeDocument/2006/relationships/hyperlink" Target="https://www.sec.gov/Archives/edgar/data/1133421/000095015721000904/ex4-1.htm" TargetMode="External"/><Relationship Id="rId130" Type="http://schemas.openxmlformats.org/officeDocument/2006/relationships/hyperlink" Target="https://www.sec.gov/Archives/edgar/data/1133421/000095015721000904/ex4-2.htm" TargetMode="External"/><Relationship Id="rId131" Type="http://schemas.openxmlformats.org/officeDocument/2006/relationships/hyperlink" Target="http://www.sec.gov/Archives/edgar/data/1133421/000089843001503659/dex41.txt" TargetMode="External"/><Relationship Id="rId132" Type="http://schemas.openxmlformats.org/officeDocument/2006/relationships/hyperlink" Target="http://www.sec.gov/Archives/edgar/data/1133421/000095012310102289/v57777exv4wa.htm" TargetMode="External"/><Relationship Id="rId133" Type="http://schemas.openxmlformats.org/officeDocument/2006/relationships/hyperlink" Target="http://www.sec.gov/Archives/edgar/data/1133421/000095012311039852/v58707exv4w9.htm" TargetMode="External"/><Relationship Id="rId134" Type="http://schemas.openxmlformats.org/officeDocument/2006/relationships/hyperlink" Target="http://www.sec.gov/Archives/edgar/data/1133421/000095012311039852/v58707exv4w10.htm" TargetMode="External"/><Relationship Id="rId135" Type="http://schemas.openxmlformats.org/officeDocument/2006/relationships/hyperlink" Target="http://www.sec.gov/Archives/edgar/data/1133421/000119312513243040/d545882dex4a.htm" TargetMode="External"/><Relationship Id="rId136" Type="http://schemas.openxmlformats.org/officeDocument/2006/relationships/hyperlink" Target="http://www.sec.gov/Archives/edgar/data/1133421/000119312515037499/d865409dex41.htm" TargetMode="External"/><Relationship Id="rId138" Type="http://schemas.openxmlformats.org/officeDocument/2006/relationships/hyperlink" Target="http://www.sec.gov/Archives/edgar/data/1133421/000119312516782630/d301589dex41.htm" TargetMode="External"/><Relationship Id="rId139" Type="http://schemas.openxmlformats.org/officeDocument/2006/relationships/hyperlink" Target="http://www.sec.gov/Archives/edgar/data/1133421/000119312517309966/d463997dex41.htm" TargetMode="External"/><Relationship Id="rId140" Type="http://schemas.openxmlformats.org/officeDocument/2006/relationships/hyperlink" Target="https://www.sec.gov/Archives/edgar/data/1133421/000119312520082921/d895407dex41.htm" TargetMode="External"/><Relationship Id="rId141" Type="http://schemas.openxmlformats.org/officeDocument/2006/relationships/hyperlink" Target="https://www.sec.gov/Archives/edgar/data/1133421/000119312521265095/d216834dex41.htm" TargetMode="External"/><Relationship Id="rId142" Type="http://schemas.openxmlformats.org/officeDocument/2006/relationships/hyperlink" Target="https://www.sec.gov/Archives/edgar/data/1133421/000113342120000006/noc-12312019xex4ll.htm" TargetMode="External"/><Relationship Id="rId143" Type="http://schemas.openxmlformats.org/officeDocument/2006/relationships/hyperlink" Target="https://www.sec.gov/Archives/edgar/data/1133421/000119312523028549/d454340dex41.htm" TargetMode="External"/><Relationship Id="rId145" Type="http://schemas.openxmlformats.org/officeDocument/2006/relationships/hyperlink" Target="https://www.sec.gov/Archives/edgar/data/1133421/000119312522227515/d387565dex101.htm" TargetMode="External"/><Relationship Id="rId146" Type="http://schemas.openxmlformats.org/officeDocument/2006/relationships/hyperlink" Target="http://www.sec.gov/Archives/edgar/data/1133421/000089843001500160/dex1010.txt" TargetMode="External"/><Relationship Id="rId147" Type="http://schemas.openxmlformats.org/officeDocument/2006/relationships/hyperlink" Target="http://www.sec.gov/Archives/edgar/data/1133421/000089843001500160/dex1011.txt" TargetMode="External"/><Relationship Id="rId148" Type="http://schemas.openxmlformats.org/officeDocument/2006/relationships/hyperlink" Target="http://www.sec.gov/Archives/edgar/data/1133421/000095013003003625/dex42.htm" TargetMode="External"/><Relationship Id="rId149" Type="http://schemas.openxmlformats.org/officeDocument/2006/relationships/hyperlink" Target="https://www.sec.gov/Archives/edgar/data/1133421/000095015721000904/ex10-1.htm" TargetMode="External"/><Relationship Id="rId150" Type="http://schemas.openxmlformats.org/officeDocument/2006/relationships/hyperlink" Target="http://www.sec.gov/Archives/edgar/data/1133421/000095012309024563/v52989exv10w1.htm" TargetMode="External"/><Relationship Id="rId151" Type="http://schemas.openxmlformats.org/officeDocument/2006/relationships/hyperlink" Target="http://www.sec.gov/Archives/edgar/data/1133421/000119312515120112/d883285ddef14a.htm#rom883285_55" TargetMode="External"/><Relationship Id="rId152" Type="http://schemas.openxmlformats.org/officeDocument/2006/relationships/hyperlink" Target="http://www.sec.gov/Archives/edgar/data/1133421/000113342115000057/noc-9302015xex101.htm" TargetMode="External"/><Relationship Id="rId153" Type="http://schemas.openxmlformats.org/officeDocument/2006/relationships/hyperlink" Target="https://www.sec.gov/Archives/edgar/data/1133421/000113342120000019/noc-3312020xex101.htm" TargetMode="External"/><Relationship Id="rId154" Type="http://schemas.openxmlformats.org/officeDocument/2006/relationships/hyperlink" Target="https://www.sec.gov/Archives/edgar/data/1133421/000113342120000019/noc-3312020xex102.htm" TargetMode="External"/><Relationship Id="rId155" Type="http://schemas.openxmlformats.org/officeDocument/2006/relationships/hyperlink" Target="https://www.sec.gov/Archives/edgar/data/1133421/000113342121000029/noc-3312021xex102.htm" TargetMode="External"/><Relationship Id="rId156" Type="http://schemas.openxmlformats.org/officeDocument/2006/relationships/hyperlink" Target="https://www.sec.gov/Archives/edgar/data/1133421/000113342121000029/noc-3312021xex103.htm" TargetMode="External"/><Relationship Id="rId158" Type="http://schemas.openxmlformats.org/officeDocument/2006/relationships/hyperlink" Target="https://www.sec.gov/Archives/edgar/data/1133421/000113342122000013/noc-03312022xex102.htm" TargetMode="External"/><Relationship Id="rId159" Type="http://schemas.openxmlformats.org/officeDocument/2006/relationships/hyperlink" Target="https://www.sec.gov/Archives/edgar/data/1133421/000113342123000027/noc-03312023xex101.htm" TargetMode="External"/><Relationship Id="rId160" Type="http://schemas.openxmlformats.org/officeDocument/2006/relationships/hyperlink" Target="https://www.sec.gov/ix?doc=/Archives/edgar/data/1133421/000113342123000027/noc-20230331.htm#i7d757890b2b447a198cbf1be2a3e5a15_109" TargetMode="External"/><Relationship Id="rId161" Type="http://schemas.openxmlformats.org/officeDocument/2006/relationships/hyperlink" Target="https://www.sec.gov/Archives/edgar/data/1133421/000113342123000027/noc-03312023xex102.htm" TargetMode="External"/><Relationship Id="rId162" Type="http://schemas.openxmlformats.org/officeDocument/2006/relationships/hyperlink" Target="http://www.sec.gov/Archives/edgar/data/1133421/000113342115000008/noc-12312014xex10h.htm" TargetMode="External"/><Relationship Id="rId163" Type="http://schemas.openxmlformats.org/officeDocument/2006/relationships/hyperlink" Target="http://www.sec.gov/Archives/edgar/data/1133421/000119312512045323/d250683dex10jii.htm" TargetMode="External"/><Relationship Id="rId164" Type="http://schemas.openxmlformats.org/officeDocument/2006/relationships/hyperlink" Target="http://www.sec.gov/Archives/edgar/data/1133421/000113342115000008/noc-12312014xex10hii.htm" TargetMode="External"/><Relationship Id="rId165" Type="http://schemas.openxmlformats.org/officeDocument/2006/relationships/hyperlink" Target="http://www.sec.gov/Archives/edgar/data/1133421/000113342114000006/noc-12312013xex10l.htm" TargetMode="External"/><Relationship Id="rId166" Type="http://schemas.openxmlformats.org/officeDocument/2006/relationships/hyperlink" Target="http://www.sec.gov/Archives/edgar/data/1133421/000113342114000006/noc-12312013xex10li.htm" TargetMode="External"/><Relationship Id="rId167" Type="http://schemas.openxmlformats.org/officeDocument/2006/relationships/hyperlink" Target="http://www.sec.gov/Archives/edgar/data/1133421/000119312512045323/d250683dex10kiv.htm" TargetMode="External"/><Relationship Id="rId168" Type="http://schemas.openxmlformats.org/officeDocument/2006/relationships/hyperlink" Target="http://www.sec.gov/Archives/edgar/data/1133421/000113342116000065/noc-12312015xex10kiv.htm" TargetMode="External"/><Relationship Id="rId169" Type="http://schemas.openxmlformats.org/officeDocument/2006/relationships/hyperlink" Target="http://www.sec.gov/Archives/edgar/data/1133421/000113342118000005/noc-12312017xex10jv.htm" TargetMode="External"/><Relationship Id="rId170" Type="http://schemas.openxmlformats.org/officeDocument/2006/relationships/hyperlink" Target="https://www.sec.gov/Archives/edgar/data/1133421/000113342120000006/noc-12312019xex10hv.htm" TargetMode="External"/><Relationship Id="rId172" Type="http://schemas.openxmlformats.org/officeDocument/2006/relationships/hyperlink" Target="http://www.sec.gov/Archives/edgar/data/1133421/000113342114000006/noc-12312013xex10m.htm" TargetMode="External"/><Relationship Id="rId173" Type="http://schemas.openxmlformats.org/officeDocument/2006/relationships/hyperlink" Target="https://www.sec.gov/Archives/edgar/data/1133421/000113342120000006/noc-12312019xex10j.htm" TargetMode="External"/><Relationship Id="rId174" Type="http://schemas.openxmlformats.org/officeDocument/2006/relationships/hyperlink" Target="https://www.sec.gov/Archives/edgar/data/1133421/000113342123000045/noc-06302023xex101.htm" TargetMode="External"/><Relationship Id="rId175" Type="http://schemas.openxmlformats.org/officeDocument/2006/relationships/hyperlink" Target="https://www.sec.gov/Archives/edgar/data/1133421/000113342122000031/noc-06302022xex101.htm" TargetMode="External"/><Relationship Id="rId176" Type="http://schemas.openxmlformats.org/officeDocument/2006/relationships/hyperlink" Target="http://www.sec.gov/Archives/edgar/data/1133421/000113342112000015/noc-3312012xex103.htm" TargetMode="External"/><Relationship Id="rId177" Type="http://schemas.openxmlformats.org/officeDocument/2006/relationships/hyperlink" Target="http://www.sec.gov/Archives/edgar/data/1133421/000113342116000080/noc-03312016xex103.htm" TargetMode="External"/><Relationship Id="rId178" Type="http://schemas.openxmlformats.org/officeDocument/2006/relationships/hyperlink" Target="https://www.sec.gov/Archives/edgar/data/1133421/000113342121000048/noc-6302021xex102.htm" TargetMode="External"/><Relationship Id="rId179" Type="http://schemas.openxmlformats.org/officeDocument/2006/relationships/hyperlink" Target="https://www.sec.gov/Archives/edgar/data/1133421/000113342119000007/noc-12312018xex10r.htm" TargetMode="External"/><Relationship Id="rId180" Type="http://schemas.openxmlformats.org/officeDocument/2006/relationships/hyperlink" Target="https://www.sec.gov/Archives/edgar/data/1133421/000113342123000045/noc-06302023xex102.htm" TargetMode="External"/><Relationship Id="rId181" Type="http://schemas.openxmlformats.org/officeDocument/2006/relationships/hyperlink" Target="https://www.sec.gov/Archives/edgar/data/1133421/000113342119000007/noc-12312018xex10v.htm" TargetMode="External"/><Relationship Id="rId182" Type="http://schemas.openxmlformats.org/officeDocument/2006/relationships/hyperlink" Target="https://www.sec.gov/Archives/edgar/data/1133421/000113342119000007/noc-12312018xex10x.htm" TargetMode="External"/><Relationship Id="rId183" Type="http://schemas.openxmlformats.org/officeDocument/2006/relationships/hyperlink" Target="https://www.sec.gov/Archives/edgar/data/1133421/000113342120000006/noc-12312019xex10vi.htm" TargetMode="External"/><Relationship Id="rId184" Type="http://schemas.openxmlformats.org/officeDocument/2006/relationships/hyperlink" Target="https://www.sec.gov/Archives/edgar/data/1133421/000113342119000007/noc-12312018xex10y.htm" TargetMode="External"/><Relationship Id="rId185" Type="http://schemas.openxmlformats.org/officeDocument/2006/relationships/hyperlink" Target="https://www.sec.gov/Archives/edgar/data/1133421/000113342119000021/noc-03312019xex104.htm" TargetMode="External"/><Relationship Id="rId186" Type="http://schemas.openxmlformats.org/officeDocument/2006/relationships/hyperlink" Target="https://www.sec.gov/Archives/edgar/data/1133421/000113342119000021/noc-03312019xex105.htm" TargetMode="External"/><Relationship Id="rId187" Type="http://schemas.openxmlformats.org/officeDocument/2006/relationships/hyperlink" Target="http://www.sec.gov/Archives/edgar/data/1133421/000113342118000005/noc-12312017xex10z.htm" TargetMode="External"/><Relationship Id="rId189" Type="http://schemas.openxmlformats.org/officeDocument/2006/relationships/hyperlink" Target="https://www.sec.gov/Archives/edgar/data/1133421/000113342123000027/noc-03312023xex103.htm" TargetMode="External"/><Relationship Id="rId190" Type="http://schemas.openxmlformats.org/officeDocument/2006/relationships/hyperlink" Target="https://www.sec.gov/Archives/edgar/data/1133421/000113342120000019/noc-3312020xex104.htm" TargetMode="External"/><Relationship Id="rId191" Type="http://schemas.openxmlformats.org/officeDocument/2006/relationships/hyperlink" Target="https://www.sec.gov/Archives/edgar/data/1133421/000113342123000006/noc-12312022xex10d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2024-01-25T15:21:24Z</dcterms:created>
  <dcterms:modified xsi:type="dcterms:W3CDTF">2024-01-25T15:21:24Z</dcterms:modified>
</cp:coreProperties>
</file>