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150" w:lineRule="exact"/>
        <w:rPr>
          <w:sz w:val="24"/>
          <w:szCs w:val="24"/>
          <w:color w:val="auto"/>
        </w:rPr>
      </w:pPr>
    </w:p>
    <w:p>
      <w:pPr>
        <w:ind w:left="1420" w:right="3420" w:hanging="829"/>
        <w:spacing w:after="0" w:line="251" w:lineRule="auto"/>
        <w:tabs>
          <w:tab w:leader="none" w:pos="1420" w:val="left"/>
        </w:tabs>
        <w:numPr>
          <w:ilvl w:val="0"/>
          <w:numId w:val="1"/>
        </w:numPr>
        <w:rPr>
          <w:rFonts w:ascii="Arial" w:cs="Arial" w:eastAsia="Arial" w:hAnsi="Arial"/>
          <w:sz w:val="18"/>
          <w:szCs w:val="18"/>
          <w:b w:val="1"/>
          <w:bCs w:val="1"/>
          <w:color w:val="auto"/>
        </w:rPr>
      </w:pPr>
      <w:r>
        <w:rPr>
          <w:rFonts w:ascii="Arial" w:cs="Arial" w:eastAsia="Arial" w:hAnsi="Arial"/>
          <w:sz w:val="22"/>
          <w:szCs w:val="22"/>
          <w:color w:val="auto"/>
        </w:rPr>
        <w:t>QUARTERLY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March 31,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144" w:lineRule="exact"/>
        <w:rPr>
          <w:sz w:val="24"/>
          <w:szCs w:val="24"/>
          <w:color w:val="auto"/>
        </w:rPr>
      </w:pPr>
    </w:p>
    <w:p>
      <w:pPr>
        <w:ind w:left="1420" w:right="3400" w:hanging="829"/>
        <w:spacing w:after="0" w:line="251"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1-16411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NORTHROP GRUMMAN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6480" w:type="dxa"/>
            <w:vAlign w:val="bottom"/>
          </w:tcPr>
          <w:p>
            <w:pPr>
              <w:jc w:val="center"/>
              <w:ind w:right="3530"/>
              <w:spacing w:after="0"/>
              <w:rPr>
                <w:sz w:val="20"/>
                <w:szCs w:val="20"/>
                <w:color w:val="auto"/>
              </w:rPr>
            </w:pPr>
            <w:r>
              <w:rPr>
                <w:rFonts w:ascii="Arial" w:cs="Arial" w:eastAsia="Arial" w:hAnsi="Arial"/>
                <w:sz w:val="18"/>
                <w:szCs w:val="18"/>
                <w:b w:val="1"/>
                <w:bCs w:val="1"/>
                <w:color w:val="auto"/>
                <w:w w:val="98"/>
              </w:rPr>
              <w:t>DELAWARE</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80-0640649</w:t>
            </w:r>
          </w:p>
        </w:tc>
      </w:tr>
      <w:tr>
        <w:trPr>
          <w:trHeight w:val="256"/>
        </w:trPr>
        <w:tc>
          <w:tcPr>
            <w:tcW w:w="6480" w:type="dxa"/>
            <w:vAlign w:val="bottom"/>
          </w:tcPr>
          <w:p>
            <w:pPr>
              <w:jc w:val="center"/>
              <w:ind w:right="355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480" w:type="dxa"/>
            <w:vAlign w:val="bottom"/>
          </w:tcPr>
          <w:p>
            <w:pPr>
              <w:jc w:val="center"/>
              <w:ind w:right="3550"/>
              <w:spacing w:after="0"/>
              <w:rPr>
                <w:sz w:val="20"/>
                <w:szCs w:val="20"/>
                <w:color w:val="auto"/>
              </w:rPr>
            </w:pPr>
            <w:r>
              <w:rPr>
                <w:rFonts w:ascii="Arial" w:cs="Arial" w:eastAsia="Arial" w:hAnsi="Arial"/>
                <w:sz w:val="18"/>
                <w:szCs w:val="18"/>
                <w:color w:val="auto"/>
                <w:w w:val="92"/>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80" w:type="dxa"/>
            <w:vAlign w:val="bottom"/>
          </w:tcPr>
          <w:p>
            <w:pPr>
              <w:jc w:val="center"/>
              <w:ind w:right="3550"/>
              <w:spacing w:after="0"/>
              <w:rPr>
                <w:sz w:val="20"/>
                <w:szCs w:val="20"/>
                <w:color w:val="auto"/>
              </w:rPr>
            </w:pPr>
            <w:r>
              <w:rPr>
                <w:rFonts w:ascii="Arial" w:cs="Arial" w:eastAsia="Arial" w:hAnsi="Arial"/>
                <w:sz w:val="18"/>
                <w:szCs w:val="18"/>
                <w:b w:val="1"/>
                <w:bCs w:val="1"/>
                <w:color w:val="auto"/>
                <w:w w:val="94"/>
              </w:rPr>
              <w:t>2980 Fairview Park Drive,</w:t>
            </w:r>
          </w:p>
        </w:tc>
        <w:tc>
          <w:tcPr>
            <w:tcW w:w="1540" w:type="dxa"/>
            <w:vAlign w:val="bottom"/>
          </w:tcPr>
          <w:p>
            <w:pPr>
              <w:spacing w:after="0"/>
              <w:rPr>
                <w:sz w:val="24"/>
                <w:szCs w:val="24"/>
                <w:color w:val="auto"/>
              </w:rPr>
            </w:pPr>
          </w:p>
        </w:tc>
      </w:tr>
      <w:tr>
        <w:trPr>
          <w:trHeight w:val="234"/>
        </w:trPr>
        <w:tc>
          <w:tcPr>
            <w:tcW w:w="6480" w:type="dxa"/>
            <w:vAlign w:val="bottom"/>
          </w:tcPr>
          <w:p>
            <w:pPr>
              <w:jc w:val="center"/>
              <w:ind w:right="3550"/>
              <w:spacing w:after="0"/>
              <w:rPr>
                <w:sz w:val="20"/>
                <w:szCs w:val="20"/>
                <w:color w:val="auto"/>
              </w:rPr>
            </w:pPr>
            <w:r>
              <w:rPr>
                <w:rFonts w:ascii="Arial" w:cs="Arial" w:eastAsia="Arial" w:hAnsi="Arial"/>
                <w:sz w:val="18"/>
                <w:szCs w:val="18"/>
                <w:b w:val="1"/>
                <w:bCs w:val="1"/>
                <w:color w:val="auto"/>
                <w:w w:val="92"/>
              </w:rPr>
              <w:t>Falls Church, Virginia</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22042</w:t>
            </w:r>
          </w:p>
        </w:tc>
      </w:tr>
      <w:tr>
        <w:trPr>
          <w:trHeight w:val="270"/>
        </w:trPr>
        <w:tc>
          <w:tcPr>
            <w:tcW w:w="6480" w:type="dxa"/>
            <w:vAlign w:val="bottom"/>
          </w:tcPr>
          <w:p>
            <w:pPr>
              <w:jc w:val="center"/>
              <w:ind w:right="353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229"/>
        </w:trPr>
        <w:tc>
          <w:tcPr>
            <w:tcW w:w="6480" w:type="dxa"/>
            <w:vAlign w:val="bottom"/>
          </w:tcPr>
          <w:p>
            <w:pPr>
              <w:jc w:val="right"/>
              <w:ind w:right="1430"/>
              <w:spacing w:after="0"/>
              <w:rPr>
                <w:sz w:val="20"/>
                <w:szCs w:val="20"/>
                <w:color w:val="auto"/>
              </w:rPr>
            </w:pPr>
            <w:r>
              <w:rPr>
                <w:rFonts w:ascii="Arial" w:cs="Arial" w:eastAsia="Arial" w:hAnsi="Arial"/>
                <w:sz w:val="18"/>
                <w:szCs w:val="18"/>
                <w:b w:val="1"/>
                <w:bCs w:val="1"/>
                <w:color w:val="auto"/>
              </w:rPr>
              <w:t>(703) 280-2900</w:t>
            </w:r>
          </w:p>
        </w:tc>
        <w:tc>
          <w:tcPr>
            <w:tcW w:w="1540" w:type="dxa"/>
            <w:vAlign w:val="bottom"/>
          </w:tcPr>
          <w:p>
            <w:pPr>
              <w:spacing w:after="0"/>
              <w:rPr>
                <w:sz w:val="19"/>
                <w:szCs w:val="19"/>
                <w:color w:val="auto"/>
              </w:rPr>
            </w:pPr>
          </w:p>
        </w:tc>
      </w:tr>
      <w:tr>
        <w:trPr>
          <w:trHeight w:val="230"/>
        </w:trPr>
        <w:tc>
          <w:tcPr>
            <w:tcW w:w="6480" w:type="dxa"/>
            <w:vAlign w:val="bottom"/>
          </w:tcPr>
          <w:p>
            <w:pPr>
              <w:jc w:val="center"/>
              <w:ind w:left="221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6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2540"/>
        <w:spacing w:after="0"/>
        <w:tabs>
          <w:tab w:leader="none" w:pos="84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9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2540"/>
        <w:spacing w:after="0"/>
        <w:tabs>
          <w:tab w:leader="none" w:pos="84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36"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420" w:space="720"/>
            <w:col w:w="4280"/>
          </w:cols>
          <w:pgMar w:left="240" w:top="225" w:right="239" w:bottom="1440" w:gutter="0" w:footer="0" w:header="0"/>
          <w:type w:val="continuous"/>
        </w:sectPr>
      </w:pP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spacing w:after="0" w:line="8" w:lineRule="exact"/>
        <w:rPr>
          <w:sz w:val="24"/>
          <w:szCs w:val="24"/>
          <w:color w:val="auto"/>
        </w:rPr>
      </w:pPr>
    </w:p>
    <w:p>
      <w:pPr>
        <w:ind w:left="71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jc w:val="both"/>
        <w:ind w:right="2580" w:firstLine="2536"/>
        <w:spacing w:after="0" w:line="279" w:lineRule="auto"/>
        <w:rPr>
          <w:sz w:val="20"/>
          <w:szCs w:val="20"/>
          <w:color w:val="auto"/>
        </w:rPr>
      </w:pPr>
      <w:r>
        <w:rPr>
          <w:rFonts w:ascii="Arial" w:cs="Arial" w:eastAsia="Arial" w:hAnsi="Arial"/>
          <w:sz w:val="18"/>
          <w:szCs w:val="18"/>
          <w:color w:val="auto"/>
        </w:rPr>
        <w:t>Yes o No x Indicate the number of shares outstanding of each of the issuer’s classes of common stock, as of the latest practicable date. As of April 20, 2018, 174,384,166 shares of common stock were outstanding.</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tcBorders>
              <w:bottom w:val="single" w:sz="8" w:color="0000EE"/>
            </w:tcBorders>
            <w:gridSpan w:val="17"/>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80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3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and Comprehensive Income</w:t>
              </w:r>
            </w:hyperlink>
          </w:p>
        </w:tc>
        <w:tc>
          <w:tcPr>
            <w:tcW w:w="30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60" w:type="dxa"/>
            <w:vAlign w:val="bottom"/>
            <w:tcBorders>
              <w:top w:val="single" w:sz="8" w:color="0000EE"/>
            </w:tcBorders>
            <w:gridSpan w:val="3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Financial Position</w:t>
              </w:r>
            </w:hyperlink>
          </w:p>
        </w:tc>
        <w:tc>
          <w:tcPr>
            <w:tcW w:w="4000" w:type="dxa"/>
            <w:vAlign w:val="bottom"/>
            <w:gridSpan w:val="5"/>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160" w:type="dxa"/>
            <w:vAlign w:val="bottom"/>
            <w:tcBorders>
              <w:top w:val="single" w:sz="8" w:color="0000FF"/>
            </w:tcBorders>
            <w:gridSpan w:val="28"/>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w:t>
              </w:r>
            </w:hyperlink>
          </w:p>
        </w:tc>
        <w:tc>
          <w:tcPr>
            <w:tcW w:w="5400" w:type="dxa"/>
            <w:vAlign w:val="bottom"/>
            <w:gridSpan w:val="9"/>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40" w:type="dxa"/>
            <w:vAlign w:val="bottom"/>
            <w:tcBorders>
              <w:bottom w:val="single" w:sz="8" w:color="0000FF"/>
            </w:tcBorders>
            <w:gridSpan w:val="3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Changes in Shareholders’ Equity</w:t>
              </w:r>
            </w:hyperlink>
          </w:p>
        </w:tc>
        <w:tc>
          <w:tcPr>
            <w:tcW w:w="4320" w:type="dxa"/>
            <w:vAlign w:val="bottom"/>
            <w:gridSpan w:val="7"/>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Borders>
              <w:top w:val="single" w:sz="8" w:color="0000FF"/>
            </w:tcBorders>
            <w:gridSpan w:val="4"/>
          </w:tcPr>
          <w:p>
            <w:pPr>
              <w:ind w:left="320"/>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1.</w:t>
              </w:r>
            </w:hyperlink>
          </w:p>
        </w:tc>
        <w:tc>
          <w:tcPr>
            <w:tcW w:w="3500" w:type="dxa"/>
            <w:vAlign w:val="bottom"/>
            <w:tcBorders>
              <w:top w:val="single" w:sz="8" w:color="0000FF"/>
            </w:tcBorders>
            <w:gridSpan w:val="22"/>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Basis of Presentation</w:t>
              </w:r>
            </w:hyperlink>
          </w:p>
        </w:tc>
        <w:tc>
          <w:tcPr>
            <w:tcW w:w="5580" w:type="dxa"/>
            <w:vAlign w:val="bottom"/>
            <w:gridSpan w:val="11"/>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9080" w:type="dxa"/>
            <w:vAlign w:val="bottom"/>
            <w:gridSpan w:val="33"/>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Pending Acquisition of Orbital ATK</w:t>
              </w:r>
            </w:hyperlink>
          </w:p>
        </w:tc>
        <w:tc>
          <w:tcPr>
            <w:tcW w:w="30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9080" w:type="dxa"/>
            <w:vAlign w:val="bottom"/>
            <w:gridSpan w:val="33"/>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Earnings Per Share, Share Repurchases and Dividends on Common Stock</w:t>
              </w:r>
            </w:hyperlink>
          </w:p>
        </w:tc>
        <w:tc>
          <w:tcPr>
            <w:tcW w:w="30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4.</w:t>
              </w:r>
            </w:hyperlink>
          </w:p>
        </w:tc>
        <w:tc>
          <w:tcPr>
            <w:tcW w:w="9080" w:type="dxa"/>
            <w:vAlign w:val="bottom"/>
            <w:gridSpan w:val="33"/>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Income Taxes</w:t>
              </w:r>
            </w:hyperlink>
          </w:p>
        </w:tc>
        <w:tc>
          <w:tcPr>
            <w:tcW w:w="300" w:type="dxa"/>
            <w:vAlign w:val="bottom"/>
            <w:gridSpan w:val="2"/>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5.</w:t>
              </w:r>
            </w:hyperlink>
          </w:p>
        </w:tc>
        <w:tc>
          <w:tcPr>
            <w:tcW w:w="9080" w:type="dxa"/>
            <w:vAlign w:val="bottom"/>
            <w:gridSpan w:val="33"/>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Fair Value of Financial Instruments</w:t>
              </w:r>
            </w:hyperlink>
          </w:p>
        </w:tc>
        <w:tc>
          <w:tcPr>
            <w:tcW w:w="300" w:type="dxa"/>
            <w:vAlign w:val="bottom"/>
            <w:gridSpan w:val="2"/>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6.</w:t>
              </w:r>
            </w:hyperlink>
          </w:p>
        </w:tc>
        <w:tc>
          <w:tcPr>
            <w:tcW w:w="9080" w:type="dxa"/>
            <w:vAlign w:val="bottom"/>
            <w:gridSpan w:val="33"/>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Investigations, Claims and Litigation</w:t>
              </w:r>
            </w:hyperlink>
          </w:p>
        </w:tc>
        <w:tc>
          <w:tcPr>
            <w:tcW w:w="300" w:type="dxa"/>
            <w:vAlign w:val="bottom"/>
            <w:gridSpan w:val="2"/>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7.</w:t>
              </w:r>
            </w:hyperlink>
          </w:p>
        </w:tc>
        <w:tc>
          <w:tcPr>
            <w:tcW w:w="9080" w:type="dxa"/>
            <w:vAlign w:val="bottom"/>
            <w:gridSpan w:val="33"/>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Commitments and Contingencies</w:t>
              </w:r>
            </w:hyperlink>
          </w:p>
        </w:tc>
        <w:tc>
          <w:tcPr>
            <w:tcW w:w="30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8.</w:t>
              </w:r>
            </w:hyperlink>
          </w:p>
        </w:tc>
        <w:tc>
          <w:tcPr>
            <w:tcW w:w="9080" w:type="dxa"/>
            <w:vAlign w:val="bottom"/>
            <w:gridSpan w:val="33"/>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Retirement Benefits</w:t>
              </w:r>
            </w:hyperlink>
          </w:p>
        </w:tc>
        <w:tc>
          <w:tcPr>
            <w:tcW w:w="300" w:type="dxa"/>
            <w:vAlign w:val="bottom"/>
            <w:gridSpan w:val="2"/>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9.</w:t>
              </w:r>
            </w:hyperlink>
          </w:p>
        </w:tc>
        <w:tc>
          <w:tcPr>
            <w:tcW w:w="9080" w:type="dxa"/>
            <w:vAlign w:val="bottom"/>
            <w:gridSpan w:val="33"/>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Stock Compensation Plans and Other Compensation Arrangements</w:t>
              </w:r>
            </w:hyperlink>
          </w:p>
        </w:tc>
        <w:tc>
          <w:tcPr>
            <w:tcW w:w="300" w:type="dxa"/>
            <w:vAlign w:val="bottom"/>
            <w:gridSpan w:val="2"/>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1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10. Segment Information</w:t>
              </w:r>
            </w:hyperlink>
          </w:p>
        </w:tc>
        <w:tc>
          <w:tcPr>
            <w:tcW w:w="3220" w:type="dxa"/>
            <w:vAlign w:val="bottom"/>
            <w:gridSpan w:val="17"/>
          </w:tcPr>
          <w:p>
            <w:pPr>
              <w:spacing w:after="0"/>
              <w:rPr>
                <w:sz w:val="21"/>
                <w:szCs w:val="21"/>
                <w:color w:val="auto"/>
              </w:rPr>
            </w:pPr>
          </w:p>
        </w:tc>
        <w:tc>
          <w:tcPr>
            <w:tcW w:w="4220" w:type="dxa"/>
            <w:vAlign w:val="bottom"/>
            <w:gridSpan w:val="6"/>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4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11. Recast 2017 Financial Information</w:t>
              </w:r>
            </w:hyperlink>
          </w:p>
        </w:tc>
        <w:tc>
          <w:tcPr>
            <w:tcW w:w="300" w:type="dxa"/>
            <w:vAlign w:val="bottom"/>
            <w:gridSpan w:val="2"/>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20" w:type="dxa"/>
            <w:vAlign w:val="bottom"/>
            <w:gridSpan w:val="29"/>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Report of Independent Registered Public Accounting Firm</w:t>
              </w:r>
            </w:hyperlink>
          </w:p>
        </w:tc>
        <w:tc>
          <w:tcPr>
            <w:tcW w:w="5340" w:type="dxa"/>
            <w:vAlign w:val="bottom"/>
            <w:gridSpan w:val="8"/>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3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100" w:type="dxa"/>
            <w:vAlign w:val="bottom"/>
            <w:tcBorders>
              <w:top w:val="single" w:sz="8" w:color="0000EE"/>
            </w:tcBorders>
            <w:gridSpan w:val="3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Overview</w:t>
              </w:r>
            </w:hyperlink>
          </w:p>
        </w:tc>
        <w:tc>
          <w:tcPr>
            <w:tcW w:w="346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Consolidated Operating Results</w:t>
              </w:r>
            </w:hyperlink>
          </w:p>
        </w:tc>
        <w:tc>
          <w:tcPr>
            <w:tcW w:w="300" w:type="dxa"/>
            <w:vAlign w:val="bottom"/>
            <w:gridSpan w:val="2"/>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5"/>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Segment Operating Results</w:t>
              </w:r>
            </w:hyperlink>
          </w:p>
        </w:tc>
        <w:tc>
          <w:tcPr>
            <w:tcW w:w="7340" w:type="dxa"/>
            <w:vAlign w:val="bottom"/>
            <w:gridSpan w:val="2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1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Product and Service Analysis</w:t>
              </w:r>
            </w:hyperlink>
          </w:p>
        </w:tc>
        <w:tc>
          <w:tcPr>
            <w:tcW w:w="7440" w:type="dxa"/>
            <w:vAlign w:val="bottom"/>
            <w:gridSpan w:val="2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5"/>
          </w:tcPr>
          <w:p>
            <w:pPr>
              <w:spacing w:after="0"/>
              <w:rPr>
                <w:rFonts w:ascii="Arial" w:cs="Arial" w:eastAsia="Arial" w:hAnsi="Arial"/>
                <w:sz w:val="18"/>
                <w:szCs w:val="18"/>
                <w:color w:val="0000EE"/>
                <w:w w:val="78"/>
              </w:rPr>
            </w:pPr>
            <w:hyperlink w:anchor="page30">
              <w:r>
                <w:rPr>
                  <w:rFonts w:ascii="Arial" w:cs="Arial" w:eastAsia="Arial" w:hAnsi="Arial"/>
                  <w:sz w:val="18"/>
                  <w:szCs w:val="18"/>
                  <w:color w:val="0000EE"/>
                  <w:w w:val="78"/>
                </w:rPr>
                <w:t>Backlog</w:t>
              </w:r>
            </w:hyperlink>
          </w:p>
        </w:tc>
        <w:tc>
          <w:tcPr>
            <w:tcW w:w="1580" w:type="dxa"/>
            <w:vAlign w:val="bottom"/>
            <w:gridSpan w:val="9"/>
          </w:tcPr>
          <w:p>
            <w:pPr>
              <w:spacing w:after="0"/>
              <w:rPr>
                <w:sz w:val="21"/>
                <w:szCs w:val="21"/>
                <w:color w:val="auto"/>
              </w:rPr>
            </w:pPr>
          </w:p>
        </w:tc>
        <w:tc>
          <w:tcPr>
            <w:tcW w:w="7440" w:type="dxa"/>
            <w:vAlign w:val="bottom"/>
            <w:gridSpan w:val="2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16"/>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Liquidity and Capital Resources</w:t>
              </w:r>
            </w:hyperlink>
          </w:p>
        </w:tc>
        <w:tc>
          <w:tcPr>
            <w:tcW w:w="7240" w:type="dxa"/>
            <w:vAlign w:val="bottom"/>
            <w:gridSpan w:val="21"/>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Critical Accounting Policies, Estimates and Judgments</w:t>
              </w:r>
            </w:hyperlink>
          </w:p>
        </w:tc>
        <w:tc>
          <w:tcPr>
            <w:tcW w:w="300" w:type="dxa"/>
            <w:vAlign w:val="bottom"/>
            <w:gridSpan w:val="2"/>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Accounting Standards Updates</w:t>
              </w:r>
            </w:hyperlink>
          </w:p>
        </w:tc>
        <w:tc>
          <w:tcPr>
            <w:tcW w:w="5620" w:type="dxa"/>
            <w:vAlign w:val="bottom"/>
            <w:gridSpan w:val="1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Forward-Looking Statements and Projections</w:t>
              </w:r>
            </w:hyperlink>
          </w:p>
        </w:tc>
        <w:tc>
          <w:tcPr>
            <w:tcW w:w="300" w:type="dxa"/>
            <w:vAlign w:val="bottom"/>
            <w:gridSpan w:val="2"/>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6"/>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1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Contractual Obligations</w:t>
              </w:r>
            </w:hyperlink>
          </w:p>
        </w:tc>
        <w:tc>
          <w:tcPr>
            <w:tcW w:w="1540" w:type="dxa"/>
            <w:vAlign w:val="bottom"/>
            <w:gridSpan w:val="13"/>
          </w:tcPr>
          <w:p>
            <w:pPr>
              <w:spacing w:after="0"/>
              <w:rPr>
                <w:sz w:val="21"/>
                <w:szCs w:val="21"/>
                <w:color w:val="auto"/>
              </w:rPr>
            </w:pPr>
          </w:p>
        </w:tc>
        <w:tc>
          <w:tcPr>
            <w:tcW w:w="6300" w:type="dxa"/>
            <w:vAlign w:val="bottom"/>
            <w:gridSpan w:val="1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2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5560" w:type="dxa"/>
            <w:vAlign w:val="bottom"/>
            <w:gridSpan w:val="10"/>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6"/>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1600" w:type="dxa"/>
            <w:vAlign w:val="bottom"/>
            <w:tcBorders>
              <w:left w:val="single" w:sz="8" w:color="0000EE"/>
            </w:tcBorders>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560" w:type="dxa"/>
            <w:vAlign w:val="bottom"/>
            <w:gridSpan w:val="10"/>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574"/>
        </w:trPr>
        <w:tc>
          <w:tcPr>
            <w:tcW w:w="1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19"/>
          </w:tcPr>
          <w:p>
            <w:pPr>
              <w:jc w:val="center"/>
              <w:ind w:right="3960"/>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8"/>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1800" w:type="dxa"/>
            <w:vAlign w:val="bottom"/>
            <w:gridSpan w:val="11"/>
          </w:tcPr>
          <w:p>
            <w:pPr>
              <w:spacing w:after="0"/>
              <w:rPr>
                <w:sz w:val="21"/>
                <w:szCs w:val="21"/>
                <w:color w:val="auto"/>
              </w:rPr>
            </w:pPr>
          </w:p>
        </w:tc>
        <w:tc>
          <w:tcPr>
            <w:tcW w:w="2840" w:type="dxa"/>
            <w:vAlign w:val="bottom"/>
            <w:tcBorders>
              <w:top w:val="single" w:sz="8" w:color="0000EE"/>
            </w:tcBorders>
            <w:gridSpan w:val="15"/>
          </w:tcPr>
          <w:p>
            <w:pPr>
              <w:spacing w:after="0"/>
              <w:rPr>
                <w:sz w:val="21"/>
                <w:szCs w:val="21"/>
                <w:color w:val="auto"/>
              </w:rPr>
            </w:pPr>
          </w:p>
        </w:tc>
        <w:tc>
          <w:tcPr>
            <w:tcW w:w="396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15"/>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8600" w:type="dxa"/>
            <w:vAlign w:val="bottom"/>
            <w:gridSpan w:val="30"/>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15"/>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28"/>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5560" w:type="dxa"/>
            <w:vAlign w:val="bottom"/>
            <w:gridSpan w:val="10"/>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tcBorders>
              <w:left w:val="single" w:sz="8" w:color="0000EE"/>
            </w:tcBorders>
            <w:gridSpan w:val="15"/>
            <w:shd w:val="clear" w:color="auto" w:fill="0000EE"/>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5560" w:type="dxa"/>
            <w:vAlign w:val="bottom"/>
            <w:gridSpan w:val="10"/>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600" w:type="dxa"/>
            <w:vAlign w:val="bottom"/>
            <w:gridSpan w:val="2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9"/>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Mine Safety Disclosures</w:t>
              </w:r>
            </w:hyperlink>
          </w:p>
        </w:tc>
        <w:tc>
          <w:tcPr>
            <w:tcW w:w="540" w:type="dxa"/>
            <w:vAlign w:val="bottom"/>
            <w:gridSpan w:val="4"/>
          </w:tcPr>
          <w:p>
            <w:pPr>
              <w:spacing w:after="0"/>
              <w:rPr>
                <w:sz w:val="21"/>
                <w:szCs w:val="21"/>
                <w:color w:val="auto"/>
              </w:rPr>
            </w:pPr>
          </w:p>
        </w:tc>
        <w:tc>
          <w:tcPr>
            <w:tcW w:w="7600" w:type="dxa"/>
            <w:vAlign w:val="bottom"/>
            <w:gridSpan w:val="25"/>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140" w:type="dxa"/>
            <w:vAlign w:val="bottom"/>
            <w:gridSpan w:val="2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8"/>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Other Information</w:t>
              </w:r>
            </w:hyperlink>
          </w:p>
        </w:tc>
        <w:tc>
          <w:tcPr>
            <w:tcW w:w="460" w:type="dxa"/>
            <w:vAlign w:val="bottom"/>
          </w:tcPr>
          <w:p>
            <w:pPr>
              <w:spacing w:after="0"/>
              <w:rPr>
                <w:sz w:val="21"/>
                <w:szCs w:val="21"/>
                <w:color w:val="auto"/>
              </w:rPr>
            </w:pPr>
          </w:p>
        </w:tc>
        <w:tc>
          <w:tcPr>
            <w:tcW w:w="8140" w:type="dxa"/>
            <w:vAlign w:val="bottom"/>
            <w:gridSpan w:val="29"/>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4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Signatures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18"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77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85"/>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NORTHROP GRUMMAN CORPORATION</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60" w:type="dxa"/>
            <w:vAlign w:val="bottom"/>
          </w:tcPr>
          <w:p>
            <w:pPr>
              <w:ind w:left="234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13"/>
        </w:trPr>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3"/>
          </w:tcPr>
          <w:p>
            <w:pPr>
              <w:jc w:val="right"/>
              <w:ind w:right="70"/>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3"/>
          </w:tcPr>
          <w:p>
            <w:pPr>
              <w:ind w:left="280"/>
              <w:spacing w:after="0"/>
              <w:rPr>
                <w:sz w:val="20"/>
                <w:szCs w:val="20"/>
                <w:color w:val="auto"/>
              </w:rPr>
            </w:pPr>
            <w:r>
              <w:rPr>
                <w:rFonts w:ascii="Arial" w:cs="Arial" w:eastAsia="Arial" w:hAnsi="Arial"/>
                <w:sz w:val="18"/>
                <w:szCs w:val="18"/>
                <w:color w:val="auto"/>
              </w:rPr>
              <w:t>Product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4,289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3,997</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8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2,446</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w:t>
            </w:r>
          </w:p>
        </w:tc>
      </w:tr>
      <w:tr>
        <w:trPr>
          <w:trHeight w:val="237"/>
        </w:trPr>
        <w:tc>
          <w:tcPr>
            <w:tcW w:w="88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Total sales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6,735</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6,410</w:t>
            </w:r>
          </w:p>
        </w:tc>
      </w:tr>
      <w:tr>
        <w:trPr>
          <w:trHeight w:val="27"/>
        </w:trPr>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3"/>
          </w:tcPr>
          <w:p>
            <w:pPr>
              <w:ind w:left="280"/>
              <w:spacing w:after="0"/>
              <w:rPr>
                <w:sz w:val="20"/>
                <w:szCs w:val="20"/>
                <w:color w:val="auto"/>
              </w:rPr>
            </w:pPr>
            <w:r>
              <w:rPr>
                <w:rFonts w:ascii="Arial" w:cs="Arial" w:eastAsia="Arial" w:hAnsi="Arial"/>
                <w:sz w:val="18"/>
                <w:szCs w:val="18"/>
                <w:color w:val="auto"/>
              </w:rPr>
              <w:t>Product</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3,265</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2,983</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1,905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w:t>
            </w:r>
          </w:p>
        </w:tc>
      </w:tr>
      <w:tr>
        <w:trPr>
          <w:trHeight w:val="243"/>
        </w:trPr>
        <w:tc>
          <w:tcPr>
            <w:tcW w:w="8800" w:type="dxa"/>
            <w:vAlign w:val="bottom"/>
            <w:gridSpan w:val="3"/>
          </w:tcPr>
          <w:p>
            <w:pPr>
              <w:ind w:left="2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711</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854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8800" w:type="dxa"/>
            <w:vAlign w:val="bottom"/>
            <w:gridSpan w:val="3"/>
          </w:tcPr>
          <w:p>
            <w:pPr>
              <w:ind w:left="280"/>
              <w:spacing w:after="0"/>
              <w:rPr>
                <w:sz w:val="20"/>
                <w:szCs w:val="20"/>
                <w:color w:val="auto"/>
              </w:rPr>
            </w:pPr>
            <w:r>
              <w:rPr>
                <w:rFonts w:ascii="Arial" w:cs="Arial" w:eastAsia="Arial" w:hAnsi="Arial"/>
                <w:sz w:val="18"/>
                <w:szCs w:val="18"/>
                <w:color w:val="auto"/>
              </w:rPr>
              <w:t>Net FAS (non-service) pension benefit (expense)</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8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88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871</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132</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37"/>
        </w:trPr>
        <w:tc>
          <w:tcPr>
            <w:tcW w:w="88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Net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739</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r>
      <w:tr>
        <w:trPr>
          <w:trHeight w:val="34"/>
        </w:trPr>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0"/>
        </w:trPr>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4.24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4.21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2"/>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175.4</w:t>
            </w:r>
          </w:p>
        </w:tc>
        <w:tc>
          <w:tcPr>
            <w:tcW w:w="3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r>
      <w:tr>
        <w:trPr>
          <w:trHeight w:val="270"/>
        </w:trPr>
        <w:tc>
          <w:tcPr>
            <w:tcW w:w="1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9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(from above)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Change in unamortized benefit plan costs,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800" w:type="dxa"/>
            <w:vAlign w:val="bottom"/>
            <w:gridSpan w:val="3"/>
          </w:tcPr>
          <w:p>
            <w:pPr>
              <w:ind w:left="280"/>
              <w:spacing w:after="0"/>
              <w:rPr>
                <w:sz w:val="20"/>
                <w:szCs w:val="20"/>
                <w:color w:val="auto"/>
              </w:rPr>
            </w:pPr>
            <w:r>
              <w:rPr>
                <w:rFonts w:ascii="Arial" w:cs="Arial" w:eastAsia="Arial" w:hAnsi="Arial"/>
                <w:sz w:val="18"/>
                <w:szCs w:val="18"/>
                <w:color w:val="auto"/>
              </w:rPr>
              <w:t>Change in cumulative translation adjustment</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8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88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7"/>
                <w:shd w:val="clear" w:color="auto" w:fill="CCEEFF"/>
              </w:rPr>
              <w:t>Comprehensive income</w:t>
            </w:r>
          </w:p>
        </w:tc>
        <w:tc>
          <w:tcPr>
            <w:tcW w:w="6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822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7"/>
        </w:trPr>
        <w:tc>
          <w:tcPr>
            <w:tcW w:w="1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ind w:right="526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72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80" w:type="dxa"/>
            <w:vAlign w:val="bottom"/>
          </w:tcPr>
          <w:p>
            <w:pPr>
              <w:jc w:val="right"/>
              <w:ind w:right="113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10,369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1,241</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3,869</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435</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243</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7"/>
              </w:rPr>
              <w:t>16,157</w:t>
            </w:r>
          </w:p>
        </w:tc>
        <w:tc>
          <w:tcPr>
            <w:tcW w:w="3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22"/>
        </w:trPr>
        <w:tc>
          <w:tcPr>
            <w:tcW w:w="72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0"/>
              </w:rPr>
              <w:t>Property, plant and equipment, net of accumulated depreciation of $5,119 for 2018 and $5,066 for</w:t>
            </w:r>
          </w:p>
        </w:tc>
        <w:tc>
          <w:tcPr>
            <w:tcW w:w="1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4,285</w:t>
            </w:r>
          </w:p>
        </w:tc>
        <w:tc>
          <w:tcPr>
            <w:tcW w:w="3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2017</w:t>
            </w:r>
          </w:p>
        </w:tc>
        <w:tc>
          <w:tcPr>
            <w:tcW w:w="13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7"/>
              </w:rPr>
              <w:t>12,455</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474</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1,424</w:t>
            </w:r>
          </w:p>
        </w:tc>
        <w:tc>
          <w:tcPr>
            <w:tcW w:w="3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34,795</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34"/>
        </w:trPr>
        <w:tc>
          <w:tcPr>
            <w:tcW w:w="7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38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1,395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1,204</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amounts in excess of costs incurred</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1,479</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2,337</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6,415</w:t>
            </w:r>
          </w:p>
        </w:tc>
        <w:tc>
          <w:tcPr>
            <w:tcW w:w="3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37"/>
        </w:trPr>
        <w:tc>
          <w:tcPr>
            <w:tcW w:w="72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$868 for 2018 and $867 for 2017</w:t>
            </w:r>
          </w:p>
        </w:tc>
        <w:tc>
          <w:tcPr>
            <w:tcW w:w="1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14,392</w:t>
            </w:r>
          </w:p>
        </w:tc>
        <w:tc>
          <w:tcPr>
            <w:tcW w:w="3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5,362</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946</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7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7"/>
              </w:rPr>
              <w:t>27,115</w:t>
            </w:r>
          </w:p>
        </w:tc>
        <w:tc>
          <w:tcPr>
            <w:tcW w:w="3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27,996</w:t>
            </w:r>
          </w:p>
        </w:tc>
        <w:tc>
          <w:tcPr>
            <w:tcW w:w="0" w:type="dxa"/>
            <w:vAlign w:val="bottom"/>
          </w:tcPr>
          <w:p>
            <w:pPr>
              <w:spacing w:after="0"/>
              <w:rPr>
                <w:sz w:val="1"/>
                <w:szCs w:val="1"/>
                <w:color w:val="auto"/>
              </w:rPr>
            </w:pPr>
          </w:p>
        </w:tc>
      </w:tr>
      <w:tr>
        <w:trPr>
          <w:trHeight w:val="318"/>
        </w:trPr>
        <w:tc>
          <w:tcPr>
            <w:tcW w:w="7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7)</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w w:val="93"/>
              </w:rPr>
              <w:t>Preferred stock, $1 par value; 10,000,000 shares authorized; no shares issued and outstanding</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shd w:val="clear" w:color="auto" w:fill="CCEEFF"/>
              </w:rPr>
              <w:t>Common stock, $1 par value; 800,000,000 shares authorized; issued and outstanding: 2018—</w:t>
            </w:r>
          </w:p>
        </w:tc>
        <w:tc>
          <w:tcPr>
            <w:tcW w:w="13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174</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174,382,256 and 2017—174,085,619</w:t>
            </w:r>
          </w:p>
        </w:tc>
        <w:tc>
          <w:tcPr>
            <w:tcW w:w="1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13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7"/>
              </w:rPr>
              <w:t>13,205</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43"/>
        </w:trPr>
        <w:tc>
          <w:tcPr>
            <w:tcW w:w="72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(5,699)</w:t>
            </w:r>
          </w:p>
        </w:tc>
        <w:tc>
          <w:tcPr>
            <w:tcW w:w="3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7,680</w:t>
            </w:r>
          </w:p>
        </w:tc>
        <w:tc>
          <w:tcPr>
            <w:tcW w:w="3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3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34,795</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34"/>
        </w:trPr>
        <w:tc>
          <w:tcPr>
            <w:tcW w:w="7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 31</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739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122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(187)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Inventoried costs, net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(590)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Retiree benefits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(237)</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91"/>
        </w:trPr>
        <w:tc>
          <w:tcPr>
            <w:tcW w:w="9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Common stock repurchases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(payments to) proceeds from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(856)</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11,225</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10,369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1,403</w:t>
            </w:r>
          </w:p>
        </w:tc>
      </w:tr>
      <w:tr>
        <w:trPr>
          <w:trHeight w:val="34"/>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ind w:right="370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right"/>
              <w:ind w:right="10"/>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2017</w:t>
            </w:r>
          </w:p>
        </w:tc>
      </w:tr>
      <w:tr>
        <w:trPr>
          <w:trHeight w:val="27"/>
        </w:trPr>
        <w:tc>
          <w:tcPr>
            <w:tcW w:w="8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Beginning of year</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174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Shares issued for employee stock awards and options</w:t>
            </w: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174</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Paid-in capital</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year</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(44)</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Retained earnings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year</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11,632</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10,734</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Impact from adoption of ASU 2018-02 and ASU 2016-01 (See Note 1)</w:t>
            </w: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1,064</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739</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declared</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(195)</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(35)</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13,205</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10,938</w:t>
            </w:r>
          </w:p>
        </w:tc>
      </w:tr>
      <w:tr>
        <w:trPr>
          <w:trHeight w:val="237"/>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year</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(4,718)</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Impact from adoption of ASU 2018-02 and ASU 2016-01 (See Note 1)</w:t>
            </w:r>
          </w:p>
        </w:tc>
        <w:tc>
          <w:tcPr>
            <w:tcW w:w="1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(1,064)</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83</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37"/>
        </w:trPr>
        <w:tc>
          <w:tcPr>
            <w:tcW w:w="89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(5,699)</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(5,441)</w:t>
            </w:r>
          </w:p>
        </w:tc>
      </w:tr>
      <w:tr>
        <w:trPr>
          <w:trHeight w:val="27"/>
        </w:trPr>
        <w:tc>
          <w:tcPr>
            <w:tcW w:w="8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7,680</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43"/>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dividends declared per share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1.10</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0.90</w:t>
            </w:r>
          </w:p>
        </w:tc>
      </w:tr>
      <w:tr>
        <w:trPr>
          <w:trHeight w:val="34"/>
        </w:trPr>
        <w:tc>
          <w:tcPr>
            <w:tcW w:w="8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Material intercompany accounts, transactions and profits are eliminated in consolidation. Investments in equity securities and joint ventures where the company has significant influence, but not control, are accounted for using the equity method.</w:t>
      </w:r>
    </w:p>
    <w:p>
      <w:pPr>
        <w:spacing w:after="0" w:line="4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results reported in these financial statements are not necessarily indicative of results that may be expected for the entire year. These financial statements should be read in conjunction with the information contained in the company’s Annual Report on Form 10-K for the year ended December 31, 2017 (2017 Annual Report on Form 10-K).</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As previously announced, effective January 1, 2018, we adopted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and Accounting Standards Update (ASU) No. 2017-07,</w:t>
      </w:r>
      <w:r>
        <w:rPr>
          <w:rFonts w:ascii="Arial" w:cs="Arial" w:eastAsia="Arial" w:hAnsi="Arial"/>
          <w:sz w:val="18"/>
          <w:szCs w:val="18"/>
          <w:i w:val="1"/>
          <w:iCs w:val="1"/>
          <w:color w:val="auto"/>
        </w:rPr>
        <w:t xml:space="preserve"> Compensation Retirement Benefits (Topic 715): Improving the Presentation of Net Periodic Pension Cost and Net Periodic Postretirement Benefit Cost</w:t>
      </w:r>
      <w:r>
        <w:rPr>
          <w:rFonts w:ascii="Arial" w:cs="Arial" w:eastAsia="Arial" w:hAnsi="Arial"/>
          <w:sz w:val="18"/>
          <w:szCs w:val="18"/>
          <w:color w:val="auto"/>
        </w:rPr>
        <w:t>, using the full retrospective method. The adoption of these standards are reflected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and disclosures set forth in this Form 10-Q and the effect of these standards on the company’s unaudited condensed consolidated statement of earnings and comprehensive income for the three months ended March 31, 2017 and unaudited condensed consolidated statement of financial position as of December 31, 2017 is reflected in Note 11.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The majority of our sales are derived from long-term contracts with the U.S. Government for the production of goods, the provision of services, or a combination of both. The company classifies sales as product or service based on the predominant attributes of each contract.</w:t>
      </w:r>
    </w:p>
    <w:p>
      <w:pPr>
        <w:spacing w:after="0" w:line="2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ASC Topic 606, 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lifecycle (development, production, maintenance and/or support). In those cases, the company accounts for the distinct contract deliverables as separate performance obligations and allocates the transaction price to each performance obligation based on its relative standalone selling price, which is generally estimated using the cost plus a reasonable margin approach of ASC Topic 606. Warranties are provided on certain contracts, but do not typically provide for services beyond standard assurances and are therefore not within the scope of ASC Topic 606. Likewise, our</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accounting for costs to obtain or fulfill a contract was not significantly impacted by the adoption of ASC Topic 606 as these costs are not material.</w:t>
      </w:r>
    </w:p>
    <w:p>
      <w:pPr>
        <w:spacing w:after="0" w:line="1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contract modification exists when the parties to a contract approve a change in the scope or price of a contract. Contracts are often modified for changes in contract specifications or requirements. Most of the company’s contract modifications are for goods or services that are not distinct in the context of the contract and are therefore accounted for as part of the original performance obligation through a cumulative estimate-at-completion (EAC) adjustment.</w:t>
      </w:r>
    </w:p>
    <w:p>
      <w:pPr>
        <w:spacing w:after="0" w:line="1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recognizes revenue as control is transferred to the customer, either over time or at a point in time. In general, our U.S. government contracts contain termination for convenience clauses that generally entitle the customer to goods produced and/or in-process. Similarly, our non-U.S. government contracts generally contain contractual termination clauses or entitle the company to payment for work performed to date for goods and services that do not have an alternative use. As control is effectively transferred as we perform on our contracts and we are typically entitled to cost plus a reasonable margin for work in process if the contract is terminated, we generally recognize revenue over time on a cost-to-cost basis (cost incurred relative to total cost estimated at completion) as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revenue and cost at completion.</w:t>
      </w:r>
    </w:p>
    <w:p>
      <w:pPr>
        <w:spacing w:after="0" w:line="2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at the most likely amount to which we expect to be entitled.</w:t>
      </w:r>
    </w:p>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 Each loss provision is first offset against costs included in unbilled accounts receivable or inventoried costs; remaining amounts are reflected in current liabilities.</w:t>
      </w:r>
    </w:p>
    <w:p>
      <w:pPr>
        <w:spacing w:after="0" w:line="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Significant EAC adjustments on a single contract could have a material effect on the company’s financial statements. When such adjustments occur, we generally disclose the nature, underlying conditions and financial impact of the adjustments. No discrete event or adjustments to an individual contract were material to the financial statements during the three months ended March 31, 2018 and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3"/>
          </w:tcPr>
          <w:p>
            <w:pPr>
              <w:jc w:val="right"/>
              <w:ind w:right="190"/>
              <w:spacing w:after="0"/>
              <w:rPr>
                <w:sz w:val="20"/>
                <w:szCs w:val="20"/>
                <w:color w:val="auto"/>
              </w:rPr>
            </w:pPr>
            <w:r>
              <w:rPr>
                <w:rFonts w:ascii="Arial" w:cs="Arial" w:eastAsia="Arial" w:hAnsi="Arial"/>
                <w:sz w:val="18"/>
                <w:szCs w:val="18"/>
                <w:color w:val="auto"/>
                <w:w w:val="94"/>
              </w:rPr>
              <w:t>Three Months Ended March 31</w:t>
            </w: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92</w:t>
            </w:r>
          </w:p>
        </w:tc>
        <w:tc>
          <w:tcPr>
            <w:tcW w:w="4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0"/>
        </w:trPr>
        <w:tc>
          <w:tcPr>
            <w:tcW w:w="85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0.52</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bl>
    <w:p>
      <w:pPr>
        <w:spacing w:after="0" w:line="11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Based on statutory tax rates in effect for each period presented.</w:t>
      </w:r>
    </w:p>
    <w:p>
      <w:pPr>
        <w:spacing w:after="0" w:line="74"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Revenue recognized from performance obligations satisfied in previous reporting periods was $133 million and $145 million for the three months ended March 31, 2018 and 2017,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and indefinite delivery indefinite quantity (IDIQ) contracts are not included in backlog until the time the option or IDIQ task order is exercised or awarded.</w:t>
      </w:r>
    </w:p>
    <w:p>
      <w:pPr>
        <w:spacing w:after="0" w:line="1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Company backlog as of March 31, 2018 was $42.3 billion. We expect to recognize approximately 50 percent and 75 percent of our March 31, 2018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direct production costs, factory and engineering overhead, production tooling costs, and, for government contracts,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5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(liabilities)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02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2"/>
              </w:rPr>
              <w:t>$ Change</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 Change</w:t>
            </w:r>
          </w:p>
        </w:tc>
      </w:tr>
      <w:tr>
        <w:trPr>
          <w:trHeight w:val="27"/>
        </w:trPr>
        <w:tc>
          <w:tcPr>
            <w:tcW w:w="5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Advance payments and amounts in excess of costs incurred</w:t>
            </w:r>
          </w:p>
        </w:tc>
        <w:tc>
          <w:tcPr>
            <w:tcW w:w="10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(1,479)</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(1,761)</w:t>
            </w:r>
          </w:p>
        </w:tc>
        <w:tc>
          <w:tcPr>
            <w:tcW w:w="1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282</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 (liabilities)</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revenue recognized for the three months ended March 31, 2018 and 2017 that was included in the opening contract liability balances was $706 million and $578 million, respectively.</w:t>
      </w:r>
    </w:p>
    <w:p>
      <w:pPr>
        <w:spacing w:after="0" w:line="3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change in the balances of the company’s contract assets and liabilities primarily results from timing differences between company performance and customer payments. The increase in net contract assets during the three months ended March 31, 2018, is principally due to higher sales on restricted programs and the timing of collections on certain Manned Aircraft programs at Aerospace Systems.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6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60"/>
        </w:trPr>
        <w:tc>
          <w:tcPr>
            <w:tcW w:w="1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732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104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110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benefit plan costs, net of tax benefit of $1,968 for 2018 and $3,056 for 2017</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Cumulative translation adjustment</w:t>
            </w:r>
          </w:p>
        </w:tc>
        <w:tc>
          <w:tcPr>
            <w:tcW w:w="10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1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7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(5,699)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w:t>
            </w:r>
          </w:p>
        </w:tc>
      </w:tr>
      <w:tr>
        <w:trPr>
          <w:trHeight w:val="34"/>
        </w:trPr>
        <w:tc>
          <w:tcPr>
            <w:tcW w:w="110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Unamortized benefit plan costs as of March 31, 2018 reflect a reclassification from accumulated other comprehensive loss to retained earnings of $1.1 billion of stranded tax effects resulting from the Tax Cuts and Jobs Act (the “2017 Tax Act”). This reclassification resulted from the company’s early adoption of ASU 2018-02 on January 1, 2018. See “Accounting Standards Updates” below for more information.</w:t>
      </w:r>
    </w:p>
    <w:p>
      <w:pPr>
        <w:spacing w:after="0" w:line="4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Unamortized benefit plan costs consist primarily of net after-tax actuarial losses totaling $5.7 billion and $4.7 billion as of March 31, 2018 and December 31, 2017, respectively. Net actuarial gains or losses are re-determined annually or upon remeasurement events and principally arise from changes in the interest rate used to discount our benefit obligations and differences between expected and actual returns on plan assets.</w:t>
      </w:r>
    </w:p>
    <w:p>
      <w:pPr>
        <w:spacing w:after="0" w:line="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Reclassifications from accumulated other comprehensive loss to net earnings related to the amortization of benefit plan costs were $86 million and $99 million, net of taxes, for the three months ended March 31, 2018 and 2017, respectively. The reclassifications represent the amortization of net actuarial losses and prior service credits, and are included in the computation of net periodic pension cost. See Note 8 for further information.</w:t>
      </w:r>
    </w:p>
    <w:p>
      <w:pPr>
        <w:spacing w:after="0" w:line="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Reclassifications from accumulated other comprehensive loss to net earnings relating to cumulative translation adjustments and effective cash flow hedges were not material for the three months ended March 31, 2018 and 2017.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material related party transactions in any period presented.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On February 14, 2018, the Financial Accounting Standards Board (FASB) issued ASU 2018-02, </w:t>
      </w:r>
      <w:r>
        <w:rPr>
          <w:rFonts w:ascii="Arial" w:cs="Arial" w:eastAsia="Arial" w:hAnsi="Arial"/>
          <w:sz w:val="18"/>
          <w:szCs w:val="18"/>
          <w:i w:val="1"/>
          <w:iCs w:val="1"/>
          <w:color w:val="auto"/>
        </w:rPr>
        <w:t>Income Statement - Reporting Comprehensive Income (Topic</w:t>
      </w:r>
      <w:r>
        <w:rPr>
          <w:rFonts w:ascii="Arial" w:cs="Arial" w:eastAsia="Arial" w:hAnsi="Arial"/>
          <w:sz w:val="18"/>
          <w:szCs w:val="18"/>
          <w:color w:val="auto"/>
        </w:rPr>
        <w:t xml:space="preserve"> </w:t>
      </w:r>
      <w:r>
        <w:rPr>
          <w:rFonts w:ascii="Arial" w:cs="Arial" w:eastAsia="Arial" w:hAnsi="Arial"/>
          <w:sz w:val="18"/>
          <w:szCs w:val="18"/>
          <w:i w:val="1"/>
          <w:iCs w:val="1"/>
          <w:color w:val="auto"/>
        </w:rPr>
        <w:t>220): Reclassification of Certain Tax Effects from Accumulated Other Comprehensive Income</w:t>
      </w:r>
      <w:r>
        <w:rPr>
          <w:rFonts w:ascii="Arial" w:cs="Arial" w:eastAsia="Arial" w:hAnsi="Arial"/>
          <w:sz w:val="18"/>
          <w:szCs w:val="18"/>
          <w:color w:val="auto"/>
        </w:rPr>
        <w:t>. ASU 2018-02 allows companies to reclassify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resulting from the 2017 Tax Act from accumulated other comprehensive income to retained earnings. As described above, the company elected to early adopt ASU 2018-02 on January 1, 2018, which resulted in a reclassification of $1.1 billion of stranded tax effects, principally related to our unamortized benefit plan costs, from accumulated other comprehensive loss to retained earnings. This reclassification included $73 million of other income tax effects related to a reduction in the federal benefit associated with state taxes. Adoption of ASU 2018-02 did not have a material impact on the company’s results of operations and/or cash flows.</w:t>
      </w:r>
    </w:p>
    <w:p>
      <w:pPr>
        <w:spacing w:after="0" w:line="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On March 10, 2017, the FASB issued ASU No. 2017-07, </w:t>
      </w:r>
      <w:r>
        <w:rPr>
          <w:rFonts w:ascii="Arial" w:cs="Arial" w:eastAsia="Arial" w:hAnsi="Arial"/>
          <w:sz w:val="16"/>
          <w:szCs w:val="16"/>
          <w:i w:val="1"/>
          <w:iCs w:val="1"/>
          <w:color w:val="auto"/>
        </w:rPr>
        <w:t>Compensation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ASU 2017-07 requires employers that sponsor defined benefit pension and/or other post-retirement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is eligible for asset capitalization. We adopted ASU 2017-07 on January 1, 2018 using the retrospective method. See Note 11 for information regarding the effect of adopting ASU 2017-07 on our unaudited condensed consolidated statement of earnings and comprehensive income for the three months ended March 31, 2017. Adoption of ASU 2017-07 did not have a material impact on our consolidated statements of financial position and/or cash flows.</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February 25,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supersedes existing lease guidance, including ASC 840 - </w:t>
      </w:r>
      <w:r>
        <w:rPr>
          <w:rFonts w:ascii="Arial" w:cs="Arial" w:eastAsia="Arial" w:hAnsi="Arial"/>
          <w:sz w:val="18"/>
          <w:szCs w:val="18"/>
          <w:i w:val="1"/>
          <w:iCs w:val="1"/>
          <w:color w:val="auto"/>
        </w:rPr>
        <w:t>Leases</w:t>
      </w:r>
      <w:r>
        <w:rPr>
          <w:rFonts w:ascii="Arial" w:cs="Arial" w:eastAsia="Arial" w:hAnsi="Arial"/>
          <w:sz w:val="18"/>
          <w:szCs w:val="18"/>
          <w:color w:val="auto"/>
        </w:rPr>
        <w:t>. Among other things, ASU 2016-02 requires recognition of a right-of-use asset and liability for future lease payments for contracts that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lease and requires disclosure of certain information about leasing arrangements. ASU 2016-02 will be effective January 1, 2019, although early adoption is permitted, and may be adopted using a modified retrospective transition method that applies the new lease requirements at the beginning of the earliest period presented in the financial statements. The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FASB has proposed a change that would allow a company to elect an optional transition method that applies the new lease requirements through a cumulative-effect adjustment in the period of adoption. We expect to adopt the standard on January 1, 2019 using the proposed optional transition method if finalized in its current form. We are reviewing our leases to determine the effect ASU 2016-02 will have on the company’s consolidated financial position, annual results of operations and/or cash flows. We currently expect the right-of-use assets and lease liabilities recognized upon adoption will each approximate our future minimum lease payments, as disclosed in our Annual Reports on Form 10-K. We do not expect ASU 2016-02 to have a material impact on our annual results of operations and/or cash flows.</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January 5, 2016, the FASB issued ASU No. 2016-01, </w:t>
      </w:r>
      <w:r>
        <w:rPr>
          <w:rFonts w:ascii="Arial" w:cs="Arial" w:eastAsia="Arial" w:hAnsi="Arial"/>
          <w:sz w:val="17"/>
          <w:szCs w:val="17"/>
          <w:i w:val="1"/>
          <w:iCs w:val="1"/>
          <w:color w:val="auto"/>
        </w:rPr>
        <w:t>Financial Instruments (Topic 825):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ASU 2016-01 requires equity investments that are not accounted for under the equity method of accounting or that do not result in consolidation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investee to be measured at fair value with changes recognized in net earnings. ASU 2016-01 also eliminates the available-for-sale classification for equity investments that recognized changes in fair value as a component of other comprehensive income. We adopted ASU 2016-01 on January 1, 2018 using the modified retrospective method, which resulted in a $4 million (net of tax) cumulative-effect adjustment from accumulated other comprehensive loss to retained earnings. Adoption of ASU 2016-01 did not have a material impact on our results of operations and/or cash flows.</w:t>
      </w:r>
    </w:p>
    <w:p>
      <w:pPr>
        <w:spacing w:after="0" w:line="43"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On May 28,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supersedes previous revenue recognition guidance, including ASC 605-35, </w:t>
      </w:r>
      <w:r>
        <w:rPr>
          <w:rFonts w:ascii="Arial" w:cs="Arial" w:eastAsia="Arial" w:hAnsi="Arial"/>
          <w:sz w:val="17"/>
          <w:szCs w:val="17"/>
          <w:i w:val="1"/>
          <w:iCs w:val="1"/>
          <w:color w:val="auto"/>
        </w:rPr>
        <w:t>Revenue Recognition - Construction-Type and Production-Type Contracts</w:t>
      </w:r>
      <w:r>
        <w:rPr>
          <w:rFonts w:ascii="Arial" w:cs="Arial" w:eastAsia="Arial" w:hAnsi="Arial"/>
          <w:sz w:val="17"/>
          <w:szCs w:val="17"/>
          <w:color w:val="auto"/>
        </w:rPr>
        <w:t>, and outlines a single set of comprehensive principles for recognizing revenue under U.S. GAAP. Among other things, it requires companies to identify contractual performance obligations and determine whether revenue should be recognized at a point in time or over time. The primary impact of the adoption of ASC Topic 606 was that, in most cases, the accounting for those contracts where we previously recognized revenue as units were delivered changed under ASC Topic 606 such that we now recognize revenue as costs are incurred. In addition, for certain of our contracts, there is a change in the number of performance obligations under ASC Topic 606, which has altered the timing of revenue and margin recognition.</w:t>
      </w:r>
    </w:p>
    <w:p>
      <w:pPr>
        <w:spacing w:after="0" w:line="4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adopted ASC Topic 606 on January 1, 2018 using the full retrospective method. We applied the transition practical expedient related to remaining performance obligations for reporting periods presented before the date of initial application. No other practical expedients were applied. The cumulative effect of adopting ASC Topic 606 was a $148 million increase to retained earnings at January 1, 2016. See Note 11 for information regarding the effect of adopting ASC Topic 606 on our unaudited condensed consolidated statement of earnings and comprehensive income for the three months ended March 31, 2017 and unaudited condensed consolidated statement of financial position as of December 31, 2017.</w:t>
      </w:r>
    </w:p>
    <w:p>
      <w:pPr>
        <w:spacing w:after="0" w:line="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accounting standards updates issued, but not effective until after March 31, 2018, are not expected to have a material effect on the company’s unaudited condensed consolidated financial position, annual results of operations and/or cash flows.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PENDING ACQUISITION OF ORBITAL ATK</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070808"/>
        </w:rPr>
        <w:t>On September 17, 2017, the company entered into a definitive merger agreement to acquire all of the outstanding shares of Orbital ATK, Inc. (Orbital ATK) for approximately $7.8 billion in cash, plus the assumption of approximately $1.4 billion in net debt (the “Orbital ATK Acquisition”). Under the terms of the merger agreement, Orbital ATK shareholders are to receive all-cash consideration of $134.50 per share. We expect to fund the Orbital ATK Acquisition with the proceeds from our debt financing completed in October 2017 and cash on hand. On November 29, 2017, Orbital ATK shareholders approved the proposed Orbital ATK Acquisition. On February 12, 2018, the European Commission approved the proposed Orbital ATK Acquisition. We currently expect the transaction to close in the first half of 2018, after receiving regulatory approvals. Upon completion of the Orbital ATK Acquisition, we plan to establish Orbital ATK as a new, fourth business sector named Northrop Grumman Innovation Systems.</w:t>
      </w:r>
    </w:p>
    <w:p>
      <w:pPr>
        <w:spacing w:after="0" w:line="120" w:lineRule="exact"/>
        <w:rPr>
          <w:sz w:val="20"/>
          <w:szCs w:val="20"/>
          <w:color w:val="auto"/>
        </w:rPr>
      </w:pPr>
    </w:p>
    <w:p>
      <w:pPr>
        <w:ind w:right="3580"/>
        <w:spacing w:after="0" w:line="308" w:lineRule="auto"/>
        <w:rPr>
          <w:sz w:val="20"/>
          <w:szCs w:val="20"/>
          <w:color w:val="auto"/>
        </w:rPr>
      </w:pPr>
      <w:r>
        <w:rPr>
          <w:rFonts w:ascii="Arial" w:cs="Arial" w:eastAsia="Arial" w:hAnsi="Arial"/>
          <w:sz w:val="18"/>
          <w:szCs w:val="18"/>
          <w:b w:val="1"/>
          <w:bCs w:val="1"/>
          <w:color w:val="auto"/>
        </w:rPr>
        <w:t>3. EARNINGS PER SHARE, SHARE REPURCHASES AND DIVIDENDS ON COMMON STOCK Basic Earnings Per Share</w:t>
      </w:r>
    </w:p>
    <w:p>
      <w:pPr>
        <w:spacing w:after="0"/>
        <w:rPr>
          <w:sz w:val="20"/>
          <w:szCs w:val="20"/>
          <w:color w:val="auto"/>
        </w:rPr>
      </w:pPr>
      <w:r>
        <w:rPr>
          <w:rFonts w:ascii="Arial" w:cs="Arial" w:eastAsia="Arial" w:hAnsi="Arial"/>
          <w:sz w:val="16"/>
          <w:szCs w:val="16"/>
          <w:color w:val="auto"/>
        </w:rPr>
        <w:t>We calculate basic earnings per share by dividing net earnings by the weighted-average number of shares of common stock outstanding during each period.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Diluted earnings per share primarily include the dilutive effect of awards granted to employees under stock-based compensation plans. The dilutive effect of these securities totaled 1.1 million shares and 1.3 million shares for the three months ended March 31, 2018 and 2017,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16, 2015, the company’s board of directors authorized a share repurchase program of up to $4.0 billion of the company’s common stock (the “2015 Repurchase Program”). Repurchases under the 2015 Repurchase Program commenced in March 2016. As of March 31, 2018, repurchases under the 2015 Repurchase Program totaled $1.7 billion; $2.3 billion remained under this share repurchase authorization. By its terms, the 2015 Repurchase Program is set to expire when we have used all authorized funds for repurchases.</w:t>
      </w:r>
    </w:p>
    <w:p>
      <w:pPr>
        <w:spacing w:after="0" w:line="5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vMerge w:val="restart"/>
          </w:tcPr>
          <w:p>
            <w:pPr>
              <w:jc w:val="center"/>
              <w:ind w:right="170"/>
              <w:spacing w:after="0"/>
              <w:rPr>
                <w:sz w:val="20"/>
                <w:szCs w:val="20"/>
                <w:color w:val="auto"/>
              </w:rPr>
            </w:pPr>
            <w:r>
              <w:rPr>
                <w:rFonts w:ascii="Arial" w:cs="Arial" w:eastAsia="Arial" w:hAnsi="Arial"/>
                <w:sz w:val="18"/>
                <w:szCs w:val="18"/>
                <w:color w:val="auto"/>
                <w:w w:val="96"/>
              </w:rPr>
              <w:t>Amount</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2"/>
                <w:szCs w:val="2"/>
                <w:color w:val="auto"/>
              </w:rPr>
            </w:pPr>
          </w:p>
        </w:tc>
        <w:tc>
          <w:tcPr>
            <w:tcW w:w="1340" w:type="dxa"/>
            <w:vAlign w:val="bottom"/>
            <w:vMerge w:val="restart"/>
          </w:tcPr>
          <w:p>
            <w:pPr>
              <w:jc w:val="center"/>
              <w:ind w:right="290"/>
              <w:spacing w:after="0"/>
              <w:rPr>
                <w:sz w:val="20"/>
                <w:szCs w:val="20"/>
                <w:color w:val="auto"/>
              </w:rPr>
            </w:pPr>
            <w:r>
              <w:rPr>
                <w:rFonts w:ascii="Arial" w:cs="Arial" w:eastAsia="Arial" w:hAnsi="Arial"/>
                <w:sz w:val="18"/>
                <w:szCs w:val="18"/>
                <w:color w:val="auto"/>
                <w:w w:val="89"/>
              </w:rPr>
              <w:t>Average</w:t>
            </w:r>
          </w:p>
        </w:tc>
        <w:tc>
          <w:tcPr>
            <w:tcW w:w="1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95"/>
        </w:trPr>
        <w:tc>
          <w:tcPr>
            <w:tcW w:w="2340" w:type="dxa"/>
            <w:vAlign w:val="bottom"/>
            <w:vMerge w:val="restart"/>
          </w:tcPr>
          <w:p>
            <w:pPr>
              <w:jc w:val="center"/>
              <w:ind w:left="110"/>
              <w:spacing w:after="0"/>
              <w:rPr>
                <w:sz w:val="20"/>
                <w:szCs w:val="20"/>
                <w:color w:val="auto"/>
              </w:rPr>
            </w:pPr>
            <w:r>
              <w:rPr>
                <w:rFonts w:ascii="Arial" w:cs="Arial" w:eastAsia="Arial" w:hAnsi="Arial"/>
                <w:sz w:val="18"/>
                <w:szCs w:val="18"/>
                <w:color w:val="auto"/>
                <w:w w:val="87"/>
              </w:rPr>
              <w:t>Repurchase Program</w:t>
            </w:r>
          </w:p>
        </w:tc>
        <w:tc>
          <w:tcPr>
            <w:tcW w:w="480" w:type="dxa"/>
            <w:vAlign w:val="bottom"/>
          </w:tcPr>
          <w:p>
            <w:pPr>
              <w:spacing w:after="0"/>
              <w:rPr>
                <w:sz w:val="8"/>
                <w:szCs w:val="8"/>
                <w:color w:val="auto"/>
              </w:rPr>
            </w:pPr>
          </w:p>
        </w:tc>
        <w:tc>
          <w:tcPr>
            <w:tcW w:w="1300" w:type="dxa"/>
            <w:vAlign w:val="bottom"/>
            <w:vMerge w:val="restart"/>
          </w:tcPr>
          <w:p>
            <w:pPr>
              <w:jc w:val="center"/>
              <w:ind w:right="170"/>
              <w:spacing w:after="0"/>
              <w:rPr>
                <w:sz w:val="20"/>
                <w:szCs w:val="20"/>
                <w:color w:val="auto"/>
              </w:rPr>
            </w:pPr>
            <w:r>
              <w:rPr>
                <w:rFonts w:ascii="Arial" w:cs="Arial" w:eastAsia="Arial" w:hAnsi="Arial"/>
                <w:sz w:val="18"/>
                <w:szCs w:val="18"/>
                <w:color w:val="auto"/>
                <w:w w:val="92"/>
              </w:rPr>
              <w:t>Authorized</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8"/>
                <w:szCs w:val="8"/>
                <w:color w:val="auto"/>
              </w:rPr>
            </w:pPr>
          </w:p>
        </w:tc>
        <w:tc>
          <w:tcPr>
            <w:tcW w:w="1340" w:type="dxa"/>
            <w:vAlign w:val="bottom"/>
            <w:vMerge w:val="restart"/>
          </w:tcPr>
          <w:p>
            <w:pPr>
              <w:jc w:val="center"/>
              <w:ind w:right="250"/>
              <w:spacing w:after="0"/>
              <w:rPr>
                <w:sz w:val="20"/>
                <w:szCs w:val="20"/>
                <w:color w:val="auto"/>
              </w:rPr>
            </w:pPr>
            <w:r>
              <w:rPr>
                <w:rFonts w:ascii="Arial" w:cs="Arial" w:eastAsia="Arial" w:hAnsi="Arial"/>
                <w:sz w:val="18"/>
                <w:szCs w:val="18"/>
                <w:color w:val="auto"/>
                <w:w w:val="87"/>
              </w:rPr>
              <w:t>Price</w:t>
            </w:r>
          </w:p>
        </w:tc>
        <w:tc>
          <w:tcPr>
            <w:tcW w:w="188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880" w:type="dxa"/>
            <w:vAlign w:val="bottom"/>
          </w:tcPr>
          <w:p>
            <w:pPr>
              <w:spacing w:after="0"/>
              <w:rPr>
                <w:sz w:val="6"/>
                <w:szCs w:val="6"/>
                <w:color w:val="auto"/>
              </w:rPr>
            </w:pPr>
          </w:p>
        </w:tc>
        <w:tc>
          <w:tcPr>
            <w:tcW w:w="13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Authorization Date</w:t>
            </w: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8"/>
              </w:rPr>
              <w:t>(in millions)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50"/>
              <w:spacing w:after="0" w:line="257"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Date Completed</w:t>
            </w:r>
          </w:p>
        </w:tc>
        <w:tc>
          <w:tcPr>
            <w:tcW w:w="134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222.93</w:t>
            </w:r>
          </w:p>
        </w:tc>
        <w:tc>
          <w:tcPr>
            <w:tcW w:w="1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January 2018, the company increased the quarterly common stock dividend 10 percent to $1.10 per share from the previous amount of $1.00 per share.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increased the quarterly common stock dividend 11 percent to $1.00 per share from the previous amount of $0.90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Arial" w:cs="Arial" w:eastAsia="Arial" w:hAnsi="Arial"/>
                <w:sz w:val="18"/>
                <w:szCs w:val="18"/>
                <w:b w:val="1"/>
                <w:bCs w:val="1"/>
                <w:color w:val="auto"/>
              </w:rPr>
              <w:t>4.  INCOME TAXES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8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3"/>
          </w:tcPr>
          <w:p>
            <w:pPr>
              <w:jc w:val="right"/>
              <w:ind w:right="270"/>
              <w:spacing w:after="0"/>
              <w:rPr>
                <w:sz w:val="20"/>
                <w:szCs w:val="20"/>
                <w:color w:val="auto"/>
              </w:rPr>
            </w:pPr>
            <w:r>
              <w:rPr>
                <w:rFonts w:ascii="Arial" w:cs="Arial" w:eastAsia="Arial" w:hAnsi="Arial"/>
                <w:sz w:val="18"/>
                <w:szCs w:val="18"/>
                <w:color w:val="auto"/>
                <w:w w:val="95"/>
              </w:rPr>
              <w:t>Three Months Ended March 31</w:t>
            </w:r>
          </w:p>
        </w:tc>
      </w:tr>
      <w:tr>
        <w:trPr>
          <w:trHeight w:val="27"/>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2017</w:t>
            </w:r>
          </w:p>
        </w:tc>
      </w:tr>
      <w:tr>
        <w:trPr>
          <w:trHeight w:val="27"/>
        </w:trPr>
        <w:tc>
          <w:tcPr>
            <w:tcW w:w="8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effective tax rate of 15.2 percent for the three months ended March 31, 2018 was lower as compared with the same period in 2017 principally due to the reduction of the U.S. corporate income tax rate from 35 percent to 21 percent as a result of the 2017 Tax Act. Both periods reflect comparable tax benefits associated with research credits. In addition, the company’s effective tax rate for the three months ended March 31, 2018 includes $26 million of excess tax benefits related to employee share-based compensation. The company’s effective tax rate for the three months ended March 31, 2017 included $47 million of excess tax benefits related to employee share-based compensation, a $42 million benefit recognized in connection with the Congressional Joint Committee on Taxation’s approval of the Internal Revenue Service (IRS) examination of the company’s 2012-2013 tax returns, a $22 million benefit recognized for additional research credits claimed on our prior year tax returns and $15 million of domestic manufacturing deductions.</w:t>
      </w:r>
    </w:p>
    <w:p>
      <w:pPr>
        <w:spacing w:after="0" w:line="3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December 2017, the 2017 Tax Act was enacted. The 2017 Tax Act includes a number of changes to previous U.S. tax laws that impact the company, most notably a reduction of the U.S. corporate income tax rate from 35 percent to 21 percent for tax years beginning after December 31, 2017. The company recognized the income tax effects of the 2017 Tax Act in the financial statements included in its 2017 Annual Report on Form 10-K in accordance with Staff Accounting Bulletin No. 118, which provides SEC staff guidance for the application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in the reporting period in which the 2017 Tax Act was signed into law. During the three months ended March</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31, 2018, the company did not recognize any changes to the provisional amounts recorded in its 2017 Annual Report on Form 10-K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Tax Act as the company is continuing to collect the information necessary to complete those calculations.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Our 2014-2015 federal tax returns and our refund claims related to our 2007-2011 federal tax returns are currently under IRS examination. The company believes it is reasonably possible that within the next twelve months we may resolve certain matters related to the examination of the 2014-2015 tax years, which may result in reductions of our unrecognized tax benefits up to $115 million and income tax expense up to $30 million.</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FAIR VALUE OF FINANCIAL INSTRUMENTS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holds a portfolio of marketable securities consisting of securities to partially fund non-qualified employee benefit plans. These securities are included in other non-current assets in the unaudited condensed consolidated statements of financial position.</w:t>
      </w:r>
    </w:p>
    <w:p>
      <w:pPr>
        <w:spacing w:after="0" w:line="3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financial assets and liabilities we record at fair value on a recurring basis identified by the level of inputs used to determine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 2018</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December 31, 2017</w:t>
            </w:r>
          </w:p>
        </w:tc>
        <w:tc>
          <w:tcPr>
            <w:tcW w:w="8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Level 1</w:t>
            </w:r>
          </w:p>
        </w:tc>
        <w:tc>
          <w:tcPr>
            <w:tcW w:w="3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99"/>
              </w:rPr>
              <w:t>Level 2</w:t>
            </w:r>
          </w:p>
        </w:tc>
        <w:tc>
          <w:tcPr>
            <w:tcW w:w="3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notional value of the company’s derivative portfolio at March 31, 2018 and December 31, 2017, was $83 million and $89 million, respectively. The portion of notional value designated as a cash flow hedge at March 31, 2018 and December 31, 2017 was $7 million and $8 million, respectively. The derivative fair values and related unrealized gains/losses at March 31, 2018 and December 31, 2017 were not material.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of financial instruments between the three levels of the fair value hierarchy during the three months ended March 31,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estimated fair value of long-term debt was $15.4 billion and $16.0 billion as of March 31, 2018 and December 31, 2017, respectively. We calculated the fair value of long-term debt using Level 2 inputs, based on interest rates available for debt with terms and maturities similar to the company’s existing debt arrangements. The carrying value of long-term debt was $15.3 billion as of March 31, 2018 and December 31, 2017. The current portion of long-term debt is recorded in Other current liabilities in the unaudited condensed consolidated statements of financial position.</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INVESTIGATIONS, CLAIMS AND LITIGATION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 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December 19, 2014, the company filed a motion for partial summary judgment asking the court to dismiss the principal counterclaim referenced above. On June 29, 2015, the Court heard argument and denied that motion without prejudice to filing a later motion to dismiss. On February 16, 2018, both the company and the United States filed motions to dismiss many of the claims and counterclaims in whole or in part. The United States also filed a motion seeking to amend its answer and counterclaim, including to reduce its counterclaim to approximately $193 million. Although the ultimate outcome of these matters (“the FSS matters,” collectively), including any possible loss, cannot be predicted or reasonably estimated at this time, the company intends vigorously to pursue and defend the FSS matters.</w:t>
      </w:r>
    </w:p>
    <w:p>
      <w:pPr>
        <w:spacing w:after="0" w:line="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and relatively inactive for some period of time, ECT alleges the consortium breached its contract with ECT and seeks damages of approximately R$111 million (the equivalent of approximately $34 million as of March 31, 2018), plus interest, inflation adjustments and attorneys’ fees, as authorized by Brazilian law, which amounts could be significant over time. The original suit sought R$89 million (the equivalent of approximately $27 million as of March 31, 2018) in damages. In October 2013, ECT asserted an additional damage claim of R$22 million (the equivalent of approximately $7 million as of March 31, 2018). In its counterclaim, Solystic alleges ECT breached the contract by wrongfully refusing to accept the equipment Solystic had designed and built and seeks damages of approximately €31 million (the equivalent of approximately $38 million as of March 31, 2018),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At some future point, the court is expected to issue a decision on the parties’ claims and counterclaims that could accept or reject, in whole or in part, the expert’s recommended findings.</w:t>
      </w:r>
    </w:p>
    <w:p>
      <w:pPr>
        <w:spacing w:after="0" w:line="3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previously identified and disclosed to the U.S. Government various issues relating primarily to time-charging practices of some employees working on a particular program with remote deployments. The Department of Justice is continuing to investigate this matter, and the company is cooperating in that investigation. Depending upon the ultimate outcome of this matter, the company could be subject to damages, civil or criminal fines, penalties or other sanctions, and suspension or debarment actions; however, we cannot at this point predict the outcome.</w:t>
      </w:r>
    </w:p>
    <w:p>
      <w:pPr>
        <w:spacing w:after="0" w:line="3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7, substantial remediation costs related to these environmental conditions. The remediation standards or requirements to which we are subject may change and costs may increase materially. The State of New York has notified us that it intends to seek to impose additional remedial requirements and, among other things, is evaluating natural resource damages. In addition, we are and may become a party to various legal proceedings and disputes related to remediation and/or alleged environmental impacts in Bethpage, including with federal and state entities, local municipalities and water districts, insurance carriers and class action plaintiffs. These Bethpage matters could result in additional costs, fines, penalties, sanctions, compensatory or other damages (including natural resource damages), determinations on allocation, allowability and coverage, and non-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monetary relief. We cannot at this time predict or reasonably estimate the potential cumulative outcomes or ranges of possible liability of these aggregate Bethpage matters.</w:t>
      </w:r>
    </w:p>
    <w:p>
      <w:pPr>
        <w:spacing w:after="0" w:line="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a party to various other investigations, lawsuits,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2018, or its annual results of operations and/or cash flows.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w:t>
      </w:r>
    </w:p>
    <w:p>
      <w:pPr>
        <w:spacing w:after="0" w:line="2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2018, or its annual results of operations and/or cash flows.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table below summarizes management’s estimate of the range of reasonably possible future costs for environmental remediation, the amount accrued within that range, and the deferred costs expected to be recoverable through overhead charges on U.S. Government contracts as of March 31, 2018 and 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4440" w:type="dxa"/>
            <w:vAlign w:val="bottom"/>
            <w:gridSpan w:val="2"/>
          </w:tcPr>
          <w:p>
            <w:pPr>
              <w:jc w:val="center"/>
              <w:ind w:left="1870"/>
              <w:spacing w:after="0"/>
              <w:rPr>
                <w:sz w:val="20"/>
                <w:szCs w:val="20"/>
                <w:color w:val="auto"/>
              </w:rPr>
            </w:pPr>
            <w:r>
              <w:rPr>
                <w:rFonts w:ascii="Arial" w:cs="Arial" w:eastAsia="Arial" w:hAnsi="Arial"/>
                <w:sz w:val="18"/>
                <w:szCs w:val="18"/>
                <w:color w:val="auto"/>
                <w:w w:val="89"/>
              </w:rPr>
              <w:t>Range of Reasonably Possible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4440" w:type="dxa"/>
            <w:vAlign w:val="bottom"/>
            <w:tcBorders>
              <w:bottom w:val="single" w:sz="8" w:color="auto"/>
            </w:tcBorders>
            <w:gridSpan w:val="2"/>
          </w:tcPr>
          <w:p>
            <w:pPr>
              <w:jc w:val="center"/>
              <w:ind w:left="1870"/>
              <w:spacing w:after="0" w:line="257" w:lineRule="exact"/>
              <w:rPr>
                <w:sz w:val="20"/>
                <w:szCs w:val="20"/>
                <w:color w:val="auto"/>
              </w:rPr>
            </w:pPr>
            <w:r>
              <w:rPr>
                <w:rFonts w:ascii="Arial" w:cs="Arial" w:eastAsia="Arial" w:hAnsi="Arial"/>
                <w:sz w:val="18"/>
                <w:szCs w:val="18"/>
                <w:color w:val="auto"/>
                <w:w w:val="87"/>
              </w:rPr>
              <w:t>Future Costs</w:t>
            </w:r>
            <w:r>
              <w:rPr>
                <w:rFonts w:ascii="Arial" w:cs="Arial" w:eastAsia="Arial" w:hAnsi="Arial"/>
                <w:sz w:val="25"/>
                <w:szCs w:val="25"/>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88"/>
              </w:rPr>
              <w:t>Accrued Costs</w:t>
            </w:r>
            <w:r>
              <w:rPr>
                <w:rFonts w:ascii="Arial" w:cs="Arial" w:eastAsia="Arial" w:hAnsi="Arial"/>
                <w:sz w:val="25"/>
                <w:szCs w:val="25"/>
                <w:color w:val="auto"/>
                <w:w w:val="88"/>
                <w:vertAlign w:val="superscript"/>
              </w:rPr>
              <w:t>(2)</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Deferred Costs</w:t>
            </w:r>
            <w:r>
              <w:rPr>
                <w:rFonts w:ascii="Arial" w:cs="Arial" w:eastAsia="Arial" w:hAnsi="Arial"/>
                <w:sz w:val="25"/>
                <w:szCs w:val="25"/>
                <w:color w:val="auto"/>
                <w:w w:val="87"/>
                <w:vertAlign w:val="superscript"/>
              </w:rPr>
              <w:t>(3)</w:t>
            </w: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$789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3140" w:type="dxa"/>
            <w:vAlign w:val="bottom"/>
          </w:tcPr>
          <w:p>
            <w:pPr>
              <w:jc w:val="right"/>
              <w:spacing w:after="0"/>
              <w:rPr>
                <w:sz w:val="20"/>
                <w:szCs w:val="20"/>
                <w:color w:val="auto"/>
              </w:rPr>
            </w:pPr>
            <w:r>
              <w:rPr>
                <w:rFonts w:ascii="Arial" w:cs="Arial" w:eastAsia="Arial" w:hAnsi="Arial"/>
                <w:sz w:val="18"/>
                <w:szCs w:val="18"/>
                <w:color w:val="auto"/>
              </w:rPr>
              <w:t>405</w:t>
            </w:r>
          </w:p>
        </w:tc>
        <w:tc>
          <w:tcPr>
            <w:tcW w:w="1300" w:type="dxa"/>
            <w:vAlign w:val="bottom"/>
          </w:tcPr>
          <w:p>
            <w:pPr>
              <w:ind w:left="40"/>
              <w:spacing w:after="0"/>
              <w:rPr>
                <w:sz w:val="20"/>
                <w:szCs w:val="20"/>
                <w:color w:val="auto"/>
              </w:rPr>
            </w:pPr>
            <w:r>
              <w:rPr>
                <w:rFonts w:ascii="Arial" w:cs="Arial" w:eastAsia="Arial" w:hAnsi="Arial"/>
                <w:sz w:val="18"/>
                <w:szCs w:val="18"/>
                <w:color w:val="auto"/>
              </w:rPr>
              <w:t>- 792</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35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180" w:right="420" w:hanging="172"/>
        <w:spacing w:after="0" w:line="229"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Estimated remediation costs are not discounted to present value. The range of reasonably possible future costs does not take into consideration amounts expected to be recoverable through overhead charges on U.S. Government contracts.</w:t>
      </w:r>
    </w:p>
    <w:p>
      <w:pPr>
        <w:spacing w:after="0" w:line="63"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As of March 31, 2018, $151 million is recorded in other current liabilities and $265 million is recorded in other non-current liabilities.</w:t>
      </w:r>
    </w:p>
    <w:p>
      <w:pPr>
        <w:spacing w:after="0" w:line="74" w:lineRule="exact"/>
        <w:rPr>
          <w:rFonts w:ascii="Arial" w:cs="Arial" w:eastAsia="Arial" w:hAnsi="Arial"/>
          <w:sz w:val="18"/>
          <w:szCs w:val="18"/>
          <w:color w:val="auto"/>
          <w:vertAlign w:val="superscript"/>
        </w:rPr>
      </w:pPr>
    </w:p>
    <w:p>
      <w:pPr>
        <w:ind w:left="180" w:right="460" w:hanging="172"/>
        <w:spacing w:after="0" w:line="236" w:lineRule="auto"/>
        <w:tabs>
          <w:tab w:leader="none" w:pos="171"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As of March 31, 2018, $79 million is deferred in prepaid expenses and other current assets and $132 million is deferred in other non-current assets. These amounts are evaluated for recoverability on a routine basis.</w:t>
      </w:r>
    </w:p>
    <w:p>
      <w:pPr>
        <w:spacing w:after="0" w:line="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March 31, 2018, or its annual results of operations and/or cash flows. With respect to Bethpage, as described in Note 6, we cannot at this time estimate the range of reasonably possible additional future costs that could result from potential changes to remediation standards or requirements to which we are subject.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2018, there were $192 million of stand-by letters of credit and guarantees and $196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provided indemnification for certain environmental, income tax and other potential liabilities in connection with certain of its divestitures. The settlement of these liabilities is not expected to have a material adverse effect on the company’s unaudited condensed consolidated financial position as of March 31, 2018, or its annual results of operations and/or cash flows.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Rental expense for operating leases for the three months ended March 31, 2018 and 2017 was $92 million and $89 million, respectively. These amounts are net of immaterial amounts of sublease rental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2016, a subsidiary of the company entered into a two-year credit facility, with two additional one-year option periods, in an aggregate principal amount of £120 million (the equivalent of approximately $170 million as of March 31, 2018) (the “2016 Credit Agreement”). The company exercised the first option to extend the maturity to December 2019. The 2016 Credit Agreement is guaranteed by the company. At March 31, 2018, there was £90 million (the equivalent of approximately $127 million) outstanding under this facility, which bears interest at a rate of LIBOR plus 1.10 percent. All of the borrowings outstanding under this facility mature less than one year from the date of issuance, but may be renewed under the terms of the facility. Based on our intent and ability to refinance the obligations on a long-term basis, substantially all of the borrowings are classified as non-current.</w:t>
      </w:r>
    </w:p>
    <w:p>
      <w:pPr>
        <w:spacing w:after="0" w:line="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also maintains a five-year unsecured credit facility in an aggregate principal amount of $1.6 billion that matures in July 2020. At March 31, 2018, there was no balance outstanding under this facility.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the company was in compliance with all covenants under its credit agreements.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retirement plans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right"/>
              <w:ind w:right="30"/>
              <w:spacing w:after="0"/>
              <w:rPr>
                <w:sz w:val="20"/>
                <w:szCs w:val="20"/>
                <w:color w:val="auto"/>
              </w:rPr>
            </w:pPr>
            <w:r>
              <w:rPr>
                <w:rFonts w:ascii="Arial" w:cs="Arial" w:eastAsia="Arial" w:hAnsi="Arial"/>
                <w:sz w:val="18"/>
                <w:szCs w:val="18"/>
                <w:color w:val="auto"/>
              </w:rPr>
              <w:t>Three Months Ended March 31</w:t>
            </w:r>
          </w:p>
        </w:tc>
        <w:tc>
          <w:tcPr>
            <w:tcW w:w="7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222"/>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Pension</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jc w:val="right"/>
              <w:ind w:right="410"/>
              <w:spacing w:after="0"/>
              <w:rPr>
                <w:sz w:val="20"/>
                <w:szCs w:val="20"/>
                <w:color w:val="auto"/>
              </w:rPr>
            </w:pPr>
            <w:r>
              <w:rPr>
                <w:rFonts w:ascii="Arial" w:cs="Arial" w:eastAsia="Arial" w:hAnsi="Arial"/>
                <w:sz w:val="18"/>
                <w:szCs w:val="18"/>
                <w:color w:val="auto"/>
              </w:rPr>
              <w:t>Medical and</w:t>
            </w:r>
          </w:p>
        </w:tc>
      </w:tr>
      <w:tr>
        <w:trPr>
          <w:trHeight w:val="230"/>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Benefits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jc w:val="right"/>
              <w:ind w:right="390"/>
              <w:spacing w:after="0"/>
              <w:rPr>
                <w:sz w:val="20"/>
                <w:szCs w:val="20"/>
                <w:color w:val="auto"/>
              </w:rPr>
            </w:pPr>
            <w:r>
              <w:rPr>
                <w:rFonts w:ascii="Arial" w:cs="Arial" w:eastAsia="Arial" w:hAnsi="Arial"/>
                <w:sz w:val="18"/>
                <w:szCs w:val="18"/>
                <w:color w:val="auto"/>
              </w:rPr>
              <w:t>Life Benefits</w:t>
            </w:r>
          </w:p>
        </w:tc>
      </w:tr>
      <w:tr>
        <w:trPr>
          <w:trHeight w:val="27"/>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r>
      <w:tr>
        <w:trPr>
          <w:trHeight w:val="27"/>
        </w:trPr>
        <w:tc>
          <w:tcPr>
            <w:tcW w:w="7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99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290</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(529)</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Prior service credit</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from previous years</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34"/>
        </w:trPr>
        <w:tc>
          <w:tcPr>
            <w:tcW w:w="7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Presentation</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discussed in Note 1, we adopted ASU 2017-07 on January 1, 2018 using the retrospective method, which changed the financial statement presentation of service costs and the other components of net periodic benefit cost. The service cost component continues to be included in operating income; however, the other components are now presented in Net FAS (non-service) pension benefit (expense) in the unaudited condensed consolidated statements of earnings and comprehensive income. In addition, interest on service cost and plan administrative expenses which, in some cases, have historically been included in service cost are now consistently presented in the interest cost and amortization of net actuarial loss components, respectively. As a result, the company reclassified interest on service cost of $4 million and plan administrative expenses of $13 million from service cost to the interest cost and amortization of net actuarial loss components, respectively, for its pension plans in the three months ended March 31, 2017 to conform to the current year presentation. For the company’s medical and life benefit plans, plan administrative expenses of $1 million were reclassified from service cost to the amortization of net actuarial loss component for the three months ended March 31, 2017 to conform to the current year presentation. This change in presentation had no impact on net periodic benefit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The company sponsors defined benefit pension and post-retirement plans, as well as defined contribution plans. We fund our defined benefit pension plans annually in a manner consistent with the Employee Retirement Income Security Act of 1974, as amended by the Pension Protection Act of 2006, including making voluntary contributions from time to time.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85"/>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8580" w:type="dxa"/>
            <w:vAlign w:val="bottom"/>
            <w:gridSpan w:val="2"/>
          </w:tcPr>
          <w:p>
            <w:pPr>
              <w:spacing w:after="0"/>
              <w:rPr>
                <w:sz w:val="20"/>
                <w:szCs w:val="20"/>
                <w:color w:val="auto"/>
              </w:rPr>
            </w:pPr>
            <w:r>
              <w:rPr>
                <w:rFonts w:ascii="Arial" w:cs="Arial" w:eastAsia="Arial" w:hAnsi="Arial"/>
                <w:sz w:val="18"/>
                <w:szCs w:val="18"/>
                <w:color w:val="auto"/>
              </w:rPr>
              <w:t>Contributions made by the company to its retirement plans are as follows: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jc w:val="right"/>
              <w:ind w:right="190"/>
              <w:spacing w:after="0"/>
              <w:rPr>
                <w:sz w:val="20"/>
                <w:szCs w:val="20"/>
                <w:color w:val="auto"/>
              </w:rPr>
            </w:pPr>
            <w:r>
              <w:rPr>
                <w:rFonts w:ascii="Arial" w:cs="Arial" w:eastAsia="Arial" w:hAnsi="Arial"/>
                <w:sz w:val="18"/>
                <w:szCs w:val="18"/>
                <w:color w:val="auto"/>
                <w:w w:val="94"/>
              </w:rPr>
              <w:t>Three Months Ended March 31</w:t>
            </w: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11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Medical and life benefit plans</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Defined contribution plans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0"/>
        </w:trPr>
        <w:tc>
          <w:tcPr>
            <w:tcW w:w="1100" w:type="dxa"/>
            <w:vAlign w:val="bottom"/>
            <w:shd w:val="clear" w:color="auto" w:fill="000000"/>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ind w:right="4060"/>
        <w:spacing w:after="0" w:line="308" w:lineRule="auto"/>
        <w:rPr>
          <w:sz w:val="20"/>
          <w:szCs w:val="20"/>
          <w:color w:val="auto"/>
        </w:rPr>
      </w:pPr>
      <w:r>
        <w:rPr>
          <w:rFonts w:ascii="Arial" w:cs="Arial" w:eastAsia="Arial" w:hAnsi="Arial"/>
          <w:sz w:val="18"/>
          <w:szCs w:val="18"/>
          <w:b w:val="1"/>
          <w:bCs w:val="1"/>
          <w:color w:val="auto"/>
        </w:rPr>
        <w:t>9. STOCK COMPENSATION PLANS AND OTHER COMPENSATION ARRANGEMENTS Stock Awards</w:t>
      </w:r>
    </w:p>
    <w:p>
      <w:pPr>
        <w:ind w:right="300"/>
        <w:spacing w:after="0" w:line="290"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3"/>
          </w:tcPr>
          <w:p>
            <w:pPr>
              <w:jc w:val="right"/>
              <w:ind w:right="130"/>
              <w:spacing w:after="0"/>
              <w:rPr>
                <w:sz w:val="20"/>
                <w:szCs w:val="20"/>
                <w:color w:val="auto"/>
              </w:rPr>
            </w:pPr>
            <w:r>
              <w:rPr>
                <w:rFonts w:ascii="Arial" w:cs="Arial" w:eastAsia="Arial" w:hAnsi="Arial"/>
                <w:sz w:val="18"/>
                <w:szCs w:val="18"/>
                <w:color w:val="auto"/>
                <w:w w:val="92"/>
              </w:rPr>
              <w:t>Three Months Ended March 31</w:t>
            </w:r>
          </w:p>
        </w:tc>
      </w:tr>
      <w:tr>
        <w:trPr>
          <w:trHeight w:val="27"/>
        </w:trPr>
        <w:tc>
          <w:tcPr>
            <w:tcW w:w="8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RSRs granted</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RPSRs granted</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aggregate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8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financial metrics over a three-year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3"/>
          </w:tcPr>
          <w:p>
            <w:pPr>
              <w:jc w:val="right"/>
              <w:ind w:right="130"/>
              <w:spacing w:after="0"/>
              <w:rPr>
                <w:sz w:val="20"/>
                <w:szCs w:val="20"/>
                <w:color w:val="auto"/>
              </w:rPr>
            </w:pPr>
            <w:r>
              <w:rPr>
                <w:rFonts w:ascii="Arial" w:cs="Arial" w:eastAsia="Arial" w:hAnsi="Arial"/>
                <w:sz w:val="18"/>
                <w:szCs w:val="18"/>
                <w:color w:val="auto"/>
                <w:w w:val="92"/>
              </w:rPr>
              <w:t>Three Months Ended March 31</w:t>
            </w:r>
          </w:p>
        </w:tc>
      </w:tr>
      <w:tr>
        <w:trPr>
          <w:trHeight w:val="27"/>
        </w:trPr>
        <w:tc>
          <w:tcPr>
            <w:tcW w:w="8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financial metrics over a three-year period.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SEGMENT INFORMATION</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is aligned in three operating sectors, which also comprise our reportable segments: Aerospace Systems, Mission Systems and Technology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3"/>
          </w:tcPr>
          <w:p>
            <w:pPr>
              <w:jc w:val="right"/>
              <w:ind w:right="190"/>
              <w:spacing w:after="0"/>
              <w:rPr>
                <w:sz w:val="20"/>
                <w:szCs w:val="20"/>
                <w:color w:val="auto"/>
              </w:rPr>
            </w:pPr>
            <w:r>
              <w:rPr>
                <w:rFonts w:ascii="Arial" w:cs="Arial" w:eastAsia="Arial" w:hAnsi="Arial"/>
                <w:sz w:val="18"/>
                <w:szCs w:val="18"/>
                <w:color w:val="auto"/>
                <w:w w:val="94"/>
              </w:rPr>
              <w:t>Three Months Ended March 31</w:t>
            </w: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3,280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2,984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2,883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1,144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(572)</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6,735</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6,410</w:t>
            </w: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341</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122</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762</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FAS (service)/CAS pension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854</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w:t>
            </w:r>
          </w:p>
        </w:tc>
      </w:tr>
      <w:tr>
        <w:trPr>
          <w:trHeight w:val="34"/>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net FAS (service)/CAS pension adjustment reflects the difference between CAS pension expense included as cost in segment operating income and the service cost component of FAS expense included in total operating income. The non-service cost components of FAS expense, which include interest cost, expected return on plan assets, and amortization of prior service credit and net actuarial loss, are presented in Net FAS (non-service) pension benefit (expense) in the unaudited condensed consolidated statements of earnings and comprehensive income as a result of our adoption of ASU 2017-07 discussed in Note 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Expenses</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Unallocated corporate expenses include the portion of corporate expenses not considered allowable or allocable under applicable CAS or FAR, and therefore not allocated to the segments. Such costs consist of a portion of management and administration, legal, environmental, compensation, retiree benefits and other corporate unallowable costs.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85"/>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Disaggregation of Revenue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6160" w:type="dxa"/>
            <w:vAlign w:val="bottom"/>
            <w:gridSpan w:val="2"/>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20" w:type="dxa"/>
            <w:vAlign w:val="bottom"/>
            <w:gridSpan w:val="4"/>
          </w:tcPr>
          <w:p>
            <w:pPr>
              <w:jc w:val="right"/>
              <w:ind w:right="470"/>
              <w:spacing w:after="0"/>
              <w:rPr>
                <w:sz w:val="20"/>
                <w:szCs w:val="20"/>
                <w:color w:val="auto"/>
              </w:rPr>
            </w:pPr>
            <w:r>
              <w:rPr>
                <w:rFonts w:ascii="Arial" w:cs="Arial" w:eastAsia="Arial" w:hAnsi="Arial"/>
                <w:sz w:val="18"/>
                <w:szCs w:val="18"/>
                <w:color w:val="auto"/>
                <w:w w:val="90"/>
              </w:rPr>
              <w:t>Three Months Ended March 31</w:t>
            </w:r>
          </w:p>
        </w:tc>
        <w:tc>
          <w:tcPr>
            <w:tcW w:w="94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94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12"/>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41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(3)</w:t>
            </w: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61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2,908</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2,553</w:t>
            </w: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42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1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Aerospace Systems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3,280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2,984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61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2,190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2,186</w:t>
            </w: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6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284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61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Mission Systems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2,883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2,800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61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602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636</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6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93</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1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229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1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Technology Services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1,144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1,190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61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5,700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5,375</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61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872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165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163</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1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6,735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6,410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shd w:val="clear" w:color="auto" w:fill="000000"/>
          </w:tcPr>
          <w:p>
            <w:pPr>
              <w:spacing w:after="0"/>
              <w:rPr>
                <w:sz w:val="2"/>
                <w:szCs w:val="2"/>
                <w:color w:val="auto"/>
              </w:rPr>
            </w:pPr>
          </w:p>
        </w:tc>
        <w:tc>
          <w:tcPr>
            <w:tcW w:w="50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620" w:hanging="172"/>
        <w:spacing w:after="0" w:line="22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200" w:hanging="172"/>
        <w:spacing w:after="0" w:line="239" w:lineRule="auto"/>
        <w:tabs>
          <w:tab w:leader="none" w:pos="184"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 direct sales with governments outside the U.S. and commercial sales with customers outside the U.S.</w:t>
      </w:r>
    </w:p>
    <w:p>
      <w:pPr>
        <w:spacing w:after="0" w:line="11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0" w:type="dxa"/>
            <w:vAlign w:val="bottom"/>
            <w:gridSpan w:val="4"/>
          </w:tcPr>
          <w:p>
            <w:pPr>
              <w:jc w:val="right"/>
              <w:ind w:right="450"/>
              <w:spacing w:after="0"/>
              <w:rPr>
                <w:sz w:val="20"/>
                <w:szCs w:val="20"/>
                <w:color w:val="auto"/>
              </w:rPr>
            </w:pPr>
            <w:r>
              <w:rPr>
                <w:rFonts w:ascii="Arial" w:cs="Arial" w:eastAsia="Arial" w:hAnsi="Arial"/>
                <w:sz w:val="18"/>
                <w:szCs w:val="18"/>
                <w:color w:val="auto"/>
                <w:w w:val="90"/>
              </w:rPr>
              <w:t>Three Months Ended March 31</w:t>
            </w:r>
          </w:p>
        </w:tc>
        <w:tc>
          <w:tcPr>
            <w:tcW w:w="96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1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13"/>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1,902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1,827</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1,319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1,073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59</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84</w:t>
            </w:r>
          </w:p>
        </w:tc>
        <w:tc>
          <w:tcPr>
            <w:tcW w:w="960" w:type="dxa"/>
            <w:vAlign w:val="bottom"/>
          </w:tcPr>
          <w:p>
            <w:pPr>
              <w:spacing w:after="0"/>
              <w:rPr>
                <w:sz w:val="21"/>
                <w:szCs w:val="21"/>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 sales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3,280</w:t>
            </w: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2,984</w:t>
            </w:r>
          </w:p>
        </w:tc>
        <w:tc>
          <w:tcPr>
            <w:tcW w:w="960" w:type="dxa"/>
            <w:vAlign w:val="bottom"/>
            <w:tcBorders>
              <w:bottom w:val="single" w:sz="8" w:color="CCEEFF"/>
            </w:tcBorders>
            <w:shd w:val="clear" w:color="auto" w:fill="CCEEFF"/>
          </w:tcPr>
          <w:p>
            <w:pPr>
              <w:spacing w:after="0"/>
              <w:rPr>
                <w:sz w:val="22"/>
                <w:szCs w:val="22"/>
                <w:color w:val="auto"/>
              </w:rPr>
            </w:pP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Mission Systems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1,279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1,316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1,320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1,245</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284</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239</w:t>
            </w:r>
          </w:p>
        </w:tc>
        <w:tc>
          <w:tcPr>
            <w:tcW w:w="960" w:type="dxa"/>
            <w:vAlign w:val="bottom"/>
            <w:tcBorders>
              <w:bottom w:val="single" w:sz="8" w:color="CCEEFF"/>
            </w:tcBorders>
            <w:shd w:val="clear" w:color="auto" w:fill="CCEEFF"/>
          </w:tcPr>
          <w:p>
            <w:pPr>
              <w:spacing w:after="0"/>
              <w:rPr>
                <w:sz w:val="23"/>
                <w:szCs w:val="23"/>
                <w:color w:val="auto"/>
              </w:rPr>
            </w:pP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2,883</w:t>
            </w: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2,800</w:t>
            </w:r>
          </w:p>
        </w:tc>
        <w:tc>
          <w:tcPr>
            <w:tcW w:w="960" w:type="dxa"/>
            <w:vAlign w:val="bottom"/>
            <w:tcBorders>
              <w:top w:val="single" w:sz="8" w:color="auto"/>
            </w:tcBorders>
          </w:tcPr>
          <w:p>
            <w:pPr>
              <w:spacing w:after="0"/>
              <w:rPr>
                <w:sz w:val="20"/>
                <w:szCs w:val="20"/>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437</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445</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478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504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229</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241</w:t>
            </w:r>
          </w:p>
        </w:tc>
        <w:tc>
          <w:tcPr>
            <w:tcW w:w="960" w:type="dxa"/>
            <w:vAlign w:val="bottom"/>
          </w:tcPr>
          <w:p>
            <w:pPr>
              <w:spacing w:after="0"/>
              <w:rPr>
                <w:sz w:val="21"/>
                <w:szCs w:val="21"/>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 sales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1,144</w:t>
            </w: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1,190</w:t>
            </w:r>
          </w:p>
        </w:tc>
        <w:tc>
          <w:tcPr>
            <w:tcW w:w="960" w:type="dxa"/>
            <w:vAlign w:val="bottom"/>
            <w:tcBorders>
              <w:bottom w:val="single" w:sz="8" w:color="CCEEFF"/>
            </w:tcBorders>
            <w:shd w:val="clear" w:color="auto" w:fill="CCEEFF"/>
          </w:tcPr>
          <w:p>
            <w:pPr>
              <w:spacing w:after="0"/>
              <w:rPr>
                <w:sz w:val="22"/>
                <w:szCs w:val="22"/>
                <w:color w:val="auto"/>
              </w:rPr>
            </w:pP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3,618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3,588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3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3,117</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2,822</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6,735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700" w:type="dxa"/>
            <w:vAlign w:val="bottom"/>
          </w:tcPr>
          <w:p>
            <w:pPr>
              <w:spacing w:after="0"/>
              <w:rPr>
                <w:sz w:val="20"/>
                <w:szCs w:val="20"/>
                <w:color w:val="auto"/>
              </w:rPr>
            </w:pPr>
          </w:p>
        </w:tc>
        <w:tc>
          <w:tcPr>
            <w:tcW w:w="360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 March 31</w:t>
            </w:r>
          </w:p>
        </w:tc>
        <w:tc>
          <w:tcPr>
            <w:tcW w:w="96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1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7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w w:val="93"/>
              </w:rPr>
              <w:t>2,950</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2,591</w:t>
            </w: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129</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All other (principally Europe and Middle East)</w:t>
            </w:r>
          </w:p>
        </w:tc>
        <w:tc>
          <w:tcPr>
            <w:tcW w:w="700" w:type="dxa"/>
            <w:vAlign w:val="bottom"/>
          </w:tcPr>
          <w:p>
            <w:pPr>
              <w:spacing w:after="0"/>
              <w:rPr>
                <w:sz w:val="21"/>
                <w:szCs w:val="21"/>
                <w:color w:val="auto"/>
              </w:rPr>
            </w:pP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rPr>
              <w:t>142</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121</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7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59</w:t>
            </w:r>
          </w:p>
        </w:tc>
        <w:tc>
          <w:tcPr>
            <w:tcW w:w="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84</w:t>
            </w:r>
          </w:p>
        </w:tc>
        <w:tc>
          <w:tcPr>
            <w:tcW w:w="960" w:type="dxa"/>
            <w:vAlign w:val="bottom"/>
            <w:tcBorders>
              <w:bottom w:val="single" w:sz="8" w:color="CCEEFF"/>
            </w:tcBorders>
            <w:shd w:val="clear" w:color="auto" w:fill="CCEEFF"/>
          </w:tcPr>
          <w:p>
            <w:pPr>
              <w:spacing w:after="0"/>
              <w:rPr>
                <w:sz w:val="23"/>
                <w:szCs w:val="23"/>
                <w:color w:val="auto"/>
              </w:rPr>
            </w:pP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7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871"/>
              <w:spacing w:after="0"/>
              <w:rPr>
                <w:sz w:val="20"/>
                <w:szCs w:val="20"/>
                <w:color w:val="auto"/>
              </w:rPr>
            </w:pPr>
            <w:r>
              <w:rPr>
                <w:rFonts w:ascii="Arial" w:cs="Arial" w:eastAsia="Arial" w:hAnsi="Arial"/>
                <w:sz w:val="18"/>
                <w:szCs w:val="18"/>
                <w:b w:val="1"/>
                <w:bCs w:val="1"/>
                <w:color w:val="auto"/>
                <w:w w:val="93"/>
              </w:rPr>
              <w:t>3,280</w:t>
            </w:r>
          </w:p>
        </w:tc>
        <w:tc>
          <w:tcPr>
            <w:tcW w:w="5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2,984</w:t>
            </w:r>
          </w:p>
        </w:tc>
        <w:tc>
          <w:tcPr>
            <w:tcW w:w="960" w:type="dxa"/>
            <w:vAlign w:val="bottom"/>
            <w:tcBorders>
              <w:top w:val="single" w:sz="8" w:color="auto"/>
            </w:tcBorders>
          </w:tcPr>
          <w:p>
            <w:pPr>
              <w:spacing w:after="0"/>
              <w:rPr>
                <w:sz w:val="20"/>
                <w:szCs w:val="20"/>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700" w:type="dxa"/>
            <w:vAlign w:val="bottom"/>
          </w:tcPr>
          <w:p>
            <w:pPr>
              <w:spacing w:after="0"/>
              <w:rPr>
                <w:sz w:val="21"/>
                <w:szCs w:val="21"/>
                <w:color w:val="auto"/>
              </w:rPr>
            </w:pP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w w:val="93"/>
              </w:rPr>
              <w:t>2,220</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40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2,207</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153</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All other (principally Europe and Middle East)</w:t>
            </w:r>
          </w:p>
        </w:tc>
        <w:tc>
          <w:tcPr>
            <w:tcW w:w="700" w:type="dxa"/>
            <w:vAlign w:val="bottom"/>
          </w:tcPr>
          <w:p>
            <w:pPr>
              <w:spacing w:after="0"/>
              <w:rPr>
                <w:sz w:val="21"/>
                <w:szCs w:val="21"/>
                <w:color w:val="auto"/>
              </w:rPr>
            </w:pP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rPr>
              <w:t>226</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200</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7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284</w:t>
            </w:r>
          </w:p>
        </w:tc>
        <w:tc>
          <w:tcPr>
            <w:tcW w:w="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239</w:t>
            </w:r>
          </w:p>
        </w:tc>
        <w:tc>
          <w:tcPr>
            <w:tcW w:w="960" w:type="dxa"/>
            <w:vAlign w:val="bottom"/>
            <w:tcBorders>
              <w:bottom w:val="single" w:sz="8" w:color="CCEEFF"/>
            </w:tcBorders>
            <w:shd w:val="clear" w:color="auto" w:fill="CCEEFF"/>
          </w:tcPr>
          <w:p>
            <w:pPr>
              <w:spacing w:after="0"/>
              <w:rPr>
                <w:sz w:val="23"/>
                <w:szCs w:val="23"/>
                <w:color w:val="auto"/>
              </w:rPr>
            </w:pP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7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871"/>
              <w:spacing w:after="0"/>
              <w:rPr>
                <w:sz w:val="20"/>
                <w:szCs w:val="20"/>
                <w:color w:val="auto"/>
              </w:rPr>
            </w:pPr>
            <w:r>
              <w:rPr>
                <w:rFonts w:ascii="Arial" w:cs="Arial" w:eastAsia="Arial" w:hAnsi="Arial"/>
                <w:sz w:val="18"/>
                <w:szCs w:val="18"/>
                <w:b w:val="1"/>
                <w:bCs w:val="1"/>
                <w:color w:val="auto"/>
                <w:w w:val="93"/>
              </w:rPr>
              <w:t>2,883</w:t>
            </w:r>
          </w:p>
        </w:tc>
        <w:tc>
          <w:tcPr>
            <w:tcW w:w="5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2,800</w:t>
            </w:r>
          </w:p>
        </w:tc>
        <w:tc>
          <w:tcPr>
            <w:tcW w:w="960" w:type="dxa"/>
            <w:vAlign w:val="bottom"/>
            <w:tcBorders>
              <w:top w:val="single" w:sz="8" w:color="auto"/>
            </w:tcBorders>
          </w:tcPr>
          <w:p>
            <w:pPr>
              <w:spacing w:after="0"/>
              <w:rPr>
                <w:sz w:val="20"/>
                <w:szCs w:val="20"/>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700" w:type="dxa"/>
            <w:vAlign w:val="bottom"/>
          </w:tcPr>
          <w:p>
            <w:pPr>
              <w:spacing w:after="0"/>
              <w:rPr>
                <w:sz w:val="21"/>
                <w:szCs w:val="21"/>
                <w:color w:val="auto"/>
              </w:rPr>
            </w:pP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rPr>
              <w:t>695</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76%</w:t>
            </w:r>
          </w:p>
        </w:tc>
        <w:tc>
          <w:tcPr>
            <w:tcW w:w="40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741</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32</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All other (principally Europe and Middle East)</w:t>
            </w:r>
          </w:p>
        </w:tc>
        <w:tc>
          <w:tcPr>
            <w:tcW w:w="700" w:type="dxa"/>
            <w:vAlign w:val="bottom"/>
          </w:tcPr>
          <w:p>
            <w:pPr>
              <w:spacing w:after="0"/>
              <w:rPr>
                <w:sz w:val="21"/>
                <w:szCs w:val="21"/>
                <w:color w:val="auto"/>
              </w:rPr>
            </w:pP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rPr>
              <w:t>188</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162</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7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229</w:t>
            </w:r>
          </w:p>
        </w:tc>
        <w:tc>
          <w:tcPr>
            <w:tcW w:w="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241</w:t>
            </w:r>
          </w:p>
        </w:tc>
        <w:tc>
          <w:tcPr>
            <w:tcW w:w="960" w:type="dxa"/>
            <w:vAlign w:val="bottom"/>
            <w:tcBorders>
              <w:bottom w:val="single" w:sz="8" w:color="CCEEFF"/>
            </w:tcBorders>
            <w:shd w:val="clear" w:color="auto" w:fill="CCEEFF"/>
          </w:tcPr>
          <w:p>
            <w:pPr>
              <w:spacing w:after="0"/>
              <w:rPr>
                <w:sz w:val="23"/>
                <w:szCs w:val="23"/>
                <w:color w:val="auto"/>
              </w:rPr>
            </w:pP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7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871"/>
              <w:spacing w:after="0"/>
              <w:rPr>
                <w:sz w:val="20"/>
                <w:szCs w:val="20"/>
                <w:color w:val="auto"/>
              </w:rPr>
            </w:pPr>
            <w:r>
              <w:rPr>
                <w:rFonts w:ascii="Arial" w:cs="Arial" w:eastAsia="Arial" w:hAnsi="Arial"/>
                <w:sz w:val="18"/>
                <w:szCs w:val="18"/>
                <w:b w:val="1"/>
                <w:bCs w:val="1"/>
                <w:color w:val="auto"/>
                <w:w w:val="93"/>
              </w:rPr>
              <w:t>1,144</w:t>
            </w:r>
          </w:p>
        </w:tc>
        <w:tc>
          <w:tcPr>
            <w:tcW w:w="5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1,190</w:t>
            </w:r>
          </w:p>
        </w:tc>
        <w:tc>
          <w:tcPr>
            <w:tcW w:w="960" w:type="dxa"/>
            <w:vAlign w:val="bottom"/>
            <w:tcBorders>
              <w:top w:val="single" w:sz="8" w:color="auto"/>
            </w:tcBorders>
          </w:tcPr>
          <w:p>
            <w:pPr>
              <w:spacing w:after="0"/>
              <w:rPr>
                <w:sz w:val="20"/>
                <w:szCs w:val="20"/>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700" w:type="dxa"/>
            <w:vAlign w:val="bottom"/>
          </w:tcPr>
          <w:p>
            <w:pPr>
              <w:spacing w:after="0"/>
              <w:rPr>
                <w:sz w:val="21"/>
                <w:szCs w:val="21"/>
                <w:color w:val="auto"/>
              </w:rPr>
            </w:pP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w w:val="93"/>
              </w:rPr>
              <w:t>5,865</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87%</w:t>
            </w:r>
          </w:p>
        </w:tc>
        <w:tc>
          <w:tcPr>
            <w:tcW w:w="40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5,539</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314</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All other (principally Europe and Middle East)</w:t>
            </w:r>
          </w:p>
        </w:tc>
        <w:tc>
          <w:tcPr>
            <w:tcW w:w="700" w:type="dxa"/>
            <w:vAlign w:val="bottom"/>
          </w:tcPr>
          <w:p>
            <w:pPr>
              <w:spacing w:after="0"/>
              <w:rPr>
                <w:sz w:val="21"/>
                <w:szCs w:val="21"/>
                <w:color w:val="auto"/>
              </w:rPr>
            </w:pPr>
          </w:p>
        </w:tc>
        <w:tc>
          <w:tcPr>
            <w:tcW w:w="1400" w:type="dxa"/>
            <w:vAlign w:val="bottom"/>
          </w:tcPr>
          <w:p>
            <w:pPr>
              <w:jc w:val="right"/>
              <w:ind w:right="871"/>
              <w:spacing w:after="0"/>
              <w:rPr>
                <w:sz w:val="20"/>
                <w:szCs w:val="20"/>
                <w:color w:val="auto"/>
              </w:rPr>
            </w:pPr>
            <w:r>
              <w:rPr>
                <w:rFonts w:ascii="Arial" w:cs="Arial" w:eastAsia="Arial" w:hAnsi="Arial"/>
                <w:sz w:val="18"/>
                <w:szCs w:val="18"/>
                <w:b w:val="1"/>
                <w:bCs w:val="1"/>
                <w:color w:val="auto"/>
              </w:rPr>
              <w:t>556</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40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483</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b w:val="1"/>
                <w:bCs w:val="1"/>
                <w:color w:val="auto"/>
                <w:w w:val="93"/>
              </w:rPr>
              <w:t>6,735</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100%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RECAST 2017 FINANCIAL INFORMATION</w:t>
      </w:r>
    </w:p>
    <w:p>
      <w:pPr>
        <w:spacing w:after="0" w:line="9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prior period financial statements were recast for the retrospective adoption of ASC Topic 606 and ASU 2017-07 as described in Note 1. The following tables summarize the effects of adopting these accounting standards on our unaudited condensed consolidated statement of earnings and comprehensive income for the three months ended March 31, 2017 and unaudited condensed consolidated statement of financial position as of December 31, 2017. The adoption of ASC Topic 606 did not have a material impact on our unaudited condensed consolidated statements of cash flows and changes in shareholders’ equity for the three months ended March 31, 2017.</w:t>
      </w:r>
    </w:p>
    <w:p>
      <w:pPr>
        <w:spacing w:after="0" w:line="130" w:lineRule="exact"/>
        <w:rPr>
          <w:sz w:val="20"/>
          <w:szCs w:val="20"/>
          <w:color w:val="auto"/>
        </w:rPr>
      </w:pPr>
    </w:p>
    <w:p>
      <w:pPr>
        <w:ind w:right="3460"/>
        <w:spacing w:after="0" w:line="282" w:lineRule="auto"/>
        <w:rPr>
          <w:sz w:val="20"/>
          <w:szCs w:val="20"/>
          <w:color w:val="auto"/>
        </w:rPr>
      </w:pPr>
      <w:r>
        <w:rPr>
          <w:rFonts w:ascii="Arial" w:cs="Arial" w:eastAsia="Arial" w:hAnsi="Arial"/>
          <w:sz w:val="18"/>
          <w:szCs w:val="18"/>
          <w:b w:val="1"/>
          <w:bCs w:val="1"/>
          <w:color w:val="auto"/>
        </w:rPr>
        <w:t>CONDENSED CONSOLIDATED STATEMENT OF EARNINGS AND COMPREHENSIVE INCOME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Three Months Ended March 31, 2017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50"/>
              <w:spacing w:after="0"/>
              <w:rPr>
                <w:sz w:val="20"/>
                <w:szCs w:val="20"/>
                <w:color w:val="auto"/>
              </w:rPr>
            </w:pPr>
            <w:r>
              <w:rPr>
                <w:rFonts w:ascii="Arial" w:cs="Arial" w:eastAsia="Arial" w:hAnsi="Arial"/>
                <w:sz w:val="18"/>
                <w:szCs w:val="18"/>
                <w:color w:val="auto"/>
              </w:rPr>
              <w:t>Effect of the Adoption of</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9"/>
              </w:rPr>
              <w:t>As Reported</w:t>
            </w:r>
          </w:p>
        </w:tc>
        <w:tc>
          <w:tcPr>
            <w:tcW w:w="320" w:type="dxa"/>
            <w:vAlign w:val="bottom"/>
          </w:tcPr>
          <w:p>
            <w:pPr>
              <w:spacing w:after="0"/>
              <w:rPr>
                <w:sz w:val="22"/>
                <w:szCs w:val="22"/>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ASC</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As Adjusted</w:t>
            </w:r>
          </w:p>
        </w:tc>
        <w:tc>
          <w:tcPr>
            <w:tcW w:w="0" w:type="dxa"/>
            <w:vAlign w:val="bottom"/>
          </w:tcPr>
          <w:p>
            <w:pPr>
              <w:spacing w:after="0"/>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8"/>
              </w:rPr>
              <w:t>Topic 606</w:t>
            </w:r>
          </w:p>
        </w:tc>
        <w:tc>
          <w:tcPr>
            <w:tcW w:w="1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2"/>
              </w:rPr>
              <w:t>ASU 2017-07</w:t>
            </w: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6,267</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2,871</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Net FAS (non-service) pension benefit (expense)</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34"/>
        </w:trPr>
        <w:tc>
          <w:tcPr>
            <w:tcW w:w="4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0"/>
        </w:trPr>
        <w:tc>
          <w:tcPr>
            <w:tcW w:w="49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above)</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unamortized benefit plan costs, net of tax</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Change in cumulative translation adjustment</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756"/>
        </w:trPr>
        <w:tc>
          <w:tcPr>
            <w:tcW w:w="49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ind w:right="5360"/>
        <w:spacing w:after="0" w:line="282" w:lineRule="auto"/>
        <w:rPr>
          <w:sz w:val="20"/>
          <w:szCs w:val="20"/>
          <w:color w:val="auto"/>
        </w:rPr>
      </w:pPr>
      <w:r>
        <w:rPr>
          <w:rFonts w:ascii="Arial" w:cs="Arial" w:eastAsia="Arial" w:hAnsi="Arial"/>
          <w:sz w:val="18"/>
          <w:szCs w:val="18"/>
          <w:b w:val="1"/>
          <w:bCs w:val="1"/>
          <w:color w:val="auto"/>
        </w:rPr>
        <w:t>CONDENSED CONSOLIDATED STATEMENT OF FINANCIAL POSITION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December 31, 2017</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3"/>
          </w:tcPr>
          <w:p>
            <w:pPr>
              <w:jc w:val="center"/>
              <w:ind w:right="90"/>
              <w:spacing w:after="0"/>
              <w:rPr>
                <w:sz w:val="20"/>
                <w:szCs w:val="20"/>
                <w:color w:val="auto"/>
              </w:rPr>
            </w:pPr>
            <w:r>
              <w:rPr>
                <w:rFonts w:ascii="Arial" w:cs="Arial" w:eastAsia="Arial" w:hAnsi="Arial"/>
                <w:sz w:val="18"/>
                <w:szCs w:val="18"/>
                <w:color w:val="auto"/>
                <w:w w:val="94"/>
              </w:rPr>
              <w:t>Effect of the Adoption of</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As Reported</w:t>
            </w:r>
          </w:p>
        </w:tc>
        <w:tc>
          <w:tcPr>
            <w:tcW w:w="240" w:type="dxa"/>
            <w:vAlign w:val="bottom"/>
          </w:tcPr>
          <w:p>
            <w:pPr>
              <w:spacing w:after="0"/>
              <w:rPr>
                <w:sz w:val="22"/>
                <w:szCs w:val="22"/>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ASC</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As Adjusted</w:t>
            </w: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8"/>
              </w:rPr>
              <w:t>Topic 606</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ASU 2017-07</w:t>
            </w: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11,225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829</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3,147</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16,349</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22"/>
        </w:trPr>
        <w:tc>
          <w:tcPr>
            <w:tcW w:w="60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5"/>
              </w:rPr>
              <w:t>Property, plant and equipment, net of accumulated depreciation of $5,066 for</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4,225</w:t>
            </w:r>
          </w:p>
        </w:tc>
        <w:tc>
          <w:tcPr>
            <w:tcW w:w="2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12,455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1,413</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34,917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34"/>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1,382</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amounts in excess of costs incurred</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1,617</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2,305</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6,965</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37"/>
        </w:trPr>
        <w:tc>
          <w:tcPr>
            <w:tcW w:w="60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$867 for 2017</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14,399</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27,869</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27,996</w:t>
            </w:r>
          </w:p>
        </w:tc>
        <w:tc>
          <w:tcPr>
            <w:tcW w:w="0" w:type="dxa"/>
            <w:vAlign w:val="bottom"/>
          </w:tcPr>
          <w:p>
            <w:pPr>
              <w:spacing w:after="0"/>
              <w:rPr>
                <w:sz w:val="1"/>
                <w:szCs w:val="1"/>
                <w:color w:val="auto"/>
              </w:rPr>
            </w:pPr>
          </w:p>
        </w:tc>
      </w:tr>
      <w:tr>
        <w:trPr>
          <w:trHeight w:val="318"/>
        </w:trPr>
        <w:tc>
          <w:tcPr>
            <w:tcW w:w="60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7)</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88"/>
              </w:rPr>
              <w:t>Preferred stock, $1 par value; 10,000,000 shares authorized; no shares issued and</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$1 par value; 800,000,000 shares authorized; issued and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2017—174,085,619</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11,548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7,048</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34,917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34"/>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1"/>
        </w:trPr>
        <w:tc>
          <w:tcPr>
            <w:tcW w:w="6060" w:type="dxa"/>
            <w:vAlign w:val="bottom"/>
          </w:tcPr>
          <w:p>
            <w:pPr>
              <w:ind w:left="55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reviewed the accompanying condensed consolidated statement of financial position of Northrop Grumman Corporation and subsidiaries (the “Company”) as of March 31, 2018, and the related condensed consolidated statements of earnings and comprehensive income, cash flows, and changes in shareholders’ equity for the three-month periods ended March 31, 2018 and 2017,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(PCAOB), the consolidated statement of financial position of Northrop Grumman Corporation and subsidiaries as of December 31, 2017, and the related consolidated statements of earnings and comprehensive income, changes in shareholders’ equity, and cash flows for the year then ended prior to retrospective adjustment for the change in the Company’s method of accounting for revenue transactions, (not presented herein); and in our report dated January 29, 2018, we expressed an unqualified opinion on those consolidated financial statements. We also audited the adjustments described in Note 1 and presented in Note 11 that were applied to retrospectively adjust the December 31, 2017 consolidated statement of financial position of the Company (not presented herein). In our opinion, such adjustments are appropriate and have been properly applied to the previously issued consolidated statement of financial position in deriving the accompanying retrospectively adjusted condensed consolidated statement of financial position as of December 31,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2018</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364" w:right="3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384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security company. We offer a broad portfolio of capabilities and technologies that enable us to deliver innovative products, systems and solutions for applications that range from undersea to outer space and into cyberspace. We provide products, systems and solutions in autonomous systems; cyber; command, control, communications and computers, intelligence, surveillance and reconnaissance (C4ISR);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following discussion should be read along with the financial statements included in this Form 10-Q, as well as our 2017 Annual Report on Form 10-K, which provides additional information on our business and the environment in which we operate and our operating results. Our 2017 results have been recast to reflect the impact of the adoption of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(ASU) No. 2017-07, </w:t>
      </w:r>
      <w:r>
        <w:rPr>
          <w:rFonts w:ascii="Arial" w:cs="Arial" w:eastAsia="Arial" w:hAnsi="Arial"/>
          <w:sz w:val="18"/>
          <w:szCs w:val="18"/>
          <w:i w:val="1"/>
          <w:iCs w:val="1"/>
          <w:color w:val="auto"/>
        </w:rPr>
        <w:t>Compensation Retirement Benefits (Topic 715): Improving the Presentation of Net Periodic Pension Cost and Net</w:t>
      </w:r>
      <w:r>
        <w:rPr>
          <w:rFonts w:ascii="Arial" w:cs="Arial" w:eastAsia="Arial" w:hAnsi="Arial"/>
          <w:sz w:val="18"/>
          <w:szCs w:val="18"/>
          <w:color w:val="auto"/>
        </w:rPr>
        <w:t xml:space="preserve"> </w:t>
      </w:r>
      <w:r>
        <w:rPr>
          <w:rFonts w:ascii="Arial" w:cs="Arial" w:eastAsia="Arial" w:hAnsi="Arial"/>
          <w:sz w:val="18"/>
          <w:szCs w:val="18"/>
          <w:i w:val="1"/>
          <w:iCs w:val="1"/>
          <w:color w:val="auto"/>
        </w:rPr>
        <w:t>Periodic Postretirement Benefit Cost</w:t>
      </w:r>
      <w:r>
        <w:rPr>
          <w:rFonts w:ascii="Arial" w:cs="Arial" w:eastAsia="Arial" w:hAnsi="Arial"/>
          <w:sz w:val="18"/>
          <w:szCs w:val="18"/>
          <w:color w:val="auto"/>
        </w:rPr>
        <w:t>, using the full retrospective method.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70808"/>
        </w:rPr>
        <w:t>Pending Acquisition of Orbital ATK</w:t>
      </w:r>
    </w:p>
    <w:p>
      <w:pPr>
        <w:spacing w:after="0" w:line="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070808"/>
        </w:rPr>
        <w:t xml:space="preserve">On September 17, 2017, the company entered into a definitive merger agreement to acquire all of the outstanding shares of Orbital ATK, Inc. (Orbital ATK) for approximately $7.8 billion in cash, plus the assumption of approximately $1.4 billion in net debt (the “Orbital ATK Acquisition”). </w:t>
      </w:r>
      <w:r>
        <w:rPr>
          <w:rFonts w:ascii="Arial" w:cs="Arial" w:eastAsia="Arial" w:hAnsi="Arial"/>
          <w:sz w:val="17"/>
          <w:szCs w:val="17"/>
          <w:color w:val="000000"/>
        </w:rPr>
        <w:t>See Item 1.01 in our</w:t>
      </w:r>
      <w:r>
        <w:rPr>
          <w:rFonts w:ascii="Arial" w:cs="Arial" w:eastAsia="Arial" w:hAnsi="Arial"/>
          <w:sz w:val="17"/>
          <w:szCs w:val="17"/>
          <w:color w:val="070808"/>
        </w:rPr>
        <w:t xml:space="preserve"> </w:t>
      </w:r>
      <w:r>
        <w:rPr>
          <w:rFonts w:ascii="Arial" w:cs="Arial" w:eastAsia="Arial" w:hAnsi="Arial"/>
          <w:sz w:val="17"/>
          <w:szCs w:val="17"/>
          <w:color w:val="000000"/>
        </w:rPr>
        <w:t xml:space="preserve">Current Report on Form 8-K filed with the SEC on September 18, 2017 for a summary and copy of the merger agreement. We believe this acquisition will enable us to broaden our capabilities and offerings, create value for shareholders, provide expanded opportunities for our combined employees and enhance our ability to provide innovative solutions to meet our customers’ emerging requirements. </w:t>
      </w:r>
      <w:r>
        <w:rPr>
          <w:rFonts w:ascii="Arial" w:cs="Arial" w:eastAsia="Arial" w:hAnsi="Arial"/>
          <w:sz w:val="17"/>
          <w:szCs w:val="17"/>
          <w:color w:val="070808"/>
        </w:rPr>
        <w:t>Under the terms of the merger agreement, Orbital ATK</w:t>
      </w:r>
      <w:r>
        <w:rPr>
          <w:rFonts w:ascii="Arial" w:cs="Arial" w:eastAsia="Arial" w:hAnsi="Arial"/>
          <w:sz w:val="17"/>
          <w:szCs w:val="17"/>
          <w:color w:val="000000"/>
        </w:rPr>
        <w:t xml:space="preserve"> </w:t>
      </w:r>
      <w:r>
        <w:rPr>
          <w:rFonts w:ascii="Arial" w:cs="Arial" w:eastAsia="Arial" w:hAnsi="Arial"/>
          <w:sz w:val="17"/>
          <w:szCs w:val="17"/>
          <w:color w:val="070808"/>
        </w:rPr>
        <w:t>shareholders are to receive all-cash consideration of $134.50 per share. We expect to fund the Orbital ATK Acquisition with the proceeds from our debt financing completed in October 2017 and cash on hand. On November 29, 2017, Orbital ATK shareholders approved the proposed Orbital ATK Acquisition. On February 12, 2018, the European Commission approved the proposed Orbital ATK Acquisition. We currently expect the transaction to close in the first half of 2018, after receiving regulatory approvals. Upon completion of the Orbital ATK Acquisition, we plan to establish Orbital ATK as a new, fourth business sector named Northrop Grumman Innovation Systems.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and Economic Environment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an update of events relating to the global security and economic environment since the filing of our 2017 Annual Report on Form 10-K.</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global security, geopolitical and economic environment continues to be impacted by uncertainty. During the first quarter, the environment continued to be characterized by global and regional security threats from state and non-state actors as well as terrorist organizations and diverse regional security concerns. Additionally, economic tensions and changes in international trade policies, including higher tariffs on imported goods and materials and renegotiation of free trade agreements, could impact the global market for defense products, services and solutions.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an update of events relating to the U.S. political and economic environment since the filing of our 2017 Annual Report on Form 10-K.</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9, 2018, Congress passed the Bipartisan Budget Act (BBA) of 2018, which extended the continuing resolution funding the government through March 23, 2018 and raised the statutory budget caps for defense spending, including for Overseas Contingency Operations (OCO), by $80 billion for FY 2018 and by $85 billion for FY 2019. The BBA also raised non-defense spending by $63 billion for FY 2018 and $68 billion for FY 2019 and suspended the debt ceiling until March 1, 2019.</w:t>
      </w:r>
    </w:p>
    <w:p>
      <w:pPr>
        <w:spacing w:after="0" w:line="52"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On March 23, 2018, the President signed the Omnibus Appropriations Act for FY18, which provides $1.3 trillion in discretionary funding for federal agencies. In total for FY 2018, Congress appropriated approximately $700 billion for national security, including approximately $630 billion for base discretionary funding and approximately $70 billion in OCO funding.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 Assessment and Reporting</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 estimated at completion). As a result, sales tend to fluctuate in concert with costs incurred across our large portfolio of contracts. Due to Federal Acquisition Regulation (FAR) rules that govern our U.S. Government business and related Cost Accounting Standards (CAS),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evaluating our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three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Performance generally refers to non-volume related changes in profitability. Contract mix generally refers to changes in the ratio of contract type and/or lifecycle (e.g., cost-type, fixed-price, development, production, and/or sustainment).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tcPr>
          <w:p>
            <w:pPr>
              <w:spacing w:after="0"/>
              <w:rPr>
                <w:sz w:val="20"/>
                <w:szCs w:val="20"/>
                <w:color w:val="auto"/>
              </w:rPr>
            </w:pPr>
            <w:r>
              <w:rPr>
                <w:rFonts w:ascii="Arial" w:cs="Arial" w:eastAsia="Arial" w:hAnsi="Arial"/>
                <w:sz w:val="18"/>
                <w:szCs w:val="18"/>
                <w:color w:val="auto"/>
                <w:w w:val="99"/>
              </w:rPr>
              <w:t>Three Months Ended March 31</w:t>
            </w: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7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7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6,735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5,881</w:t>
            </w:r>
          </w:p>
        </w:tc>
        <w:tc>
          <w:tcPr>
            <w:tcW w:w="32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6 %</w:t>
            </w:r>
          </w:p>
        </w:tc>
      </w:tr>
      <w:tr>
        <w:trPr>
          <w:trHeight w:val="27"/>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87.3%</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854</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7"/>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12.7%</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132</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27"/>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15.2%</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739</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14 %</w:t>
            </w:r>
          </w:p>
        </w:tc>
      </w:tr>
      <w:tr>
        <w:trPr>
          <w:trHeight w:val="27"/>
        </w:trPr>
        <w:tc>
          <w:tcPr>
            <w:tcW w:w="7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r>
      <w:tr>
        <w:trPr>
          <w:trHeight w:val="27"/>
        </w:trPr>
        <w:tc>
          <w:tcPr>
            <w:tcW w:w="7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Sales for the three months ended March 31, 2018 increased $325 million, or 5 percent, as compared with the same period in 2017, due to higher sales at Aerospace Systems and Mission Systems, partially offset by lower sales at Technology Services.</w:t>
      </w:r>
    </w:p>
    <w:p>
      <w:pPr>
        <w:spacing w:after="0" w:line="4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Operating income for the three months ended March 31, 2018 decreased $8 million, or 1 percent, as compared with the same period in 2017, primarily due to a $27 million decrease in our net FAS (service)/CAS pension adjustment, partially offset by a $21 million increase in segment operating income. Higher operating costs and expenses as a percentage of sales reduced our operating margin rate to 12.7 percent from 13.4 percent in the prior year period and was principally driven by the decrease in our net FAS (service)/CAS pension adjustment and a lower segment operating margin rate as described in “Segment Operating Results.”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G&amp;A as a percentage of sales for the three months ended March 31, 2018 decreased to 10.6 percent from 10.9 percent in the prior year period primarily due to higher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product and service operating costs and expenses, see “Product and Service Analysis”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140"/>
        <w:spacing w:after="0" w:line="297" w:lineRule="auto"/>
        <w:rPr>
          <w:sz w:val="20"/>
          <w:szCs w:val="20"/>
          <w:color w:val="auto"/>
        </w:rPr>
      </w:pPr>
      <w:r>
        <w:rPr>
          <w:rFonts w:ascii="Arial" w:cs="Arial" w:eastAsia="Arial" w:hAnsi="Arial"/>
          <w:sz w:val="18"/>
          <w:szCs w:val="18"/>
          <w:color w:val="auto"/>
        </w:rPr>
        <w:t xml:space="preserve">Our effective tax rate for the three months ended March 31, 2018 was lower than the same period in 2017, as discussed in Note 4 to the financial statements. </w:t>
      </w:r>
      <w:r>
        <w:rPr>
          <w:rFonts w:ascii="Arial" w:cs="Arial" w:eastAsia="Arial" w:hAnsi="Arial"/>
          <w:sz w:val="18"/>
          <w:szCs w:val="18"/>
          <w:b w:val="1"/>
          <w:bCs w:val="1"/>
          <w:color w:val="auto"/>
        </w:rPr>
        <w:t>Net Earnings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earnings for the three months ended March 31, 2018 increased $89 million, or 14 percent, as compared with the same period in 2017, primarily due to a $138 million increase in our net FAS (non-service) pension benefit, $31 million of higher interest income on short-term investments and $21 million of higher segment operating income. These increases were partially offset by $68 million of higher interest expense on long-term debt and a $27 million reduction in our net FAS (service)/CAS pension adjustment.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Diluted earnings per share for the three months ended March 31, 2018 increased $0.52, or 14 percent, as compared with the same period in 2017, primarily due to the 14 percent increase in net earnings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is aligned in three operating sectors, which also comprise our reportable segments: Aerospace Systems, Mission Systems and Technology Services.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3880" w:type="dxa"/>
            <w:vAlign w:val="bottom"/>
          </w:tcPr>
          <w:p>
            <w:pPr>
              <w:ind w:left="1100"/>
              <w:spacing w:after="0"/>
              <w:rPr>
                <w:sz w:val="20"/>
                <w:szCs w:val="20"/>
                <w:color w:val="auto"/>
              </w:rPr>
            </w:pPr>
            <w:r>
              <w:rPr>
                <w:rFonts w:ascii="Arial" w:cs="Arial" w:eastAsia="Arial" w:hAnsi="Arial"/>
                <w:sz w:val="18"/>
                <w:szCs w:val="18"/>
                <w:b w:val="1"/>
                <w:bCs w:val="1"/>
                <w:color w:val="auto"/>
              </w:rPr>
              <w:t>Mission Systems</w:t>
            </w:r>
          </w:p>
        </w:tc>
        <w:tc>
          <w:tcPr>
            <w:tcW w:w="4820" w:type="dxa"/>
            <w:vAlign w:val="bottom"/>
          </w:tcPr>
          <w:p>
            <w:pPr>
              <w:ind w:left="1100"/>
              <w:spacing w:after="0"/>
              <w:rPr>
                <w:sz w:val="20"/>
                <w:szCs w:val="20"/>
                <w:color w:val="auto"/>
              </w:rPr>
            </w:pPr>
            <w:r>
              <w:rPr>
                <w:rFonts w:ascii="Arial" w:cs="Arial" w:eastAsia="Arial" w:hAnsi="Arial"/>
                <w:sz w:val="18"/>
                <w:szCs w:val="18"/>
                <w:b w:val="1"/>
                <w:bCs w:val="1"/>
                <w:color w:val="auto"/>
              </w:rPr>
              <w:t>Technology Services</w:t>
            </w:r>
          </w:p>
        </w:tc>
      </w:tr>
      <w:tr>
        <w:trPr>
          <w:trHeight w:val="27"/>
        </w:trPr>
        <w:tc>
          <w:tcPr>
            <w:tcW w:w="27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Autonomous Systems</w:t>
            </w:r>
          </w:p>
        </w:tc>
        <w:tc>
          <w:tcPr>
            <w:tcW w:w="38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Sensors and Processing</w:t>
            </w:r>
          </w:p>
        </w:tc>
        <w:tc>
          <w:tcPr>
            <w:tcW w:w="48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Global Logistics and Modernization</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Manned Aircraft</w:t>
            </w:r>
          </w:p>
        </w:tc>
        <w:tc>
          <w:tcPr>
            <w:tcW w:w="3880" w:type="dxa"/>
            <w:vAlign w:val="bottom"/>
          </w:tcPr>
          <w:p>
            <w:pPr>
              <w:ind w:left="1100"/>
              <w:spacing w:after="0"/>
              <w:rPr>
                <w:sz w:val="20"/>
                <w:szCs w:val="20"/>
                <w:color w:val="auto"/>
              </w:rPr>
            </w:pPr>
            <w:r>
              <w:rPr>
                <w:rFonts w:ascii="Arial" w:cs="Arial" w:eastAsia="Arial" w:hAnsi="Arial"/>
                <w:sz w:val="18"/>
                <w:szCs w:val="18"/>
                <w:color w:val="auto"/>
              </w:rPr>
              <w:t>Cyber and ISR</w:t>
            </w:r>
          </w:p>
        </w:tc>
        <w:tc>
          <w:tcPr>
            <w:tcW w:w="4820" w:type="dxa"/>
            <w:vAlign w:val="bottom"/>
          </w:tcPr>
          <w:p>
            <w:pPr>
              <w:ind w:left="1100"/>
              <w:spacing w:after="0"/>
              <w:rPr>
                <w:sz w:val="20"/>
                <w:szCs w:val="20"/>
                <w:color w:val="auto"/>
              </w:rPr>
            </w:pPr>
            <w:r>
              <w:rPr>
                <w:rFonts w:ascii="Arial" w:cs="Arial" w:eastAsia="Arial" w:hAnsi="Arial"/>
                <w:sz w:val="18"/>
                <w:szCs w:val="18"/>
                <w:color w:val="auto"/>
              </w:rPr>
              <w:t>Advanced Defense Services</w:t>
            </w:r>
          </w:p>
        </w:tc>
      </w:tr>
      <w:tr>
        <w:trPr>
          <w:trHeight w:val="27"/>
        </w:trPr>
        <w:tc>
          <w:tcPr>
            <w:tcW w:w="27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Space</w:t>
            </w:r>
          </w:p>
        </w:tc>
        <w:tc>
          <w:tcPr>
            <w:tcW w:w="38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Advanced Capabilities</w:t>
            </w:r>
          </w:p>
        </w:tc>
        <w:tc>
          <w:tcPr>
            <w:tcW w:w="48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System Modernization and Services</w:t>
            </w:r>
          </w:p>
        </w:tc>
      </w:tr>
      <w:tr>
        <w:trPr>
          <w:trHeight w:val="20"/>
        </w:trPr>
        <w:tc>
          <w:tcPr>
            <w:tcW w:w="272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section discusses segment sales, operating income and operating margin rates. A reconciliation of segment operating income to total operating income is provided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Segment operating income, as reconciled in the Reconciliation of Segment Operating Income to Total Operating Income section below, is a non-GAAP (accounting principles generally accepted in the United States of America) measure that reflects total earnings from our three segments, including allocated pension expense recognized under CAS, and excluding unallocated corporate items and FAS pension expense. This measure may be useful to investors and other users of our financial statements as a supplemental measure in evaluating the financial performance and operational trends of our sectors. This measure may not be defined and calculated by other companies in the same manner and should not be considered in isolation or as an alternative to operating results presented in accordance with GAAP.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2300" w:type="dxa"/>
            <w:vAlign w:val="bottom"/>
            <w:gridSpan w:val="4"/>
          </w:tcPr>
          <w:p>
            <w:pPr>
              <w:ind w:left="40"/>
              <w:spacing w:after="0"/>
              <w:rPr>
                <w:sz w:val="20"/>
                <w:szCs w:val="20"/>
                <w:color w:val="auto"/>
              </w:rPr>
            </w:pPr>
            <w:r>
              <w:rPr>
                <w:rFonts w:ascii="Arial" w:cs="Arial" w:eastAsia="Arial" w:hAnsi="Arial"/>
                <w:sz w:val="18"/>
                <w:szCs w:val="18"/>
                <w:color w:val="auto"/>
                <w:w w:val="90"/>
              </w:rPr>
              <w:t>Three Months Ended March 31</w:t>
            </w: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7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7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11.3%</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11.6%</w:t>
            </w:r>
          </w:p>
        </w:tc>
        <w:tc>
          <w:tcPr>
            <w:tcW w:w="1440" w:type="dxa"/>
            <w:vAlign w:val="bottom"/>
          </w:tcPr>
          <w:p>
            <w:pPr>
              <w:spacing w:after="0"/>
              <w:rPr>
                <w:sz w:val="21"/>
                <w:szCs w:val="21"/>
                <w:color w:val="auto"/>
              </w:rPr>
            </w:pPr>
          </w:p>
        </w:tc>
      </w:tr>
      <w:tr>
        <w:trPr>
          <w:trHeight w:val="27"/>
        </w:trPr>
        <w:tc>
          <w:tcPr>
            <w:tcW w:w="7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Segment operating income for the three months ended March 31, 2018 increased $21 million, or 3 percent, as compared with the same period in 2017 as a result of higher sales volume, which more than offset a lower segment operating margin rate. Segment operating margin rate decreased principally due to a lower segment margin rate at Aerospace Systems as described below.</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Reconciliation of Segment Operating Income to Total Operating Income - </w:t>
      </w:r>
      <w:r>
        <w:rPr>
          <w:rFonts w:ascii="Arial" w:cs="Arial" w:eastAsia="Arial" w:hAnsi="Arial"/>
          <w:sz w:val="18"/>
          <w:szCs w:val="18"/>
          <w:color w:val="auto"/>
        </w:rPr>
        <w:t>The table below reconciles segment operating income to total operating income by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impact of the net FAS (service)/CAS pension adjustment, as well as unallocated corporate expenses (certain corporate-level expenses, which are not considered allowable or allocable under applicable CAS or the FAR). See Note 10 to the financial statements for further information on the net FAS (service)/CAS pension adjustment and unallocated corporate expenses.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 31</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CAS pension expense</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226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Less: FAS (service) pension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FAS (service)/CAS pension adjustment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127</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r>
      <w:tr>
        <w:trPr>
          <w:trHeight w:val="27"/>
        </w:trPr>
        <w:tc>
          <w:tcPr>
            <w:tcW w:w="9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The decrease in our net FAS (service)/CAS pension adjustment for the three months ended March 31, 2018, as compared with the same period in 2017, is primarily due to lower CAS expense resulting from higher asset returns in 2017 and a change in our mortality assumption as of December 31,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 for the three months ended March 31, 2018 were comparable with the prior year period.</w:t>
      </w:r>
    </w:p>
    <w:p>
      <w:pPr>
        <w:spacing w:after="0" w:line="7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 31</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378"/>
        </w:trPr>
        <w:tc>
          <w:tcPr>
            <w:tcW w:w="9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378"/>
        </w:trPr>
        <w:tc>
          <w:tcPr>
            <w:tcW w:w="902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 31</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9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14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4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7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3,280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2,984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341</w:t>
            </w:r>
          </w:p>
        </w:tc>
        <w:tc>
          <w:tcPr>
            <w:tcW w:w="32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323</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10.4%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10.8%</w:t>
            </w: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Aerospace Systems sales for the three months ended March 31, 2018 increased $296 million, or 10 percent, as compared with the same period in 2017, due to higher volume on Manned Aircraft programs, as well as Autonomous Systems and Space programs. Manned Aircraft sales were driven by higher restricted, F-35 and E-2D Advanced Hawkeye volume. Autonomous Systems sales reflect higher volume on the Fire Scout and Triton programs, partially offset by lower Global Hawk volume. Space sales reflect higher restricted and Ground Based Strategic Deterrent volume, partially offset by lower intercompany, James Webb Space Telescope and Advanced Extremely High Frequency volume.</w:t>
      </w:r>
    </w:p>
    <w:p>
      <w:pPr>
        <w:spacing w:after="0" w:line="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income for the three months ended March 31, 2018 increased $18 million, or 6 percent, as compared with the same period in 2017, primarily due to higher sales. Operating margin rate decreased to 10.4 percent primarily due to a non-programmatic benefit recognized during the first quarter of 2017 and higher volume on early phase development programs in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MISSION SYSTEMS</w:t>
            </w:r>
          </w:p>
        </w:tc>
        <w:tc>
          <w:tcPr>
            <w:tcW w:w="14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4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7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2,883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2,800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371</w:t>
            </w:r>
          </w:p>
        </w:tc>
        <w:tc>
          <w:tcPr>
            <w:tcW w:w="32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359</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12.9%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12.8%</w:t>
            </w: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Mission Systems sales for the three months ended March 31, 2018 increased $83 million, or 3 percent, as compared with the same period in 2017, primarily due to higher Sensors and Processing volume, partially offset by lower Cyber and ISR volume. Sensors and Processing sales increased principally due to higher volume on electro-optical/infrared (EO/IR) self-protection and targeting programs, F-35 sensors and restricted programs. Cyber and ISR sales decreased primarily due to lower volume on restricted ISR programs. Advanced Capabilities sales were comparable with the prior year period.</w:t>
      </w:r>
    </w:p>
    <w:p>
      <w:pPr>
        <w:spacing w:after="0" w:line="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income for the three months ended March 31, 2018 increased $12 million, or 3 percent, as compared with the same period in 2017, primarily due to the higher sales described above. Operating margin rate was comparable with the prior year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14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5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7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122</w:t>
            </w:r>
          </w:p>
        </w:tc>
        <w:tc>
          <w:tcPr>
            <w:tcW w:w="32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129</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10.8%</w:t>
            </w: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Technology Services sales for the three months ended March 31, 2018 decreased $46 million, or 4 percent, as compared with the same period in 2017, primarily due to lower volume on System Modernization and Services and Advanced Defense Services programs, partially offset by higher volume on Global Logistics and Modernization programs. System Modernization and Services and Advanced Defense Services sales decreased primarily due to the completion of several programs in 2017, partially offset by higher volume on the Saudi Arabian Ministry of National Guard Training Support program (through our interest in a joint venture for which we consolidate the financial results). Global Logistics and Modernization sales increased primarily due to higher volume for several programs, including the Special Electronic Mission Aircraft program, partially offset by lower volume from the KC-10 program as our contract nears completion.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income for the three months ended March 31, 2018 decreased $7 million, or 5 percent, as compared with the same period in 2017, primarily due to the lower sales described above. Operating margin rate was comparable with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tcPr>
          <w:p>
            <w:pPr>
              <w:ind w:left="20"/>
              <w:spacing w:after="0"/>
              <w:rPr>
                <w:sz w:val="20"/>
                <w:szCs w:val="20"/>
                <w:color w:val="auto"/>
              </w:rPr>
            </w:pPr>
            <w:r>
              <w:rPr>
                <w:rFonts w:ascii="Arial" w:cs="Arial" w:eastAsia="Arial" w:hAnsi="Arial"/>
                <w:sz w:val="18"/>
                <w:szCs w:val="18"/>
                <w:color w:val="auto"/>
              </w:rPr>
              <w:t>Three Months Ended March 31</w:t>
            </w:r>
          </w:p>
        </w:tc>
        <w:tc>
          <w:tcPr>
            <w:tcW w:w="7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20"/>
                <w:szCs w:val="20"/>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8"/>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Costs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w w:val="92"/>
              </w:rPr>
              <w:t>Operating Costs</w:t>
            </w: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Sales</w:t>
            </w:r>
          </w:p>
        </w:tc>
        <w:tc>
          <w:tcPr>
            <w:tcW w:w="14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Sales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and Expenses</w:t>
            </w: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Aerospace Systems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2,751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2,480</w:t>
            </w:r>
          </w:p>
        </w:tc>
        <w:tc>
          <w:tcPr>
            <w:tcW w:w="58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b w:val="1"/>
                <w:bCs w:val="1"/>
                <w:color w:val="auto"/>
              </w:rPr>
              <w:t>Mission Systems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1,164</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1,036</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1,078</w:t>
            </w:r>
          </w:p>
        </w:tc>
        <w:tc>
          <w:tcPr>
            <w:tcW w:w="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956</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Technology Services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5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37"/>
        </w:trPr>
        <w:tc>
          <w:tcPr>
            <w:tcW w:w="70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Segment Totals</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Product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Total 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2,731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2,435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2,697</w:t>
            </w:r>
          </w:p>
        </w:tc>
        <w:tc>
          <w:tcPr>
            <w:tcW w:w="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2,404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5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71"/>
        </w:trPr>
        <w:tc>
          <w:tcPr>
            <w:tcW w:w="7080" w:type="dxa"/>
            <w:vAlign w:val="bottom"/>
            <w:tcBorders>
              <w:top w:val="single" w:sz="8" w:color="auto"/>
              <w:bottom w:val="single" w:sz="8" w:color="auto"/>
            </w:tcBorders>
          </w:tcPr>
          <w:p>
            <w:pPr>
              <w:ind w:left="40"/>
              <w:spacing w:after="0" w:line="264"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5"/>
                <w:szCs w:val="25"/>
                <w:b w:val="1"/>
                <w:bCs w:val="1"/>
                <w:color w:val="auto"/>
                <w:vertAlign w:val="superscript"/>
              </w:rPr>
              <w:t>(1)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5,669</w:t>
            </w:r>
          </w:p>
        </w:tc>
      </w:tr>
    </w:tbl>
    <w:p>
      <w:pPr>
        <w:spacing w:after="0" w:line="11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Product sales for the three months ended March 31, 2018 increased $299 million, or 7 percent, as compared with the same period in 2017. The increase was primarily due to higher restricted, F-35 and E-2D Advanced Hawkeye volume at Aerospace Systems.</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Product costs for the three months ended March 31, 2018 increased $279 million, or 7 percent, as compared with the same period in 2017, consistent with the change in product sales described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Service sales for the three months ended March 31, 2018 increased $34 million, or 1 percent, as compared with the same period in 2017. The increase was primarily driven by higher service volume on several Sensors and Processing programs at Mission Systems, partially offset by lower service sales at Technology Services principally due to the completion of several programs in 2017.</w:t>
      </w:r>
    </w:p>
    <w:p>
      <w:pPr>
        <w:spacing w:after="0" w:line="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Service costs for the three months ended March 31, 2018 increased $31 million, or 1 percent, as compared with the same period in 2017, consistent with the change in service sales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primarily as costs are incurred.</w:t>
      </w:r>
    </w:p>
    <w:p>
      <w:pPr>
        <w:spacing w:after="0" w:line="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Company backlog as of March 31, 2018 and December 31, 2017 was $42.3 billion and $42.6 billion, respectively. As discussed in Note 1 to the financial statements, we adopted ASC Topic 606 on January 1, 2018 using the full retrospective method and applied the transition practical expedient related to backlog for reporting periods presented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before the date of initial application. However, for comparative purposes, we have recast our backlog as of December 31, 2017 to reflect the impact of adoption of ASC Topic 606.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used in operating activities and free cash flow, a non-GAAP measure described in more detail below.</w:t>
      </w:r>
    </w:p>
    <w:p>
      <w:pPr>
        <w:spacing w:after="0" w:line="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and/or in the capital markets, if needed, are expected to be sufficient to fund our operations for at least the next 12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used in operating activities: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 31</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86</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Trade working capital</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(1,008)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Retiree benefits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9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Includes depreciation and amortization, stock based compensation expense and deferred income taxes.</w:t>
      </w:r>
    </w:p>
    <w:p>
      <w:pPr>
        <w:spacing w:after="0" w:line="74" w:lineRule="exact"/>
        <w:rPr>
          <w:sz w:val="20"/>
          <w:szCs w:val="20"/>
          <w:color w:val="auto"/>
        </w:rPr>
      </w:pPr>
    </w:p>
    <w:p>
      <w:pPr>
        <w:ind w:left="60" w:right="440"/>
        <w:spacing w:after="0" w:line="277" w:lineRule="auto"/>
        <w:rPr>
          <w:sz w:val="20"/>
          <w:szCs w:val="20"/>
          <w:color w:val="auto"/>
        </w:rPr>
      </w:pPr>
      <w:r>
        <w:rPr>
          <w:rFonts w:ascii="Arial" w:cs="Arial" w:eastAsia="Arial" w:hAnsi="Arial"/>
          <w:sz w:val="17"/>
          <w:szCs w:val="17"/>
          <w:color w:val="auto"/>
        </w:rPr>
        <w:t>Net cash used in operating activities for the three months ended March 31, 2018 decreased $202 million, as compared with the same period in 2017, principally due to higher net earnings and changes in trade working capital. The net use of cash during the first quarter is consistent with the company’s historical timing of operating cash flows, which are generally more heavily weighted toward the second half of the year.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Free cash flow, as reconciled in the table below, is a non-GAAP measure defined as net cash used in operating activities less capital expenditures, and may not be defined and calculated by other companies in the same manner. We use free cash flow as a key factor in our planning for, and consideration of, acquisitions, stock repurchases, and the payment of dividends. This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used in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 31</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(305)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9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Free cash flow for the three months ended March 31, 2018 increased $113 million, as compared with the same period in 2017, principally due to the decrease in net cash used in operating activities described above, partially offset by higher capital expenditures at Aerospace Systems.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Net cash used in investing activities for the three months ended March 31, 2018 increased to $307 million from $214 million in the prior year period principally due to the higher capital expenditures described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Net cash used in financing activities for the three months ended March 31, 2018 decreased to $312 million from $485 million in the prior year period. The decrease was primarily due to $229 million of share repurchases in the first quarter of 2017 compared to no share repurchases in the first quarter of 2018.</w:t>
      </w:r>
    </w:p>
    <w:p>
      <w:pPr>
        <w:spacing w:after="0" w:line="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Credit Facilities and Financial Arrangements - </w:t>
      </w:r>
      <w:r>
        <w:rPr>
          <w:rFonts w:ascii="Arial" w:cs="Arial" w:eastAsia="Arial" w:hAnsi="Arial"/>
          <w:sz w:val="18"/>
          <w:szCs w:val="18"/>
          <w:color w:val="auto"/>
        </w:rPr>
        <w:t>See Note 7 to the financial statements for further information on our credit facilities and our use of standby</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3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Unsecured Senior Notes </w:t>
      </w:r>
      <w:r>
        <w:rPr>
          <w:rFonts w:ascii="Arial" w:cs="Arial" w:eastAsia="Arial" w:hAnsi="Arial"/>
          <w:sz w:val="18"/>
          <w:szCs w:val="18"/>
          <w:color w:val="auto"/>
        </w:rPr>
        <w:t>- See Note 5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Effective January 1, 2018, we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using the full retrospective method. ASC Topic 606 supersedes previous revenue recognition guidance, including ASC 605-35, </w:t>
      </w:r>
      <w:r>
        <w:rPr>
          <w:rFonts w:ascii="Arial" w:cs="Arial" w:eastAsia="Arial" w:hAnsi="Arial"/>
          <w:sz w:val="17"/>
          <w:szCs w:val="17"/>
          <w:i w:val="1"/>
          <w:iCs w:val="1"/>
          <w:color w:val="auto"/>
        </w:rPr>
        <w:t>Revenue Recognition - Construction-Type and Production-Type Contracts</w:t>
      </w:r>
      <w:r>
        <w:rPr>
          <w:rFonts w:ascii="Arial" w:cs="Arial" w:eastAsia="Arial" w:hAnsi="Arial"/>
          <w:sz w:val="17"/>
          <w:szCs w:val="17"/>
          <w:color w:val="auto"/>
        </w:rPr>
        <w:t>, and outlines a single set of comprehensive principles for recognizing revenue under GAAP. Under ASC Topic 606, revenue is recognized as control transfers to the customer. As such, under the new standard, revenue for our contracts is generally recognized over time using the cost-to-cost method, which is consistent with the revenue recognition model used for the majority of our contracts prior to the adoption of ASC Topic 606. In most cases the accounting for those contracts where we previously recognized revenue as units were delivered has changed under ASC Topic 606 such that we now recognize revenue as costs are incurred. In addition, for certain of our contracts, there is a change in the number of performance obligations under ASC Topic 606, which has altered the timing of revenue and margin recognition. See “Revenue Recognition” in Note 1 to the financial statements for additional information regarding our revenue recognition accounting policies.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Form 10-Q and the information we are incorporating by reference contain statements, other than statements of historical fact, that constitute “forward-looking statements” within the meaning of the Private Securities Litigation Reform Act of 1995. Words such as “will,” “expect,” “intend,” “may,” “could,” “plan,” “project,” “forecast,” “believe,” “estimate,” “outlook,” “anticipate,” “trends,” “goals” and similar expressions generally identify these forward-looking statements.</w:t>
      </w:r>
    </w:p>
    <w:p>
      <w:pPr>
        <w:spacing w:after="0" w:line="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2017 Annual Report on Form 10-K and other filings with the Securities and Exchange Commission (SEC). They include:</w:t>
      </w:r>
    </w:p>
    <w:p>
      <w:pPr>
        <w:spacing w:after="0" w:line="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and/or litigation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113" w:lineRule="exact"/>
        <w:rPr>
          <w:rFonts w:ascii="Arial" w:cs="Arial" w:eastAsia="Arial" w:hAnsi="Arial"/>
          <w:sz w:val="16"/>
          <w:szCs w:val="16"/>
          <w:color w:val="auto"/>
        </w:rPr>
      </w:pPr>
    </w:p>
    <w:p>
      <w:pPr>
        <w:ind w:left="660" w:right="5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laws and regulations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our ability to do business, and our financial position, results of operations and/or cash flows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01"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and practices applicable to our industry, findings by the U.S. Government as to our compliance with such laws and regulations,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maintain a qualified workforce</w:t>
      </w:r>
    </w:p>
    <w:p>
      <w:pPr>
        <w:spacing w:after="0" w:line="90" w:lineRule="exact"/>
        <w:rPr>
          <w:rFonts w:ascii="Arial" w:cs="Arial" w:eastAsia="Arial" w:hAnsi="Arial"/>
          <w:sz w:val="18"/>
          <w:szCs w:val="18"/>
          <w:color w:val="auto"/>
        </w:rPr>
      </w:pPr>
    </w:p>
    <w:p>
      <w:pPr>
        <w:ind w:left="660" w:right="10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are technologically complex, require certain manufacturing expertise or are dependent on factors not wholly within our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and/or environmental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post-retirement and health and welfare plans</w:t>
      </w:r>
    </w:p>
    <w:p>
      <w:pPr>
        <w:spacing w:after="0" w:line="11" w:lineRule="exact"/>
        <w:rPr>
          <w:rFonts w:ascii="Arial" w:cs="Arial" w:eastAsia="Arial" w:hAnsi="Arial"/>
          <w:sz w:val="17"/>
          <w:szCs w:val="17"/>
          <w:color w:val="auto"/>
        </w:rPr>
      </w:pPr>
    </w:p>
    <w:p>
      <w:pPr>
        <w:ind w:left="660" w:right="640" w:hanging="328"/>
        <w:spacing w:after="0" w:line="33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satisfaction of conditions (including regulatory approvals) to and successful consummation of the Orbital ATK Acquisition; our ability successfully to integrate the Orbital ATK business and realize fully the anticipated benefits of the acquisition, without adverse consequences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exploit or protect intellectual property rights</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 information regarding these risks and other important factors can be found in the section entitled “Risk Factors” in our 2017 Annual Report on Form 10-K and as disclosed in this report and from time to time in our other filings with the SEC.</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from those discussed in our 2017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2017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principal executive officer (Chairman and Chief Executive Officer) and principal financial officer (Corporate Vice President and Chief Financial Officer) have evaluated the company’s disclosure controls and procedures (as defined in Rule 13a-15(e) and Rule 15d-15(e) of the Securities Exchange Act of 1934 (the Exchange Act)) as of March 31, 2018,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three months ended March 31, 2018, no change occurred in our internal controls over financial reporting that materially affected, or is reasonably likely to materially affect, our internal controls over financial reporting.</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18" w:right="2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have provided information about certain legal proceedings in which we are involved in our 2017 Annual Report on Form 10-K, and updated that information in Notes 6 and 7 to the financial statements.</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a party to various investigations, lawsuits,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However, based on information available to us to date and other than as noted in our 2017 Annual Report on Form 10-K, as updated by Notes 6 and 7 to the financial statements in this report, we do not believe that the outcome of any matter currently pending against the company is likely to have a material adverse effect on the company’s unaudited condensed consolidated financial position as of March 31, 2018 or its annual results of operations and/or cash flows. For further information on the risks we face from existing and future investigations, lawsuits, claims, enforcement actions and other legal proceedings, please see “Risk Factors” in our 2017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2017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had no repurchases of common stock during the three months ended March 31, 2018. The approximate dollar value of shares that may yet be purchased under the company’s share repurchase authorization is $2.3 billion as of March 31, 2018.</w:t>
      </w:r>
    </w:p>
    <w:p>
      <w:pPr>
        <w:spacing w:after="0" w:line="35" w:lineRule="exact"/>
        <w:rPr>
          <w:sz w:val="20"/>
          <w:szCs w:val="20"/>
          <w:color w:val="auto"/>
        </w:rPr>
      </w:pPr>
    </w:p>
    <w:p>
      <w:pPr>
        <w:ind w:left="60" w:right="420"/>
        <w:spacing w:after="0" w:line="277"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financial statements for further information on our share repurchase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080" w:right="40" w:hanging="278"/>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8">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8">
        <w:r>
          <w:rPr>
            <w:rFonts w:ascii="Arial" w:cs="Arial" w:eastAsia="Arial" w:hAnsi="Arial"/>
            <w:sz w:val="18"/>
            <w:szCs w:val="18"/>
            <w:u w:val="single" w:color="auto"/>
            <w:color w:val="0000FF"/>
          </w:rPr>
          <w:t>New P, Inc.) and Titan Merger Sub Inc., dated March 30, 2011 (incorporated by reference to Exhibit 10.1 to Form 8-K filed April 4, 2011, File</w:t>
        </w:r>
      </w:hyperlink>
      <w:r>
        <w:rPr>
          <w:rFonts w:ascii="Arial" w:cs="Arial" w:eastAsia="Arial" w:hAnsi="Arial"/>
          <w:sz w:val="18"/>
          <w:szCs w:val="18"/>
          <w:u w:val="single" w:color="auto"/>
          <w:color w:val="0000FF"/>
        </w:rPr>
        <w:t xml:space="preserve"> </w:t>
      </w:r>
      <w:hyperlink r:id="rId8">
        <w:r>
          <w:rPr>
            <w:rFonts w:ascii="Arial" w:cs="Arial" w:eastAsia="Arial" w:hAnsi="Arial"/>
            <w:sz w:val="18"/>
            <w:szCs w:val="18"/>
            <w:u w:val="single" w:color="auto"/>
            <w:color w:val="0000FF"/>
          </w:rPr>
          <w:t>No. 001-16411)</w:t>
        </w:r>
      </w:hyperlink>
    </w:p>
    <w:p>
      <w:pPr>
        <w:spacing w:after="0" w:line="141" w:lineRule="exact"/>
        <w:rPr>
          <w:rFonts w:ascii="Arial" w:cs="Arial" w:eastAsia="Arial" w:hAnsi="Arial"/>
          <w:sz w:val="18"/>
          <w:szCs w:val="18"/>
          <w:color w:val="auto"/>
        </w:rPr>
      </w:pPr>
    </w:p>
    <w:p>
      <w:pPr>
        <w:ind w:left="1080" w:hanging="278"/>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2.2 </w:t>
      </w:r>
      <w:hyperlink r:id="rId9">
        <w:r>
          <w:rPr>
            <w:rFonts w:ascii="Arial" w:cs="Arial" w:eastAsia="Arial" w:hAnsi="Arial"/>
            <w:sz w:val="17"/>
            <w:szCs w:val="17"/>
            <w:u w:val="single" w:color="auto"/>
            <w:color w:val="0000FF"/>
          </w:rPr>
          <w:t>Separation and Distribution Agreement dated as of March 29, 2011, among Titan II, Inc. (formerly Northrop Grumman Corporation), Northrop</w:t>
        </w:r>
      </w:hyperlink>
      <w:r>
        <w:rPr>
          <w:rFonts w:ascii="Arial" w:cs="Arial" w:eastAsia="Arial" w:hAnsi="Arial"/>
          <w:sz w:val="17"/>
          <w:szCs w:val="17"/>
          <w:color w:val="auto"/>
        </w:rPr>
        <w:t xml:space="preserve"> </w:t>
      </w:r>
      <w:hyperlink r:id="rId9">
        <w:r>
          <w:rPr>
            <w:rFonts w:ascii="Arial" w:cs="Arial" w:eastAsia="Arial" w:hAnsi="Arial"/>
            <w:sz w:val="17"/>
            <w:szCs w:val="17"/>
            <w:u w:val="single" w:color="auto"/>
            <w:color w:val="0000FF"/>
          </w:rPr>
          <w:t>Grumman Corporation (formerly New P, Inc.), Huntington Ingalls Industries, Inc., Northrop Grumman Shipbuilding, Inc. and Northrop</w:t>
        </w:r>
      </w:hyperlink>
      <w:r>
        <w:rPr>
          <w:rFonts w:ascii="Arial" w:cs="Arial" w:eastAsia="Arial" w:hAnsi="Arial"/>
          <w:sz w:val="17"/>
          <w:szCs w:val="17"/>
          <w:u w:val="single" w:color="auto"/>
          <w:color w:val="0000FF"/>
        </w:rPr>
        <w:t xml:space="preserve"> </w:t>
      </w:r>
      <w:hyperlink r:id="rId9">
        <w:r>
          <w:rPr>
            <w:rFonts w:ascii="Arial" w:cs="Arial" w:eastAsia="Arial" w:hAnsi="Arial"/>
            <w:sz w:val="17"/>
            <w:szCs w:val="17"/>
            <w:u w:val="single" w:color="auto"/>
            <w:color w:val="0000FF"/>
          </w:rPr>
          <w:t>Grumman Systems Corporation (incorporated by reference to Exhibit 10.2 to Form 8-K filed April 4, 2011, File No. 001-16411)</w:t>
        </w:r>
      </w:hyperlink>
    </w:p>
    <w:p>
      <w:pPr>
        <w:spacing w:after="0" w:line="125" w:lineRule="exact"/>
        <w:rPr>
          <w:rFonts w:ascii="Arial" w:cs="Arial" w:eastAsia="Arial" w:hAnsi="Arial"/>
          <w:sz w:val="17"/>
          <w:szCs w:val="17"/>
          <w:color w:val="auto"/>
        </w:rPr>
      </w:pPr>
    </w:p>
    <w:p>
      <w:pPr>
        <w:ind w:left="1080" w:right="260" w:hanging="278"/>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10">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FF"/>
          </w:rPr>
          <w:t>ATK, Inc. (incorporated by reference to Exhibit 2.1 to Form 8-K filed September 18, 2017)</w:t>
        </w:r>
      </w:hyperlink>
    </w:p>
    <w:p>
      <w:pPr>
        <w:spacing w:after="0" w:line="346" w:lineRule="exact"/>
        <w:rPr>
          <w:sz w:val="20"/>
          <w:szCs w:val="20"/>
          <w:color w:val="auto"/>
        </w:rPr>
      </w:pPr>
    </w:p>
    <w:p>
      <w:pPr>
        <w:ind w:left="1080" w:right="560" w:hanging="56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w:anchor="page38">
        <w:r>
          <w:rPr>
            <w:rFonts w:ascii="Arial" w:cs="Arial" w:eastAsia="Arial" w:hAnsi="Arial"/>
            <w:sz w:val="18"/>
            <w:szCs w:val="18"/>
            <w:u w:val="single" w:color="auto"/>
            <w:color w:val="0000FF"/>
          </w:rPr>
          <w:t>Grant Certificate Specifying the Terms and Conditions Applicable to 2018 Restricted Stock Rights Granted Under the 2011 Long-Term</w:t>
        </w:r>
      </w:hyperlink>
      <w:r>
        <w:rPr>
          <w:rFonts w:ascii="Arial" w:cs="Arial" w:eastAsia="Arial" w:hAnsi="Arial"/>
          <w:sz w:val="18"/>
          <w:szCs w:val="18"/>
          <w:color w:val="auto"/>
        </w:rPr>
        <w:t xml:space="preserve"> </w:t>
      </w:r>
      <w:hyperlink w:anchor="page38">
        <w:r>
          <w:rPr>
            <w:rFonts w:ascii="Arial" w:cs="Arial" w:eastAsia="Arial" w:hAnsi="Arial"/>
            <w:sz w:val="18"/>
            <w:szCs w:val="18"/>
            <w:u w:val="single" w:color="auto"/>
            <w:color w:val="0000FF"/>
          </w:rPr>
          <w:t>Incentive Stock Plan</w:t>
        </w:r>
      </w:hyperlink>
    </w:p>
    <w:p>
      <w:pPr>
        <w:spacing w:after="0" w:line="130" w:lineRule="exact"/>
        <w:rPr>
          <w:sz w:val="20"/>
          <w:szCs w:val="20"/>
          <w:color w:val="auto"/>
        </w:rPr>
      </w:pPr>
    </w:p>
    <w:p>
      <w:pPr>
        <w:ind w:left="1080" w:right="460" w:hanging="56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w:anchor="page47">
        <w:r>
          <w:rPr>
            <w:rFonts w:ascii="Arial" w:cs="Arial" w:eastAsia="Arial" w:hAnsi="Arial"/>
            <w:sz w:val="18"/>
            <w:szCs w:val="18"/>
            <w:u w:val="single" w:color="auto"/>
            <w:color w:val="0000FF"/>
          </w:rPr>
          <w:t>Grant Certificate Specifying the Terms and Conditions Applicable to 2018 Restricted Performance Stock Rights Granted Under the 2011</w:t>
        </w:r>
      </w:hyperlink>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FF"/>
          </w:rPr>
          <w:t>Long-Term Incentive Stock Plan</w:t>
        </w:r>
      </w:hyperlink>
    </w:p>
    <w:p>
      <w:pPr>
        <w:spacing w:after="0" w:line="130" w:lineRule="exact"/>
        <w:rPr>
          <w:sz w:val="20"/>
          <w:szCs w:val="20"/>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 xml:space="preserve">*+10.3 </w:t>
      </w:r>
      <w:hyperlink w:anchor="page57">
        <w:r>
          <w:rPr>
            <w:rFonts w:ascii="Arial" w:cs="Arial" w:eastAsia="Arial" w:hAnsi="Arial"/>
            <w:sz w:val="16"/>
            <w:szCs w:val="16"/>
            <w:u w:val="single" w:color="auto"/>
            <w:color w:val="0000FF"/>
          </w:rPr>
          <w:t>Severance Plan for Elected and Appointed Officers of Northrop Grumman Corporation as amended and restated effective February 11, 2018</w:t>
        </w:r>
      </w:hyperlink>
    </w:p>
    <w:p>
      <w:pPr>
        <w:spacing w:after="0" w:line="208" w:lineRule="exact"/>
        <w:rPr>
          <w:sz w:val="20"/>
          <w:szCs w:val="20"/>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*12(a) </w:t>
      </w:r>
      <w:hyperlink w:anchor="page68">
        <w:r>
          <w:rPr>
            <w:rFonts w:ascii="Arial" w:cs="Arial" w:eastAsia="Arial" w:hAnsi="Arial"/>
            <w:sz w:val="18"/>
            <w:szCs w:val="18"/>
            <w:u w:val="single" w:color="auto"/>
            <w:color w:val="0000FF"/>
          </w:rPr>
          <w:t>Computation of Ratio of Earnings to Fixed Charges</w:t>
        </w:r>
      </w:hyperlink>
    </w:p>
    <w:p>
      <w:pPr>
        <w:spacing w:after="0" w:line="185" w:lineRule="exact"/>
        <w:rPr>
          <w:sz w:val="20"/>
          <w:szCs w:val="20"/>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69">
        <w:r>
          <w:rPr>
            <w:rFonts w:ascii="Arial" w:cs="Arial" w:eastAsia="Arial" w:hAnsi="Arial"/>
            <w:sz w:val="18"/>
            <w:szCs w:val="18"/>
            <w:u w:val="single" w:color="auto"/>
            <w:color w:val="0000FF"/>
          </w:rPr>
          <w:t>Letter from Independent Registered Public Accounting Firm</w:t>
        </w:r>
      </w:hyperlink>
    </w:p>
    <w:p>
      <w:pPr>
        <w:spacing w:after="0" w:line="185" w:lineRule="exact"/>
        <w:rPr>
          <w:sz w:val="20"/>
          <w:szCs w:val="20"/>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0">
        <w:r>
          <w:rPr>
            <w:rFonts w:ascii="Arial" w:cs="Arial" w:eastAsia="Arial" w:hAnsi="Arial"/>
            <w:sz w:val="18"/>
            <w:szCs w:val="18"/>
            <w:u w:val="single" w:color="auto"/>
            <w:color w:val="0000FF"/>
          </w:rPr>
          <w:t>Certification of Wesley G. Bush pursuant to Section 302 of the Sarbanes-Oxley Act of 2002</w:t>
        </w:r>
      </w:hyperlink>
    </w:p>
    <w:p>
      <w:pPr>
        <w:spacing w:after="0" w:line="185" w:lineRule="exact"/>
        <w:rPr>
          <w:sz w:val="20"/>
          <w:szCs w:val="20"/>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71">
        <w:r>
          <w:rPr>
            <w:rFonts w:ascii="Arial" w:cs="Arial" w:eastAsia="Arial" w:hAnsi="Arial"/>
            <w:sz w:val="18"/>
            <w:szCs w:val="18"/>
            <w:u w:val="single" w:color="auto"/>
            <w:color w:val="0000FF"/>
          </w:rPr>
          <w:t>Certification of Kenneth L. Bedingfield pursuant to Section 302 of the Sarbanes-Oxley Act of 2002</w:t>
        </w:r>
      </w:hyperlink>
    </w:p>
    <w:p>
      <w:pPr>
        <w:spacing w:after="0" w:line="185" w:lineRule="exact"/>
        <w:rPr>
          <w:sz w:val="20"/>
          <w:szCs w:val="20"/>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72">
        <w:r>
          <w:rPr>
            <w:rFonts w:ascii="Arial" w:cs="Arial" w:eastAsia="Arial" w:hAnsi="Arial"/>
            <w:sz w:val="18"/>
            <w:szCs w:val="18"/>
            <w:u w:val="single" w:color="auto"/>
            <w:color w:val="0000FF"/>
          </w:rPr>
          <w:t>Certification of Wesley G. Bush pursuant to Section 906 of the Sarbanes-Oxley Act of 2002</w:t>
        </w:r>
      </w:hyperlink>
    </w:p>
    <w:p>
      <w:pPr>
        <w:spacing w:after="0" w:line="185" w:lineRule="exact"/>
        <w:rPr>
          <w:sz w:val="20"/>
          <w:szCs w:val="20"/>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73">
        <w:r>
          <w:rPr>
            <w:rFonts w:ascii="Arial" w:cs="Arial" w:eastAsia="Arial" w:hAnsi="Arial"/>
            <w:sz w:val="18"/>
            <w:szCs w:val="18"/>
            <w:u w:val="single" w:color="auto"/>
            <w:color w:val="0000FF"/>
          </w:rPr>
          <w:t>Certification of Kenneth L. Bedingfield pursuant to Section 906 of the Sarbanes-Oxley Act of 2002</w:t>
        </w:r>
      </w:hyperlink>
    </w:p>
    <w:p>
      <w:pPr>
        <w:spacing w:after="0" w:line="185" w:lineRule="exact"/>
        <w:rPr>
          <w:sz w:val="20"/>
          <w:szCs w:val="20"/>
          <w:color w:val="auto"/>
        </w:rPr>
      </w:pPr>
    </w:p>
    <w:p>
      <w:pPr>
        <w:ind w:left="1080" w:right="500" w:hanging="413"/>
        <w:spacing w:after="0" w:line="302" w:lineRule="auto"/>
        <w:rPr>
          <w:sz w:val="20"/>
          <w:szCs w:val="20"/>
          <w:color w:val="auto"/>
        </w:rPr>
      </w:pPr>
      <w:r>
        <w:rPr>
          <w:rFonts w:ascii="Arial" w:cs="Arial" w:eastAsia="Arial" w:hAnsi="Arial"/>
          <w:sz w:val="16"/>
          <w:szCs w:val="16"/>
          <w:color w:val="auto"/>
        </w:rPr>
        <w:t>*101 Northrop Grumman Corporation Quarterly Report on Form 10-Q for the quarter ended March 31, 2018, formatted in XBRL (Extensible Business Reporting Language): (i) the Condensed Consolidated Statements of Earnings and Comprehensive Income, (ii) Condensed Consolidated Statements of Financial Position, (iii) Condensed Consolidated Statements of Cash Flows, (iv) Condensed Consolidated Statements of Changes in Shareholders’ Equity, and (v) Notes to Condensed Consolidated Financial Statements</w:t>
      </w:r>
    </w:p>
    <w:p>
      <w:pPr>
        <w:spacing w:after="0" w:line="105" w:lineRule="exact"/>
        <w:rPr>
          <w:sz w:val="20"/>
          <w:szCs w:val="20"/>
          <w:color w:val="auto"/>
        </w:rPr>
      </w:pPr>
    </w:p>
    <w:p>
      <w:pPr>
        <w:ind w:left="720" w:hanging="442"/>
        <w:spacing w:after="0"/>
        <w:tabs>
          <w:tab w:leader="none" w:pos="72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spacing w:after="0" w:line="58" w:lineRule="exact"/>
        <w:rPr>
          <w:sz w:val="20"/>
          <w:szCs w:val="20"/>
          <w:color w:val="auto"/>
        </w:rPr>
      </w:pPr>
    </w:p>
    <w:p>
      <w:pPr>
        <w:ind w:left="720" w:hanging="442"/>
        <w:spacing w:after="0"/>
        <w:tabs>
          <w:tab w:leader="none" w:pos="72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spacing w:after="0" w:line="58" w:lineRule="exact"/>
        <w:rPr>
          <w:sz w:val="20"/>
          <w:szCs w:val="20"/>
          <w:color w:val="auto"/>
        </w:rPr>
      </w:pPr>
    </w:p>
    <w:p>
      <w:pPr>
        <w:ind w:left="720" w:hanging="442"/>
        <w:spacing w:after="0"/>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18" w:right="2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1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ind w:left="74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21590</wp:posOffset>
            </wp:positionV>
            <wp:extent cx="3876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4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A. Hardesty</w:t>
      </w:r>
    </w:p>
    <w:p>
      <w:pPr>
        <w:spacing w:after="0" w:line="23"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Corporate Vice President, Controller and</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2018</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118"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NORTHROP GRUMMAN CORPORATION</w:t>
      </w:r>
    </w:p>
    <w:p>
      <w:pPr>
        <w:spacing w:after="0" w:line="132"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TERMS AND CONDITIONS APPLICABLE TO</w:t>
      </w:r>
    </w:p>
    <w:p>
      <w:pPr>
        <w:spacing w:after="0" w:line="7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2018 RESTRICTED STOCK RIGHTS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GRANTED UNDER THE 2011 LONG-TERM INCENTIVE STOCK PLAN</w:t>
      </w:r>
    </w:p>
    <w:p>
      <w:pPr>
        <w:spacing w:after="0" w:line="236"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These Terms and Conditions (“Terms”) apply to certain “Restricted Stock Rights” (“RSRs”) granted by Northrop Grumman Corporation (the “Company”) in 2018 under its 2011 Long-Term Incentive Stock Plan. If you were granted an RSR award by the Company in 2017,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These Terms apply only with respect to the 2018 RSR award. If you were granted an RSR award, you are referred to as the “Grantee” with respect to your award. Capitalized terms are generally defined in Section 12 below if not otherwise defined herein.</w:t>
      </w:r>
    </w:p>
    <w:p>
      <w:pPr>
        <w:spacing w:after="0" w:line="13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these Terms, and is further subject to all of the terms and conditions of the Plan, as it may be amended from time to time, and any rules adopted by the Committee, as such rules are in effect from time to time. If you do not formally accept your RSR award, including these Terms, in accordance with the instructions and time limit set forth in your Grant Letter, you will be deemed to have forfeited your RSR award.</w:t>
      </w:r>
    </w:p>
    <w:p>
      <w:pPr>
        <w:sectPr>
          <w:pgSz w:w="11900" w:h="16838" w:orient="portrait"/>
          <w:cols w:equalWidth="0" w:num="1">
            <w:col w:w="11420"/>
          </w:cols>
          <w:pgMar w:left="240" w:top="121" w:right="239" w:bottom="1440" w:gutter="0" w:footer="0" w:header="0"/>
        </w:sectPr>
      </w:pPr>
    </w:p>
    <w:p>
      <w:pPr>
        <w:spacing w:after="0" w:line="169"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2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i w:val="1"/>
          <w:iCs w:val="1"/>
          <w:color w:val="auto"/>
        </w:rPr>
        <w:t>Payment of RSRs</w:t>
      </w:r>
      <w:r>
        <w:rPr>
          <w:rFonts w:ascii="Arial" w:cs="Arial" w:eastAsia="Arial" w:hAnsi="Arial"/>
          <w:sz w:val="17"/>
          <w:szCs w:val="17"/>
          <w:color w:val="auto"/>
        </w:rPr>
        <w:t>. Except as otherwise provided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3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The Grantee shall be entitled to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Dividend Equivalents (if any) with respect to any Vested RSRs. For purposes of these Terms, “Dividend Equivalents” means the aggregate amount of dividends paid by the Company on a number of shares of Common Stock equivalent to the number of Vested RSRs during the period from the Grant date until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127" w:lineRule="exact"/>
        <w:rPr>
          <w:sz w:val="20"/>
          <w:szCs w:val="20"/>
          <w:color w:val="auto"/>
        </w:rPr>
      </w:pPr>
    </w:p>
    <w:p>
      <w:pPr>
        <w:ind w:left="400" w:hanging="398"/>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85" w:lineRule="exact"/>
        <w:rPr>
          <w:sz w:val="20"/>
          <w:szCs w:val="20"/>
          <w:color w:val="auto"/>
        </w:rPr>
      </w:pPr>
    </w:p>
    <w:p>
      <w:pPr>
        <w:ind w:right="120" w:firstLine="405"/>
        <w:spacing w:after="0" w:line="295"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RSRs (and related Dividend Equivalents)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spacing w:after="0" w:line="11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Leave of Absence</w:t>
      </w:r>
      <w:r>
        <w:rPr>
          <w:rFonts w:ascii="Arial" w:cs="Arial" w:eastAsia="Arial" w:hAnsi="Arial"/>
          <w:sz w:val="17"/>
          <w:szCs w:val="17"/>
          <w:color w:val="auto"/>
        </w:rPr>
        <w:t>. Unless the Committee otherwise provides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37"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Salary Continuation</w:t>
      </w:r>
      <w:r>
        <w:rPr>
          <w:rFonts w:ascii="Arial" w:cs="Arial" w:eastAsia="Arial" w:hAnsi="Arial"/>
          <w:sz w:val="18"/>
          <w:szCs w:val="18"/>
          <w:color w:val="auto"/>
        </w:rPr>
        <w:t>. Subject to Section 2.2 above,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as used herein means active employment by the Company and salary</w:t>
      </w:r>
    </w:p>
    <w:p>
      <w:pPr>
        <w:spacing w:after="0" w:line="200" w:lineRule="exact"/>
        <w:rPr>
          <w:sz w:val="20"/>
          <w:szCs w:val="20"/>
          <w:color w:val="auto"/>
        </w:rPr>
      </w:pPr>
    </w:p>
    <w:p>
      <w:pPr>
        <w:sectPr>
          <w:pgSz w:w="11900" w:h="16838" w:orient="portrait"/>
          <w:cols w:equalWidth="0" w:num="2">
            <w:col w:w="5480" w:space="460"/>
            <w:col w:w="5480"/>
          </w:cols>
          <w:pgMar w:left="240" w:top="121" w:right="239" w:bottom="1440" w:gutter="0" w:footer="0" w:header="0"/>
          <w:type w:val="continuous"/>
        </w:sectPr>
      </w:pP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CPC (Annual)</w:t>
      </w:r>
      <w:r>
        <w:rPr>
          <w:sz w:val="20"/>
          <w:szCs w:val="20"/>
          <w:color w:val="auto"/>
        </w:rPr>
        <w:tab/>
      </w:r>
      <w:r>
        <w:rPr>
          <w:rFonts w:ascii="Arial" w:cs="Arial" w:eastAsia="Arial" w:hAnsi="Arial"/>
          <w:sz w:val="14"/>
          <w:szCs w:val="14"/>
          <w:color w:val="auto"/>
        </w:rPr>
        <w:t>1</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line="271" w:lineRule="auto"/>
        <w:rPr>
          <w:sz w:val="20"/>
          <w:szCs w:val="20"/>
          <w:color w:val="auto"/>
        </w:rPr>
      </w:pPr>
      <w:r>
        <w:rPr>
          <w:rFonts w:ascii="Arial" w:cs="Arial" w:eastAsia="Arial" w:hAnsi="Arial"/>
          <w:sz w:val="17"/>
          <w:szCs w:val="17"/>
          <w:color w:val="auto"/>
        </w:rPr>
        <w:t>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3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Sale or Spinoff of Subsidiary or Business Unit</w:t>
      </w:r>
      <w:r>
        <w:rPr>
          <w:rFonts w:ascii="Arial" w:cs="Arial" w:eastAsia="Arial" w:hAnsi="Arial"/>
          <w:sz w:val="17"/>
          <w:szCs w:val="17"/>
          <w:color w:val="auto"/>
        </w:rPr>
        <w:t>.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spacing w:after="0" w:line="14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these Terms,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28" w:lineRule="exact"/>
        <w:rPr>
          <w:sz w:val="20"/>
          <w:szCs w:val="20"/>
          <w:color w:val="auto"/>
        </w:rPr>
      </w:pPr>
    </w:p>
    <w:p>
      <w:pPr>
        <w:ind w:right="260" w:firstLine="405"/>
        <w:spacing w:after="0" w:line="26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Death or Disability</w:t>
      </w:r>
      <w:r>
        <w:rPr>
          <w:rFonts w:ascii="Arial" w:cs="Arial" w:eastAsia="Arial" w:hAnsi="Arial"/>
          <w:sz w:val="18"/>
          <w:szCs w:val="18"/>
          <w:color w:val="auto"/>
        </w:rPr>
        <w:t>. If the Grantee dies or incurs a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while employed by the Company or a subsidiary and such death or Disability occurs more than</w:t>
      </w: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right="20"/>
        <w:spacing w:after="0" w:line="288" w:lineRule="auto"/>
        <w:rPr>
          <w:sz w:val="20"/>
          <w:szCs w:val="20"/>
          <w:color w:val="auto"/>
        </w:rPr>
      </w:pPr>
      <w:r>
        <w:rPr>
          <w:rFonts w:ascii="Arial" w:cs="Arial" w:eastAsia="Arial" w:hAnsi="Arial"/>
          <w:sz w:val="16"/>
          <w:szCs w:val="16"/>
          <w:color w:val="auto"/>
        </w:rPr>
        <w:t>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these Terms with respect to such vested and unpaid RSRs (and related Dividend Equivalents).</w:t>
      </w:r>
    </w:p>
    <w:p>
      <w:pPr>
        <w:spacing w:after="0" w:line="1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Termination of Employment Due to Retirement</w:t>
      </w:r>
      <w:r>
        <w:rPr>
          <w:rFonts w:ascii="Arial" w:cs="Arial" w:eastAsia="Arial" w:hAnsi="Arial"/>
          <w:sz w:val="16"/>
          <w:szCs w:val="16"/>
          <w:color w:val="auto"/>
        </w:rPr>
        <w:t>. If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 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spacing w:after="0" w:line="136"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Subject to the following provisions of this paragraph, RSRs (and related Dividend Equivalents) vesting under this Section shall be paid within 60 days following the Grantee’s Separation from Service. However, in the case of a Governmental Service Retirement by the Grantee, payment of the vested RSRs (and related Dividend Equivalents) will be made within 20 days after the Grantee’s Early or Normal Retirement. If the Grantee is a Key Employee as of the date of the Grantee’s Separation from Service, the Grantee shall not be entitled to payment of his or her vested RSRs (and related Dividend Equivalents) pursuant to this Section until the earlier of (and payment shall be made upon or promptly after, and in all events within thirty (30) days after, the first to occur of) (a) the date which is six (6) months and one day after the Grantee’s Separation from Service, or (b) the date of the Grantee’s death. The</w:t>
      </w:r>
    </w:p>
    <w:p>
      <w:pPr>
        <w:sectPr>
          <w:pgSz w:w="11900" w:h="16838" w:orient="portrait"/>
          <w:cols w:equalWidth="0" w:num="2">
            <w:col w:w="5480" w:space="460"/>
            <w:col w:w="5480"/>
          </w:cols>
          <w:pgMar w:left="240" w:top="368" w:right="239" w:bottom="1440" w:gutter="0" w:footer="0" w:header="0"/>
        </w:sectPr>
      </w:pPr>
    </w:p>
    <w:bookmarkStart w:id="39" w:name="page40"/>
    <w:bookmarkEnd w:id="39"/>
    <w:p>
      <w:pPr>
        <w:jc w:val="both"/>
        <w:ind w:right="140"/>
        <w:spacing w:after="0" w:line="264" w:lineRule="auto"/>
        <w:rPr>
          <w:sz w:val="20"/>
          <w:szCs w:val="20"/>
          <w:color w:val="auto"/>
        </w:rPr>
      </w:pPr>
      <w:r>
        <w:rPr>
          <w:rFonts w:ascii="Arial" w:cs="Arial" w:eastAsia="Arial" w:hAnsi="Arial"/>
          <w:sz w:val="18"/>
          <w:szCs w:val="18"/>
          <w:color w:val="auto"/>
        </w:rPr>
        <w:t>provisions of the preceding sentence shall only apply if, and to the extent, required to avoid the imputation of any tax, penalty or interest pursuant to Section 409A of the Code.</w:t>
      </w:r>
    </w:p>
    <w:p>
      <w:pPr>
        <w:spacing w:after="0" w:line="141" w:lineRule="exact"/>
        <w:rPr>
          <w:sz w:val="20"/>
          <w:szCs w:val="20"/>
          <w:color w:val="auto"/>
        </w:rPr>
      </w:pPr>
    </w:p>
    <w:p>
      <w:pPr>
        <w:ind w:firstLine="392"/>
        <w:spacing w:after="0" w:line="267" w:lineRule="auto"/>
        <w:rPr>
          <w:sz w:val="20"/>
          <w:szCs w:val="20"/>
          <w:color w:val="auto"/>
        </w:rPr>
      </w:pPr>
      <w:r>
        <w:rPr>
          <w:rFonts w:ascii="Arial" w:cs="Arial" w:eastAsia="Arial" w:hAnsi="Arial"/>
          <w:sz w:val="17"/>
          <w:szCs w:val="17"/>
          <w:color w:val="auto"/>
        </w:rPr>
        <w:t>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Early Retirement, Normal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41"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Non-Transferability</w:t>
      </w:r>
      <w:r>
        <w:rPr>
          <w:rFonts w:ascii="Arial" w:cs="Arial" w:eastAsia="Arial" w:hAnsi="Arial"/>
          <w:sz w:val="16"/>
          <w:szCs w:val="16"/>
          <w:color w:val="auto"/>
        </w:rPr>
        <w:t>. The award, as well as the RSRs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24"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Forfeiture or Recoupment of Awards</w:t>
      </w:r>
      <w:r>
        <w:rPr>
          <w:rFonts w:ascii="Arial" w:cs="Arial" w:eastAsia="Arial" w:hAnsi="Arial"/>
          <w:sz w:val="18"/>
          <w:szCs w:val="18"/>
          <w:color w:val="auto"/>
        </w:rPr>
        <w:t>. If, prior to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shares with respect to the award, Grantee’s employment is terminated for Cause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Arial" w:cs="Arial" w:eastAsia="Arial" w:hAnsi="Arial"/>
          <w:sz w:val="16"/>
          <w:szCs w:val="16"/>
          <w:color w:val="auto"/>
        </w:rPr>
        <w:t>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51" w:lineRule="exact"/>
        <w:rPr>
          <w:sz w:val="20"/>
          <w:szCs w:val="20"/>
          <w:color w:val="auto"/>
        </w:rPr>
      </w:pPr>
    </w:p>
    <w:p>
      <w:pPr>
        <w:ind w:left="460" w:hanging="458"/>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225"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i w:val="1"/>
          <w:iCs w:val="1"/>
          <w:color w:val="auto"/>
        </w:rPr>
        <w:t xml:space="preserve">Corporate Policy Council Contribution. </w:t>
      </w:r>
      <w:r>
        <w:rPr>
          <w:rFonts w:ascii="Arial" w:cs="Arial" w:eastAsia="Arial" w:hAnsi="Arial"/>
          <w:sz w:val="16"/>
          <w:szCs w:val="16"/>
          <w:color w:val="auto"/>
        </w:rPr>
        <w:t>You acknowledge</w:t>
      </w:r>
    </w:p>
    <w:p>
      <w:pPr>
        <w:spacing w:after="0" w:line="54" w:lineRule="exact"/>
        <w:rPr>
          <w:sz w:val="20"/>
          <w:szCs w:val="20"/>
          <w:color w:val="auto"/>
        </w:rPr>
      </w:pPr>
    </w:p>
    <w:p>
      <w:pPr>
        <w:spacing w:after="0" w:line="316" w:lineRule="auto"/>
        <w:rPr>
          <w:sz w:val="20"/>
          <w:szCs w:val="20"/>
          <w:color w:val="auto"/>
        </w:rPr>
      </w:pPr>
      <w:r>
        <w:rPr>
          <w:rFonts w:ascii="Arial" w:cs="Arial" w:eastAsia="Arial" w:hAnsi="Arial"/>
          <w:sz w:val="17"/>
          <w:szCs w:val="17"/>
          <w:color w:val="auto"/>
        </w:rPr>
        <w:t>and agree that as a member of the Corporate Policy Council (“CPC”),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manned and unmanned aircraft, space, C4ISR, cyber, sensors, electronics, through-life support and technical services. Your job responsibilities require that you have a primary office location in Virginia and/or you spend substantial time at the corporate headquarters in Virginia, among other things, attending CPC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these Terms and as consideration for the restrictive covenants set forth in this section 4.</w:t>
      </w:r>
    </w:p>
    <w:p>
      <w:pPr>
        <w:sectPr>
          <w:pgSz w:w="11900" w:h="16838" w:orient="portrait"/>
          <w:cols w:equalWidth="0" w:num="2">
            <w:col w:w="5480" w:space="460"/>
            <w:col w:w="5480"/>
          </w:cols>
          <w:pgMar w:left="240" w:top="368" w:right="239" w:bottom="1440" w:gutter="0" w:footer="0" w:header="0"/>
        </w:sectPr>
      </w:pPr>
    </w:p>
    <w:bookmarkStart w:id="40" w:name="page41"/>
    <w:bookmarkEnd w:id="40"/>
    <w:p>
      <w:pPr>
        <w:jc w:val="both"/>
        <w:ind w:right="20" w:firstLine="324"/>
        <w:spacing w:after="0" w:line="33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twelve (12) months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the termination of Grantee’s employment for any reason (other than a Reduction-in-Force as determined at the Company’s sole discretion)</w:t>
      </w:r>
    </w:p>
    <w:p>
      <w:pPr>
        <w:spacing w:after="0" w:line="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manned and unmanned aircraft, space, C4ISR, cyber, sensors, electronics, through-life support and technical services.</w:t>
      </w:r>
    </w:p>
    <w:p>
      <w:pPr>
        <w:spacing w:after="0" w:line="162" w:lineRule="exact"/>
        <w:rPr>
          <w:sz w:val="20"/>
          <w:szCs w:val="20"/>
          <w:color w:val="auto"/>
        </w:rPr>
      </w:pPr>
    </w:p>
    <w:p>
      <w:pPr>
        <w:ind w:firstLine="405"/>
        <w:spacing w:after="0" w:line="319"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8" w:lineRule="exact"/>
        <w:rPr>
          <w:sz w:val="20"/>
          <w:szCs w:val="20"/>
          <w:color w:val="auto"/>
        </w:rPr>
      </w:pPr>
    </w:p>
    <w:p>
      <w:pPr>
        <w:ind w:left="420"/>
        <w:spacing w:after="0"/>
        <w:tabs>
          <w:tab w:leader="none" w:pos="10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Non-Solicitation of Employees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twenty-four</w:t>
      </w:r>
    </w:p>
    <w:p>
      <w:pPr>
        <w:spacing w:after="0" w:line="54" w:lineRule="exact"/>
        <w:rPr>
          <w:sz w:val="20"/>
          <w:szCs w:val="20"/>
          <w:color w:val="auto"/>
        </w:rPr>
      </w:pPr>
    </w:p>
    <w:p>
      <w:pPr>
        <w:ind w:right="60" w:firstLine="8"/>
        <w:spacing w:after="0" w:line="325" w:lineRule="auto"/>
        <w:tabs>
          <w:tab w:leader="none" w:pos="3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9" w:lineRule="exact"/>
        <w:rPr>
          <w:sz w:val="20"/>
          <w:szCs w:val="20"/>
          <w:color w:val="auto"/>
        </w:rPr>
      </w:pPr>
    </w:p>
    <w:p>
      <w:pPr>
        <w:ind w:right="20" w:firstLine="405"/>
        <w:spacing w:after="0" w:line="303"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issue or communicate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w:t>
      </w:r>
    </w:p>
    <w:p>
      <w:pPr>
        <w:spacing w:after="0" w:line="188" w:lineRule="exact"/>
        <w:rPr>
          <w:sz w:val="20"/>
          <w:szCs w:val="20"/>
          <w:color w:val="auto"/>
        </w:rPr>
      </w:pPr>
    </w:p>
    <w:p>
      <w:pPr>
        <w:ind w:right="100" w:firstLine="405"/>
        <w:spacing w:after="0" w:line="330"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Exceptions.</w:t>
      </w:r>
      <w:r>
        <w:rPr>
          <w:rFonts w:ascii="Arial" w:cs="Arial" w:eastAsia="Arial" w:hAnsi="Arial"/>
          <w:sz w:val="17"/>
          <w:szCs w:val="17"/>
          <w:b w:val="1"/>
          <w:bCs w:val="1"/>
          <w:color w:val="auto"/>
        </w:rPr>
        <w:t xml:space="preserve"> </w:t>
      </w:r>
      <w:r>
        <w:rPr>
          <w:rFonts w:ascii="Arial" w:cs="Arial" w:eastAsia="Arial" w:hAnsi="Arial"/>
          <w:sz w:val="17"/>
          <w:szCs w:val="17"/>
          <w:color w:val="auto"/>
        </w:rPr>
        <w:t>You may request an exception to the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Sections 4.2, 4.3, or 4.4 by making a written request to the Company’s Chief Human Resources Officer, with such exceptions being considered at the sole discretion of the Company and</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communicated in writing to you.</w:t>
      </w:r>
    </w:p>
    <w:p>
      <w:pPr>
        <w:spacing w:after="0" w:line="289" w:lineRule="exact"/>
        <w:rPr>
          <w:sz w:val="20"/>
          <w:szCs w:val="20"/>
          <w:color w:val="auto"/>
        </w:rPr>
      </w:pPr>
    </w:p>
    <w:p>
      <w:pPr>
        <w:ind w:right="40" w:firstLine="405"/>
        <w:spacing w:after="0" w:line="340"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i w:val="1"/>
          <w:iCs w:val="1"/>
          <w:color w:val="auto"/>
        </w:rPr>
        <w:t>Reasonableness.</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the restrictions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Sections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190" w:lineRule="exact"/>
        <w:rPr>
          <w:sz w:val="20"/>
          <w:szCs w:val="20"/>
          <w:color w:val="auto"/>
        </w:rPr>
      </w:pPr>
    </w:p>
    <w:p>
      <w:pPr>
        <w:ind w:firstLine="405"/>
        <w:spacing w:after="0" w:line="340"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4.2, 4.3,</w:t>
      </w:r>
      <w:r>
        <w:rPr>
          <w:rFonts w:ascii="Arial" w:cs="Arial" w:eastAsia="Arial" w:hAnsi="Arial"/>
          <w:sz w:val="16"/>
          <w:szCs w:val="16"/>
          <w:b w:val="1"/>
          <w:bCs w:val="1"/>
          <w:color w:val="auto"/>
        </w:rPr>
        <w:t xml:space="preserve"> </w:t>
      </w:r>
      <w:r>
        <w:rPr>
          <w:rFonts w:ascii="Arial" w:cs="Arial" w:eastAsia="Arial" w:hAnsi="Arial"/>
          <w:sz w:val="16"/>
          <w:szCs w:val="16"/>
          <w:color w:val="auto"/>
        </w:rPr>
        <w:t>4.4 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36" w:lineRule="exact"/>
        <w:rPr>
          <w:sz w:val="20"/>
          <w:szCs w:val="20"/>
          <w:color w:val="auto"/>
        </w:rPr>
      </w:pPr>
    </w:p>
    <w:p>
      <w:pPr>
        <w:ind w:left="400" w:hanging="398"/>
        <w:spacing w:after="0"/>
        <w:tabs>
          <w:tab w:leader="none" w:pos="4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No Stockholder Rights Prior to Issuance</w:t>
      </w:r>
      <w:r>
        <w:rPr>
          <w:rFonts w:ascii="Arial" w:cs="Arial" w:eastAsia="Arial" w:hAnsi="Arial"/>
          <w:sz w:val="16"/>
          <w:szCs w:val="16"/>
          <w:color w:val="auto"/>
        </w:rPr>
        <w:t>.</w:t>
      </w:r>
    </w:p>
    <w:p>
      <w:pPr>
        <w:spacing w:after="0" w:line="212"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these Terms with respect to Dividend Equivalents), with respect to any shares which may be issued in respect of the RSRs until the date appearing on the certificate(s) for such shares (or, in the case of shares entered in book entry</w:t>
      </w:r>
    </w:p>
    <w:p>
      <w:pPr>
        <w:sectPr>
          <w:pgSz w:w="11900" w:h="16838" w:orient="portrait"/>
          <w:cols w:equalWidth="0" w:num="2">
            <w:col w:w="5460" w:space="480"/>
            <w:col w:w="5480"/>
          </w:cols>
          <w:pgMar w:left="240" w:top="391" w:right="239" w:bottom="1440" w:gutter="0" w:footer="0" w:header="0"/>
        </w:sectPr>
      </w:pPr>
    </w:p>
    <w:bookmarkStart w:id="41" w:name="page42"/>
    <w:bookmarkEnd w:id="41"/>
    <w:p>
      <w:pPr>
        <w:ind w:right="360"/>
        <w:spacing w:after="0" w:line="308" w:lineRule="auto"/>
        <w:rPr>
          <w:sz w:val="20"/>
          <w:szCs w:val="20"/>
          <w:color w:val="auto"/>
        </w:rPr>
      </w:pPr>
      <w:r>
        <w:rPr>
          <w:rFonts w:ascii="Arial" w:cs="Arial" w:eastAsia="Arial" w:hAnsi="Arial"/>
          <w:sz w:val="17"/>
          <w:szCs w:val="17"/>
          <w:color w:val="auto"/>
        </w:rPr>
        <w:t>form, the date that the shares are actually recorded in such form for the benefit of the Grantee), if such shares become deliverable.</w:t>
      </w:r>
    </w:p>
    <w:p>
      <w:pPr>
        <w:spacing w:after="0" w:line="102"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5" w:lineRule="exact"/>
        <w:rPr>
          <w:sz w:val="20"/>
          <w:szCs w:val="20"/>
          <w:color w:val="auto"/>
        </w:rPr>
      </w:pPr>
    </w:p>
    <w:p>
      <w:pPr>
        <w:ind w:right="180" w:firstLine="324"/>
        <w:spacing w:after="0" w:line="28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RSRs, Dividend Equivalents, and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award are subject to adjustment upon the occurrence of events such as stock splits, stock dividends and other changes in capitalization in accordance with Section 6(a) of the Plan.</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i w:val="1"/>
          <w:iCs w:val="1"/>
          <w:color w:val="auto"/>
        </w:rPr>
        <w:t>Possible Acceleration on Change in Control</w:t>
      </w:r>
      <w:r>
        <w:rPr>
          <w:rFonts w:ascii="Arial" w:cs="Arial" w:eastAsia="Arial" w:hAnsi="Arial"/>
          <w:sz w:val="17"/>
          <w:szCs w:val="17"/>
          <w:color w:val="auto"/>
        </w:rPr>
        <w:t>. Notwithstanding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43"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6"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Payment of any RSRs (and related Dividend Equivalents) that vest under this Section will be made at the time provided for in Section 2.7 as though the termination of the Grantee’s employment was due to a Normal Retirement.</w:t>
      </w:r>
    </w:p>
    <w:p>
      <w:pPr>
        <w:spacing w:after="0" w:line="153" w:lineRule="exact"/>
        <w:rPr>
          <w:sz w:val="20"/>
          <w:szCs w:val="20"/>
          <w:color w:val="auto"/>
        </w:rPr>
      </w:pPr>
    </w:p>
    <w:p>
      <w:pPr>
        <w:ind w:right="240" w:firstLine="324"/>
        <w:spacing w:after="0" w:line="319" w:lineRule="auto"/>
        <w:rPr>
          <w:sz w:val="20"/>
          <w:szCs w:val="20"/>
          <w:color w:val="auto"/>
        </w:rPr>
      </w:pPr>
      <w:r>
        <w:rPr>
          <w:rFonts w:ascii="Arial" w:cs="Arial" w:eastAsia="Arial" w:hAnsi="Arial"/>
          <w:sz w:val="17"/>
          <w:szCs w:val="17"/>
          <w:b w:val="1"/>
          <w:bCs w:val="1"/>
          <w:color w:val="auto"/>
        </w:rPr>
        <w:t>6.3</w:t>
      </w:r>
      <w:r>
        <w:rPr>
          <w:rFonts w:ascii="Arial" w:cs="Arial" w:eastAsia="Arial" w:hAnsi="Arial"/>
          <w:sz w:val="20"/>
          <w:szCs w:val="20"/>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Automatic Acceleration; Early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w:t>
      </w:r>
    </w:p>
    <w:p>
      <w:pPr>
        <w:spacing w:after="0" w:line="3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140"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spacing w:after="0" w:line="122" w:lineRule="exact"/>
        <w:rPr>
          <w:sz w:val="20"/>
          <w:szCs w:val="20"/>
          <w:color w:val="auto"/>
        </w:rPr>
      </w:pPr>
    </w:p>
    <w:p>
      <w:pPr>
        <w:ind w:left="400" w:hanging="398"/>
        <w:spacing w:after="0"/>
        <w:tabs>
          <w:tab w:leader="none" w:pos="4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35" w:lineRule="exact"/>
        <w:rPr>
          <w:sz w:val="20"/>
          <w:szCs w:val="20"/>
          <w:color w:val="auto"/>
        </w:rPr>
      </w:pPr>
    </w:p>
    <w:p>
      <w:pPr>
        <w:ind w:right="240" w:firstLine="324"/>
        <w:spacing w:after="0" w:line="354" w:lineRule="auto"/>
        <w:rPr>
          <w:sz w:val="20"/>
          <w:szCs w:val="20"/>
          <w:color w:val="auto"/>
        </w:rPr>
      </w:pPr>
      <w:r>
        <w:rPr>
          <w:rFonts w:ascii="Arial" w:cs="Arial" w:eastAsia="Arial" w:hAnsi="Arial"/>
          <w:sz w:val="16"/>
          <w:szCs w:val="16"/>
          <w:b w:val="1"/>
          <w:bCs w:val="1"/>
          <w:color w:val="auto"/>
        </w:rPr>
        <w:t>7.2</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 state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taxes, if any, and other fees and expenses in connection with the issuance of shares in connection with the vesting of the RSRs.</w:t>
      </w:r>
    </w:p>
    <w:p>
      <w:pPr>
        <w:sectPr>
          <w:pgSz w:w="11900" w:h="16838" w:orient="portrait"/>
          <w:cols w:equalWidth="0" w:num="2">
            <w:col w:w="5480" w:space="460"/>
            <w:col w:w="5440"/>
          </w:cols>
          <w:pgMar w:left="240" w:top="368" w:right="279" w:bottom="1440" w:gutter="0" w:footer="0" w:header="0"/>
        </w:sectPr>
      </w:pPr>
    </w:p>
    <w:bookmarkStart w:id="42" w:name="page43"/>
    <w:bookmarkEnd w:id="42"/>
    <w:p>
      <w:pPr>
        <w:jc w:val="both"/>
        <w:ind w:right="140" w:firstLine="324"/>
        <w:spacing w:after="0" w:line="261"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Compliance with Code</w:t>
      </w:r>
      <w:r>
        <w:rPr>
          <w:rFonts w:ascii="Arial" w:cs="Arial" w:eastAsia="Arial" w:hAnsi="Arial"/>
          <w:sz w:val="18"/>
          <w:szCs w:val="18"/>
          <w:color w:val="auto"/>
        </w:rPr>
        <w:t>. The Committee shall administer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the award, and may amend the Terms of the award, in a manner designed to comply with the Code and to avoid adverse tax consequences under Code Section 409A.</w:t>
      </w:r>
    </w:p>
    <w:p>
      <w:pPr>
        <w:spacing w:after="0" w:line="14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Unfunded Arrangement</w:t>
      </w:r>
      <w:r>
        <w:rPr>
          <w:rFonts w:ascii="Arial" w:cs="Arial" w:eastAsia="Arial" w:hAnsi="Arial"/>
          <w:sz w:val="18"/>
          <w:szCs w:val="18"/>
          <w:color w:val="auto"/>
        </w:rPr>
        <w:t>. The right of the Grantee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58"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This agreement shall be governed by the laws of the State of Delaware. Any cause of action or claim arising out of or related to the terms and conditions</w:t>
      </w:r>
    </w:p>
    <w:p>
      <w:pPr>
        <w:spacing w:after="0" w:line="200" w:lineRule="exact"/>
        <w:rPr>
          <w:sz w:val="20"/>
          <w:szCs w:val="20"/>
          <w:color w:val="auto"/>
        </w:rPr>
      </w:pPr>
    </w:p>
    <w:p>
      <w:pPr>
        <w:spacing w:after="0" w:line="27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these terms, before arbitration is commenced or concluded, either party may seek injunctive or other provisional equitable relief from a state or federal court in the Commonwealth of Virginia. All court actions or proceedings arising under these terms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39" w:lineRule="exact"/>
        <w:rPr>
          <w:sz w:val="20"/>
          <w:szCs w:val="20"/>
          <w:color w:val="auto"/>
        </w:rPr>
      </w:pPr>
    </w:p>
    <w:p>
      <w:pPr>
        <w:ind w:left="320" w:hanging="318"/>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 absolute discretion of the Committee and shall be conclusive and binding on all persons.</w:t>
      </w:r>
    </w:p>
    <w:p>
      <w:pPr>
        <w:spacing w:after="0" w:line="122" w:lineRule="exact"/>
        <w:rPr>
          <w:sz w:val="20"/>
          <w:szCs w:val="20"/>
          <w:color w:val="auto"/>
        </w:rPr>
      </w:pPr>
    </w:p>
    <w:p>
      <w:pPr>
        <w:ind w:left="400" w:hanging="398"/>
        <w:spacing w:after="0"/>
        <w:tabs>
          <w:tab w:leader="none" w:pos="4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133" w:lineRule="exact"/>
        <w:rPr>
          <w:sz w:val="20"/>
          <w:szCs w:val="20"/>
          <w:color w:val="auto"/>
        </w:rPr>
      </w:pPr>
    </w:p>
    <w:p>
      <w:pPr>
        <w:ind w:left="320" w:hanging="318"/>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right="80" w:firstLine="392"/>
        <w:spacing w:after="0" w:line="279" w:lineRule="auto"/>
        <w:rPr>
          <w:sz w:val="20"/>
          <w:szCs w:val="20"/>
          <w:color w:val="auto"/>
        </w:rPr>
      </w:pPr>
      <w:r>
        <w:rPr>
          <w:rFonts w:ascii="Arial" w:cs="Arial" w:eastAsia="Arial" w:hAnsi="Arial"/>
          <w:sz w:val="17"/>
          <w:szCs w:val="17"/>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w:t>
      </w:r>
    </w:p>
    <w:p>
      <w:pPr>
        <w:sectPr>
          <w:pgSz w:w="11900" w:h="16838" w:orient="portrait"/>
          <w:cols w:equalWidth="0" w:num="2">
            <w:col w:w="5440" w:space="500"/>
            <w:col w:w="5460"/>
          </w:cols>
          <w:pgMar w:left="240" w:top="364" w:right="259" w:bottom="1440" w:gutter="0" w:footer="0" w:header="0"/>
        </w:sectPr>
      </w:pPr>
    </w:p>
    <w:bookmarkStart w:id="43" w:name="page44"/>
    <w:bookmarkEnd w:id="43"/>
    <w:p>
      <w:pPr>
        <w:ind w:right="20"/>
        <w:spacing w:after="0" w:line="284" w:lineRule="auto"/>
        <w:rPr>
          <w:sz w:val="20"/>
          <w:szCs w:val="20"/>
          <w:color w:val="auto"/>
        </w:rPr>
      </w:pPr>
      <w:r>
        <w:rPr>
          <w:rFonts w:ascii="Arial" w:cs="Arial" w:eastAsia="Arial" w:hAnsi="Arial"/>
          <w:sz w:val="16"/>
          <w:szCs w:val="16"/>
          <w:color w:val="auto"/>
        </w:rPr>
        <w:t>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w:t>
      </w:r>
    </w:p>
    <w:p>
      <w:pPr>
        <w:spacing w:after="0" w:line="1" w:lineRule="exact"/>
        <w:rPr>
          <w:sz w:val="20"/>
          <w:szCs w:val="20"/>
          <w:color w:val="auto"/>
        </w:rPr>
      </w:pPr>
    </w:p>
    <w:p>
      <w:pPr>
        <w:ind w:firstLine="8"/>
        <w:spacing w:after="0" w:line="284" w:lineRule="auto"/>
        <w:tabs>
          <w:tab w:leader="none" w:pos="2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33"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80" w:right="180" w:hanging="329"/>
        <w:spacing w:after="0" w:line="302" w:lineRule="auto"/>
        <w:tabs>
          <w:tab w:leader="none" w:pos="5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3" w:lineRule="exact"/>
        <w:rPr>
          <w:rFonts w:ascii="Arial" w:cs="Arial" w:eastAsia="Arial" w:hAnsi="Arial"/>
          <w:sz w:val="16"/>
          <w:szCs w:val="16"/>
          <w:color w:val="auto"/>
        </w:rPr>
      </w:pPr>
    </w:p>
    <w:p>
      <w:pPr>
        <w:ind w:left="580" w:right="240" w:hanging="329"/>
        <w:spacing w:after="0" w:line="286" w:lineRule="auto"/>
        <w:tabs>
          <w:tab w:leader="none" w:pos="562"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560" w:right="40"/>
        <w:spacing w:after="0" w:line="311" w:lineRule="auto"/>
        <w:rPr>
          <w:sz w:val="20"/>
          <w:szCs w:val="20"/>
          <w:color w:val="auto"/>
        </w:rPr>
      </w:pPr>
      <w:r>
        <w:rPr>
          <w:rFonts w:ascii="Arial" w:cs="Arial" w:eastAsia="Arial" w:hAnsi="Arial"/>
          <w:sz w:val="18"/>
          <w:szCs w:val="18"/>
          <w:color w:val="auto"/>
        </w:rPr>
        <w:t>unless done, or omitted to be done, by the Grantee not in good faith and without reasonable belief that his or her action or omission was in the best interest of the Company.</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18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2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spacing w:after="0" w:line="150" w:lineRule="exact"/>
        <w:rPr>
          <w:sz w:val="20"/>
          <w:szCs w:val="20"/>
          <w:color w:val="auto"/>
        </w:rPr>
      </w:pPr>
    </w:p>
    <w:p>
      <w:pPr>
        <w:ind w:right="20" w:firstLine="405"/>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Retirement</w:t>
      </w:r>
      <w:r>
        <w:rPr>
          <w:rFonts w:ascii="Arial" w:cs="Arial" w:eastAsia="Arial" w:hAnsi="Arial"/>
          <w:sz w:val="16"/>
          <w:szCs w:val="16"/>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55" w:lineRule="exact"/>
        <w:rPr>
          <w:sz w:val="20"/>
          <w:szCs w:val="20"/>
          <w:color w:val="auto"/>
        </w:rPr>
      </w:pPr>
    </w:p>
    <w:p>
      <w:pPr>
        <w:ind w:left="560" w:right="240" w:hanging="315"/>
        <w:spacing w:after="0" w:line="32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spacing w:after="0" w:line="102" w:lineRule="exact"/>
        <w:rPr>
          <w:rFonts w:ascii="Arial" w:cs="Arial" w:eastAsia="Arial" w:hAnsi="Arial"/>
          <w:sz w:val="18"/>
          <w:szCs w:val="18"/>
          <w:color w:val="auto"/>
        </w:rPr>
      </w:pPr>
    </w:p>
    <w:p>
      <w:pPr>
        <w:ind w:left="580" w:right="80" w:hanging="335"/>
        <w:spacing w:after="0" w:line="312" w:lineRule="auto"/>
        <w:tabs>
          <w:tab w:leader="none" w:pos="5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termination of employment by the Company or a subsidiary as part of a reduction in force and, at the time of such termination, the Grantee has attained age 53 with at least 10 years of service.</w:t>
      </w:r>
    </w:p>
    <w:p>
      <w:pPr>
        <w:spacing w:after="0" w:line="106" w:lineRule="exact"/>
        <w:rPr>
          <w:rFonts w:ascii="Arial" w:cs="Arial" w:eastAsia="Arial" w:hAnsi="Arial"/>
          <w:sz w:val="16"/>
          <w:szCs w:val="16"/>
          <w:color w:val="auto"/>
        </w:rPr>
      </w:pPr>
    </w:p>
    <w:p>
      <w:pPr>
        <w:ind w:left="580" w:right="80" w:hanging="335"/>
        <w:spacing w:after="0" w:line="286" w:lineRule="auto"/>
        <w:tabs>
          <w:tab w:leader="none" w:pos="562"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termination of employment by the Company or a subsidiary as part of a reduction in force and, at the time of such termination, the sum of the Grantee’s age and years of service is at least 75.</w:t>
      </w:r>
    </w:p>
    <w:p>
      <w:pPr>
        <w:spacing w:after="0" w:line="121" w:lineRule="exact"/>
        <w:rPr>
          <w:sz w:val="20"/>
          <w:szCs w:val="20"/>
          <w:color w:val="auto"/>
        </w:rPr>
      </w:pPr>
    </w:p>
    <w:p>
      <w:pPr>
        <w:jc w:val="both"/>
        <w:ind w:right="560" w:firstLine="40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w:t>
      </w:r>
    </w:p>
    <w:p>
      <w:pPr>
        <w:sectPr>
          <w:pgSz w:w="11900" w:h="16838" w:orient="portrait"/>
          <w:cols w:equalWidth="0" w:num="2">
            <w:col w:w="5480" w:space="460"/>
            <w:col w:w="548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utilize such other exchange, market, or listing as it deems appropriate.</w:t>
      </w:r>
    </w:p>
    <w:p>
      <w:pPr>
        <w:spacing w:after="0" w:line="192" w:lineRule="exact"/>
        <w:rPr>
          <w:sz w:val="20"/>
          <w:szCs w:val="20"/>
          <w:color w:val="auto"/>
        </w:rPr>
      </w:pPr>
    </w:p>
    <w:p>
      <w:pPr>
        <w:ind w:right="6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80" w:right="60" w:hanging="329"/>
        <w:spacing w:after="0" w:line="285" w:lineRule="auto"/>
        <w:tabs>
          <w:tab w:leader="none" w:pos="5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2" w:lineRule="exact"/>
        <w:rPr>
          <w:sz w:val="20"/>
          <w:szCs w:val="20"/>
          <w:color w:val="auto"/>
        </w:rPr>
      </w:pPr>
    </w:p>
    <w:p>
      <w:pPr>
        <w:ind w:left="580" w:firstLine="554"/>
        <w:spacing w:after="0" w:line="268" w:lineRule="auto"/>
        <w:rPr>
          <w:sz w:val="20"/>
          <w:szCs w:val="20"/>
          <w:color w:val="auto"/>
        </w:rPr>
      </w:pPr>
      <w:r>
        <w:rPr>
          <w:rFonts w:ascii="Arial" w:cs="Arial" w:eastAsia="Arial" w:hAnsi="Arial"/>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45" w:lineRule="exact"/>
        <w:rPr>
          <w:sz w:val="20"/>
          <w:szCs w:val="20"/>
          <w:color w:val="auto"/>
        </w:rPr>
      </w:pPr>
    </w:p>
    <w:p>
      <w:pPr>
        <w:ind w:left="580" w:right="40" w:hanging="329"/>
        <w:spacing w:after="0" w:line="264" w:lineRule="auto"/>
        <w:tabs>
          <w:tab w:leader="none" w:pos="5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reduction by the Company in the Grantee’s annualized rate of base salary as in effect at the start of the Protected Period,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same shall be increased from time to time.</w:t>
      </w:r>
    </w:p>
    <w:p>
      <w:pPr>
        <w:spacing w:after="0" w:line="198" w:lineRule="exact"/>
        <w:rPr>
          <w:sz w:val="20"/>
          <w:szCs w:val="20"/>
          <w:color w:val="auto"/>
        </w:rPr>
      </w:pPr>
    </w:p>
    <w:p>
      <w:pPr>
        <w:ind w:left="580" w:hanging="335"/>
        <w:spacing w:after="0" w:line="287" w:lineRule="auto"/>
        <w:tabs>
          <w:tab w:leader="none" w:pos="5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2" w:lineRule="exact"/>
        <w:rPr>
          <w:rFonts w:ascii="Arial" w:cs="Arial" w:eastAsia="Arial" w:hAnsi="Arial"/>
          <w:sz w:val="16"/>
          <w:szCs w:val="16"/>
          <w:color w:val="auto"/>
        </w:rPr>
      </w:pPr>
    </w:p>
    <w:p>
      <w:pPr>
        <w:ind w:left="580" w:right="20" w:hanging="335"/>
        <w:spacing w:after="0" w:line="270" w:lineRule="auto"/>
        <w:tabs>
          <w:tab w:leader="none" w:pos="562"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37" w:lineRule="exact"/>
        <w:rPr>
          <w:rFonts w:ascii="Arial" w:cs="Arial" w:eastAsia="Arial" w:hAnsi="Arial"/>
          <w:sz w:val="17"/>
          <w:szCs w:val="17"/>
          <w:color w:val="auto"/>
        </w:rPr>
      </w:pPr>
    </w:p>
    <w:p>
      <w:pPr>
        <w:ind w:left="580" w:right="180" w:hanging="335"/>
        <w:spacing w:after="0" w:line="253" w:lineRule="auto"/>
        <w:tabs>
          <w:tab w:leader="none" w:pos="5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5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4" w:lineRule="exact"/>
        <w:rPr>
          <w:sz w:val="20"/>
          <w:szCs w:val="20"/>
          <w:color w:val="auto"/>
        </w:rPr>
      </w:pPr>
    </w:p>
    <w:p>
      <w:pPr>
        <w:ind w:right="160" w:firstLine="40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Service Retirement</w:t>
      </w:r>
      <w:r>
        <w:rPr>
          <w:rFonts w:ascii="Arial" w:cs="Arial" w:eastAsia="Arial" w:hAnsi="Arial"/>
          <w:sz w:val="16"/>
          <w:szCs w:val="16"/>
          <w:color w:val="auto"/>
        </w:rPr>
        <w:t>” 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ectPr>
          <w:pgSz w:w="11900" w:h="16838" w:orient="portrait"/>
          <w:cols w:equalWidth="0" w:num="2">
            <w:col w:w="5480" w:space="460"/>
            <w:col w:w="5460"/>
          </w:cols>
          <w:pgMar w:left="240" w:top="368" w:right="259" w:bottom="1440" w:gutter="0" w:footer="0" w:header="0"/>
        </w:sectPr>
      </w:pPr>
    </w:p>
    <w:bookmarkStart w:id="45" w:name="page46"/>
    <w:bookmarkEnd w:id="45"/>
    <w:p>
      <w:pPr>
        <w:ind w:firstLine="4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Employee</w:t>
      </w:r>
      <w:r>
        <w:rPr>
          <w:rFonts w:ascii="Arial" w:cs="Arial" w:eastAsia="Arial" w:hAnsi="Arial"/>
          <w:sz w:val="17"/>
          <w:szCs w:val="17"/>
          <w:color w:val="auto"/>
        </w:rPr>
        <w:t xml:space="preserve">” </w:t>
      </w:r>
      <w:r>
        <w:rPr>
          <w:rFonts w:ascii="Arial" w:cs="Arial" w:eastAsia="Arial" w:hAnsi="Arial"/>
          <w:sz w:val="17"/>
          <w:szCs w:val="17"/>
          <w:u w:val="single" w:color="auto"/>
          <w:color w:val="auto"/>
        </w:rPr>
        <w:t>means a</w:t>
      </w:r>
      <w:r>
        <w:rPr>
          <w:rFonts w:ascii="Arial" w:cs="Arial" w:eastAsia="Arial" w:hAnsi="Arial"/>
          <w:sz w:val="17"/>
          <w:szCs w:val="17"/>
          <w:color w:val="auto"/>
        </w:rPr>
        <w:t>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7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Normal Retirement</w:t>
      </w:r>
      <w:r>
        <w:rPr>
          <w:rFonts w:ascii="Arial" w:cs="Arial" w:eastAsia="Arial" w:hAnsi="Arial"/>
          <w:sz w:val="17"/>
          <w:szCs w:val="17"/>
          <w:color w:val="auto"/>
        </w:rPr>
        <w:t>” means that the Grantee terminates 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34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80"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40" w:lineRule="exact"/>
        <w:rPr>
          <w:sz w:val="20"/>
          <w:szCs w:val="20"/>
          <w:color w:val="auto"/>
        </w:rPr>
      </w:pPr>
    </w:p>
    <w:p>
      <w:pPr>
        <w:ind w:left="580" w:right="80" w:hanging="329"/>
        <w:spacing w:after="0" w:line="291" w:lineRule="auto"/>
        <w:tabs>
          <w:tab w:leader="none" w:pos="5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6" w:lineRule="exact"/>
        <w:rPr>
          <w:rFonts w:ascii="Arial" w:cs="Arial" w:eastAsia="Arial" w:hAnsi="Arial"/>
          <w:sz w:val="16"/>
          <w:szCs w:val="16"/>
          <w:color w:val="auto"/>
        </w:rPr>
      </w:pPr>
    </w:p>
    <w:p>
      <w:pPr>
        <w:ind w:left="580" w:right="100" w:hanging="329"/>
        <w:spacing w:after="0" w:line="279" w:lineRule="auto"/>
        <w:tabs>
          <w:tab w:leader="none" w:pos="562"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Change in Control is triggered by a merger, consolidation, or reorganization of the Company with or involving any other corporation, the Protected Period shall commence on the date that serious and substantial discussions first take</w:t>
      </w:r>
    </w:p>
    <w:p>
      <w:pPr>
        <w:spacing w:after="0" w:line="37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560"/>
        <w:spacing w:after="0" w:line="354" w:lineRule="auto"/>
        <w:rPr>
          <w:sz w:val="20"/>
          <w:szCs w:val="20"/>
          <w:color w:val="auto"/>
        </w:rPr>
      </w:pPr>
      <w:r>
        <w:rPr>
          <w:rFonts w:ascii="Arial" w:cs="Arial" w:eastAsia="Arial" w:hAnsi="Arial"/>
          <w:sz w:val="16"/>
          <w:szCs w:val="16"/>
          <w:color w:val="auto"/>
        </w:rPr>
        <w:t>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89" w:lineRule="exact"/>
        <w:rPr>
          <w:sz w:val="20"/>
          <w:szCs w:val="20"/>
          <w:color w:val="auto"/>
        </w:rPr>
      </w:pPr>
    </w:p>
    <w:p>
      <w:pPr>
        <w:ind w:left="560" w:hanging="315"/>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w:t>
      </w:r>
    </w:p>
    <w:p>
      <w:pPr>
        <w:spacing w:after="0" w:line="46" w:lineRule="exact"/>
        <w:rPr>
          <w:rFonts w:ascii="Arial" w:cs="Arial" w:eastAsia="Arial" w:hAnsi="Arial"/>
          <w:sz w:val="16"/>
          <w:szCs w:val="16"/>
          <w:color w:val="auto"/>
        </w:rPr>
      </w:pPr>
    </w:p>
    <w:p>
      <w:pPr>
        <w:ind w:left="580" w:right="120" w:hanging="6"/>
        <w:spacing w:after="0" w:line="302" w:lineRule="auto"/>
        <w:tabs>
          <w:tab w:leader="none" w:pos="84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above, the Protected Period shall commence on the date that is six (6) months prior to the Change in Control and shall continue through and including the date of the Change in Control.</w:t>
      </w:r>
    </w:p>
    <w:p>
      <w:pPr>
        <w:spacing w:after="0" w:line="111" w:lineRule="exact"/>
        <w:rPr>
          <w:sz w:val="20"/>
          <w:szCs w:val="20"/>
          <w:color w:val="auto"/>
        </w:rPr>
      </w:pPr>
    </w:p>
    <w:p>
      <w:pPr>
        <w:ind w:right="20" w:firstLine="40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Separation from Service</w:t>
      </w:r>
      <w:r>
        <w:rPr>
          <w:rFonts w:ascii="Arial" w:cs="Arial" w:eastAsia="Arial" w:hAnsi="Arial"/>
          <w:sz w:val="16"/>
          <w:szCs w:val="16"/>
          <w:color w:val="auto"/>
        </w:rPr>
        <w:t>” 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spacing w:after="0" w:line="114" w:lineRule="exact"/>
        <w:rPr>
          <w:sz w:val="20"/>
          <w:szCs w:val="20"/>
          <w:color w:val="auto"/>
        </w:rPr>
      </w:pPr>
    </w:p>
    <w:p>
      <w:pPr>
        <w:ind w:right="80" w:firstLine="40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means the person acquiring a Grantee’s rights to a grant under the Plan by will or by the laws of descent or distribution.</w:t>
      </w:r>
    </w:p>
    <w:p>
      <w:pPr>
        <w:sectPr>
          <w:pgSz w:w="11900" w:h="16838" w:orient="portrait"/>
          <w:cols w:equalWidth="0" w:num="2">
            <w:col w:w="5480" w:space="460"/>
            <w:col w:w="5460"/>
          </w:cols>
          <w:pgMar w:left="240" w:top="364"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NORTHROP GRUMMAN CORPORATION</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TERMS AND CONDITIONS APPLICABLE TO</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2018 RESTRICTED PERFORMANCE STOCK RIGHTS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GRANTED UNDER THE 2011 LONG-TERM INCENTIVE STOCK PLAN</w:t>
      </w:r>
    </w:p>
    <w:p>
      <w:pPr>
        <w:spacing w:after="0" w:line="2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These Terms and Conditions (“Terms”) apply to certain “Restricted Performance Stock Rights” (“RPSRs”) granted by Northrop Grumman Corporation (the “Company”) in 2018 under its 2011 Long-Term Incentive Stock Plan. If you were granted an RPSR award by the Company in 2018,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These Terms apply only with respect to the 2018 RPSR award. If you were granted an RPSR award, you are referred to as the “Grantee” with respect to your award. Capitalized terms are generally defined in Section 12 below if not otherwise defined herein.</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Each RPSR represents a right to receive one share of the Company’s Common Stock, or cash of equivalent value as provided herein subject to vesting as provided herein. The performance period applicable to your award is January 1, 2018 to December 31, 2020 (the “Performance Period”). The target number of RPSRs subject to your award is subject to adjustment as provided herein. The RPSR award is subject to all of the terms and conditions set forth in these Terms, and is further subject to all of the terms and conditions of the Plan, as it may be amended from time to time, and any rules adopted by the Committee, as such rules are in effect from time to time. If you do not formally accept your RPSR award, including these Terms, in accordance with the instructions and time limit set forth in your Grant Letter, you will be deemed to have forfeited your RPSR award.</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Payment of RPSRs</w:t>
      </w:r>
      <w:r>
        <w:rPr>
          <w:rFonts w:ascii="Arial" w:cs="Arial" w:eastAsia="Arial" w:hAnsi="Arial"/>
          <w:sz w:val="18"/>
          <w:szCs w:val="18"/>
          <w:color w:val="auto"/>
        </w:rPr>
        <w:t>.</w:t>
      </w:r>
    </w:p>
    <w:p>
      <w:pPr>
        <w:spacing w:after="0" w:line="189"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i w:val="1"/>
          <w:iCs w:val="1"/>
          <w:color w:val="auto"/>
        </w:rPr>
        <w:t>Performance-Based Vesting of RPSRs</w:t>
      </w:r>
      <w:r>
        <w:rPr>
          <w:rFonts w:ascii="Arial" w:cs="Arial" w:eastAsia="Arial" w:hAnsi="Arial"/>
          <w:sz w:val="17"/>
          <w:szCs w:val="17"/>
          <w:color w:val="auto"/>
        </w:rPr>
        <w:t>. Subject to Sections 2, 3,</w:t>
      </w:r>
      <w:r>
        <w:rPr>
          <w:rFonts w:ascii="Arial" w:cs="Arial" w:eastAsia="Arial" w:hAnsi="Arial"/>
          <w:sz w:val="17"/>
          <w:szCs w:val="17"/>
          <w:b w:val="1"/>
          <w:bCs w:val="1"/>
          <w:color w:val="auto"/>
        </w:rPr>
        <w:t xml:space="preserve"> </w:t>
      </w:r>
      <w:r>
        <w:rPr>
          <w:rFonts w:ascii="Arial" w:cs="Arial" w:eastAsia="Arial" w:hAnsi="Arial"/>
          <w:sz w:val="17"/>
          <w:szCs w:val="17"/>
          <w:color w:val="auto"/>
        </w:rPr>
        <w:t>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143" w:lineRule="exact"/>
        <w:rPr>
          <w:sz w:val="20"/>
          <w:szCs w:val="20"/>
          <w:color w:val="auto"/>
        </w:rPr>
      </w:pPr>
    </w:p>
    <w:p>
      <w:pPr>
        <w:ind w:right="520" w:firstLine="324"/>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Payment of RPSRs</w:t>
      </w:r>
      <w:r>
        <w:rPr>
          <w:rFonts w:ascii="Arial" w:cs="Arial" w:eastAsia="Arial" w:hAnsi="Arial"/>
          <w:sz w:val="18"/>
          <w:szCs w:val="18"/>
          <w:color w:val="auto"/>
        </w:rPr>
        <w:t>. The number of RPSRs payable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conclusion of the Performance Period (“Vested RPSRs”) shall be determined by multiplying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Earnout Percentage by the target number of RPSRs 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3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Grantee shall be entitled to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Dividend Equivalents (if any) with respect to any Vested RPSRs and any RPSRs that vest and become payable pursuant to Section 2 or 6. For purposes of these Terms, “Dividend Equivalents” means the aggregate amount of dividends paid by the Company on a number of shares of Common Stock equivalent to the number of Vested RPSRs (or the number of RPSRs that vest and become payable pursuant to Section 2 or 6) during the period from the beginning of the Performance Period until the date the Vested RPSRs (or the RPSRs that vest and become payable pursuant to Section 2 or 6) are paid, without interest or other adjustments to reflect the time value of money. For these purposes, any Vested RPSRs or RPSRs that vest and become payable pursuant</w:t>
      </w:r>
    </w:p>
    <w:p>
      <w:pPr>
        <w:spacing w:after="0" w:line="368" w:lineRule="exact"/>
        <w:rPr>
          <w:sz w:val="20"/>
          <w:szCs w:val="20"/>
          <w:color w:val="auto"/>
        </w:rPr>
      </w:pPr>
    </w:p>
    <w:p>
      <w:pPr>
        <w:sectPr>
          <w:pgSz w:w="11900" w:h="16838" w:orient="portrait"/>
          <w:cols w:equalWidth="0" w:num="2">
            <w:col w:w="5480" w:space="460"/>
            <w:col w:w="5480"/>
          </w:cols>
          <w:pgMar w:left="240" w:top="121" w:right="2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color w:val="auto"/>
        </w:rPr>
        <w:t>CPC</w:t>
      </w:r>
      <w:r>
        <w:rPr>
          <w:sz w:val="20"/>
          <w:szCs w:val="20"/>
          <w:color w:val="auto"/>
        </w:rPr>
        <w:tab/>
      </w:r>
      <w:r>
        <w:rPr>
          <w:rFonts w:ascii="Arial" w:cs="Arial" w:eastAsia="Arial" w:hAnsi="Arial"/>
          <w:sz w:val="14"/>
          <w:szCs w:val="14"/>
          <w:color w:val="auto"/>
        </w:rPr>
        <w:t>1</w:t>
      </w:r>
    </w:p>
    <w:p>
      <w:pPr>
        <w:sectPr>
          <w:pgSz w:w="11900" w:h="16838" w:orient="portrait"/>
          <w:cols w:equalWidth="0" w:num="1">
            <w:col w:w="11420"/>
          </w:cols>
          <w:pgMar w:left="240" w:top="121" w:right="239" w:bottom="1440" w:gutter="0" w:footer="0" w:header="0"/>
          <w:type w:val="continuous"/>
        </w:sectPr>
      </w:pPr>
    </w:p>
    <w:bookmarkStart w:id="47" w:name="page48"/>
    <w:bookmarkEnd w:id="47"/>
    <w:p>
      <w:pPr>
        <w:ind w:right="60"/>
        <w:spacing w:after="0" w:line="255" w:lineRule="auto"/>
        <w:rPr>
          <w:sz w:val="20"/>
          <w:szCs w:val="20"/>
          <w:color w:val="auto"/>
        </w:rPr>
      </w:pPr>
      <w:r>
        <w:rPr>
          <w:rFonts w:ascii="Arial" w:cs="Arial" w:eastAsia="Arial" w:hAnsi="Arial"/>
          <w:sz w:val="18"/>
          <w:szCs w:val="18"/>
          <w:color w:val="auto"/>
        </w:rPr>
        <w:t>to Section 2 or 6 in excess of the target number of RPSRs subject to the award shall 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4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212" w:lineRule="exact"/>
        <w:rPr>
          <w:sz w:val="20"/>
          <w:szCs w:val="20"/>
          <w:color w:val="auto"/>
        </w:rPr>
      </w:pPr>
    </w:p>
    <w:p>
      <w:pPr>
        <w:ind w:right="60" w:firstLine="324"/>
        <w:spacing w:after="0" w:line="30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RPSRs (and related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spacing w:after="0" w:line="149" w:lineRule="exact"/>
        <w:rPr>
          <w:sz w:val="20"/>
          <w:szCs w:val="20"/>
          <w:color w:val="auto"/>
        </w:rPr>
      </w:pPr>
    </w:p>
    <w:p>
      <w:pPr>
        <w:ind w:firstLine="324"/>
        <w:spacing w:after="0" w:line="33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Termination of Employment Due to Retirement, Death or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The number of RPSRs (and related Dividend Equivalents)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the award shall vest on a prorated basis as provided herein if the Grantee’s employment by the Company and its subsidiaries terminates due to the Grantee’s Early Retirement,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 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 for the full Performance Period. Any RPSRs (and related Dividend Equivalents) subject to the award that do not vest in accordance with this Section 2.2 upon a termination of the Grantee’s employment due to Early Retirement or Normal Retirement (collectively “Retirement”), death or Disability shall terminate immediately upon such termination of employment.</w:t>
      </w:r>
    </w:p>
    <w:p>
      <w:pPr>
        <w:spacing w:after="0" w:line="357"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case of death or Disability (a) the Earnout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Grantee’s Prorated RPSRs (and related Dividend Equivalents) will be deemed to be 100% (target), regardless of actual performance, and (b) payment of the Prorated RPSRs (and related Dividend Equivalents) that vest pursuant to</w:t>
      </w:r>
    </w:p>
    <w:p>
      <w:pPr>
        <w:spacing w:after="0" w:line="200" w:lineRule="exact"/>
        <w:rPr>
          <w:sz w:val="20"/>
          <w:szCs w:val="20"/>
          <w:color w:val="auto"/>
        </w:rPr>
      </w:pPr>
    </w:p>
    <w:p>
      <w:pPr>
        <w:spacing w:after="0" w:line="24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right="340"/>
        <w:spacing w:after="0" w:line="264" w:lineRule="auto"/>
        <w:rPr>
          <w:sz w:val="20"/>
          <w:szCs w:val="20"/>
          <w:color w:val="auto"/>
        </w:rPr>
      </w:pPr>
      <w:r>
        <w:rPr>
          <w:rFonts w:ascii="Arial" w:cs="Arial" w:eastAsia="Arial" w:hAnsi="Arial"/>
          <w:sz w:val="18"/>
          <w:szCs w:val="18"/>
          <w:color w:val="auto"/>
        </w:rPr>
        <w:t>this Section 2.2 will be made within 60 days of the Grantee’s death or Disability, but in no event later than March 15 of the year following the date of the death or Disability.</w:t>
      </w:r>
    </w:p>
    <w:p>
      <w:pPr>
        <w:spacing w:after="0" w:line="181"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i w:val="1"/>
          <w:iCs w:val="1"/>
          <w:color w:val="auto"/>
        </w:rPr>
        <w:t>Retirement in General</w:t>
      </w:r>
      <w:r>
        <w:rPr>
          <w:rFonts w:ascii="Arial" w:cs="Arial" w:eastAsia="Arial" w:hAnsi="Arial"/>
          <w:sz w:val="18"/>
          <w:szCs w:val="18"/>
          <w:color w:val="auto"/>
        </w:rPr>
        <w:t>. Subject to the following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 in the case of Retirement, the Earnout Percentage will be used to calculate the Grantee’s Vested RPSRs, and payment of the Vested RPSRs (and related Dividend Equivalents) will be made in accordance with Section 1.2 above.</w:t>
      </w:r>
    </w:p>
    <w:p>
      <w:pPr>
        <w:spacing w:after="0" w:line="188" w:lineRule="exact"/>
        <w:rPr>
          <w:sz w:val="20"/>
          <w:szCs w:val="20"/>
          <w:color w:val="auto"/>
        </w:rPr>
      </w:pPr>
    </w:p>
    <w:p>
      <w:pPr>
        <w:ind w:right="60" w:firstLine="392"/>
        <w:spacing w:after="0" w:line="285" w:lineRule="auto"/>
        <w:rPr>
          <w:sz w:val="20"/>
          <w:szCs w:val="20"/>
          <w:color w:val="auto"/>
        </w:rPr>
      </w:pPr>
      <w:r>
        <w:rPr>
          <w:rFonts w:ascii="Arial" w:cs="Arial" w:eastAsia="Arial" w:hAnsi="Arial"/>
          <w:sz w:val="16"/>
          <w:szCs w:val="16"/>
          <w:color w:val="auto"/>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w:t>
      </w:r>
    </w:p>
    <w:p>
      <w:pPr>
        <w:spacing w:after="0" w:line="2" w:lineRule="exact"/>
        <w:rPr>
          <w:sz w:val="20"/>
          <w:szCs w:val="20"/>
          <w:color w:val="auto"/>
        </w:rPr>
      </w:pPr>
    </w:p>
    <w:p>
      <w:pPr>
        <w:ind w:firstLine="2"/>
        <w:spacing w:after="0" w:line="266"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93" w:lineRule="exact"/>
        <w:rPr>
          <w:sz w:val="20"/>
          <w:szCs w:val="20"/>
          <w:color w:val="auto"/>
        </w:rPr>
      </w:pPr>
    </w:p>
    <w:p>
      <w:pPr>
        <w:ind w:firstLine="392"/>
        <w:spacing w:after="0" w:line="287" w:lineRule="auto"/>
        <w:rPr>
          <w:sz w:val="20"/>
          <w:szCs w:val="20"/>
          <w:color w:val="auto"/>
        </w:rPr>
      </w:pPr>
      <w:r>
        <w:rPr>
          <w:rFonts w:ascii="Arial" w:cs="Arial" w:eastAsia="Arial" w:hAnsi="Arial"/>
          <w:sz w:val="16"/>
          <w:szCs w:val="16"/>
          <w:i w:val="1"/>
          <w:iCs w:val="1"/>
          <w:color w:val="auto"/>
        </w:rPr>
        <w:t xml:space="preserve">Retirement Due to Government Service. </w:t>
      </w:r>
      <w:r>
        <w:rPr>
          <w:rFonts w:ascii="Arial" w:cs="Arial" w:eastAsia="Arial" w:hAnsi="Arial"/>
          <w:sz w:val="16"/>
          <w:szCs w:val="16"/>
          <w:color w:val="auto"/>
        </w:rPr>
        <w:t>In the case of a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Retirement by the Grantee (a) the Performance Period used to calculate the Grantee’s Vested RPSRs will be deemed to have ended as of the most recent date that performance has been measured by the Company with respect to the RPSRs prior to the Grantee’s Retirement (but in no event shall such date be more than one year before the Grantee’s Retirement), (b) the Earnout Percentage of the Grantee’s Prorated RPSRs (and related Dividend Equivalents) will be determined based on actual performance for that short Performance Period, and (c) payment of the Prorated RPSRs that become Vested RPSRs (and Dividend Equivalents thereon) will be made within 20 days after Retirement.</w:t>
      </w:r>
    </w:p>
    <w:p>
      <w:pPr>
        <w:sectPr>
          <w:pgSz w:w="11900" w:h="16838" w:orient="portrait"/>
          <w:cols w:equalWidth="0" w:num="2">
            <w:col w:w="5480" w:space="460"/>
            <w:col w:w="5480"/>
          </w:cols>
          <w:pgMar w:left="240" w:top="368" w:right="239" w:bottom="1440" w:gutter="0" w:footer="0" w:header="0"/>
        </w:sectPr>
      </w:pPr>
    </w:p>
    <w:bookmarkStart w:id="48" w:name="page49"/>
    <w:bookmarkEnd w:id="48"/>
    <w:p>
      <w:pPr>
        <w:ind w:firstLine="405"/>
        <w:spacing w:after="0" w:line="324"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i w:val="1"/>
          <w:iCs w:val="1"/>
          <w:color w:val="auto"/>
        </w:rPr>
        <w:t>Other Terminations of Employment</w:t>
      </w:r>
      <w:r>
        <w:rPr>
          <w:rFonts w:ascii="Arial" w:cs="Arial" w:eastAsia="Arial" w:hAnsi="Arial"/>
          <w:sz w:val="17"/>
          <w:szCs w:val="17"/>
          <w:color w:val="auto"/>
        </w:rPr>
        <w:t>. Subject to Section 6.2,</w:t>
      </w:r>
      <w:r>
        <w:rPr>
          <w:rFonts w:ascii="Arial" w:cs="Arial" w:eastAsia="Arial" w:hAnsi="Arial"/>
          <w:sz w:val="17"/>
          <w:szCs w:val="17"/>
          <w:b w:val="1"/>
          <w:bCs w:val="1"/>
          <w:color w:val="auto"/>
        </w:rPr>
        <w:t xml:space="preserve"> </w:t>
      </w:r>
      <w:r>
        <w:rPr>
          <w:rFonts w:ascii="Arial" w:cs="Arial" w:eastAsia="Arial" w:hAnsi="Arial"/>
          <w:sz w:val="17"/>
          <w:szCs w:val="17"/>
          <w:color w:val="auto"/>
        </w:rPr>
        <w:t>all RPSRs (and related Dividend Equivalents) subject to the award shall terminate immediately 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32" w:lineRule="exact"/>
        <w:rPr>
          <w:sz w:val="20"/>
          <w:szCs w:val="20"/>
          <w:color w:val="auto"/>
        </w:rPr>
      </w:pPr>
    </w:p>
    <w:p>
      <w:pPr>
        <w:ind w:right="60" w:firstLine="405"/>
        <w:spacing w:after="0" w:line="320"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Leave of Absence</w:t>
      </w:r>
      <w:r>
        <w:rPr>
          <w:rFonts w:ascii="Arial" w:cs="Arial" w:eastAsia="Arial" w:hAnsi="Arial"/>
          <w:sz w:val="17"/>
          <w:szCs w:val="17"/>
          <w:color w:val="auto"/>
        </w:rPr>
        <w:t>. Unless the Committee otherwise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35"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2.4 above,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20" w:lineRule="exact"/>
        <w:rPr>
          <w:sz w:val="20"/>
          <w:szCs w:val="20"/>
          <w:color w:val="auto"/>
        </w:rPr>
      </w:pPr>
    </w:p>
    <w:p>
      <w:pPr>
        <w:ind w:firstLine="405"/>
        <w:spacing w:after="0" w:line="341"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 Retirement treated as provided for in Section 2.2 (subject to Section 6).</w:t>
      </w:r>
    </w:p>
    <w:p>
      <w:pPr>
        <w:spacing w:after="0" w:line="123" w:lineRule="exact"/>
        <w:rPr>
          <w:sz w:val="20"/>
          <w:szCs w:val="20"/>
          <w:color w:val="auto"/>
        </w:rPr>
      </w:pPr>
    </w:p>
    <w:p>
      <w:pPr>
        <w:ind w:right="80" w:firstLine="405"/>
        <w:spacing w:after="0" w:line="329"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Continuance of Employment Required</w:t>
      </w:r>
      <w:r>
        <w:rPr>
          <w:rFonts w:ascii="Arial" w:cs="Arial" w:eastAsia="Arial" w:hAnsi="Arial"/>
          <w:sz w:val="18"/>
          <w:szCs w:val="18"/>
          <w:color w:val="auto"/>
        </w:rPr>
        <w:t>. Except as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2.2, Section 2.4</w:t>
      </w:r>
    </w:p>
    <w:p>
      <w:pPr>
        <w:spacing w:after="0" w:line="200" w:lineRule="exact"/>
        <w:rPr>
          <w:sz w:val="20"/>
          <w:szCs w:val="20"/>
          <w:color w:val="auto"/>
        </w:rPr>
      </w:pPr>
    </w:p>
    <w:p>
      <w:pPr>
        <w:spacing w:after="0" w:line="20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340" w:lineRule="auto"/>
        <w:rPr>
          <w:sz w:val="20"/>
          <w:szCs w:val="20"/>
          <w:color w:val="auto"/>
        </w:rPr>
      </w:pPr>
      <w:r>
        <w:rPr>
          <w:rFonts w:ascii="Arial" w:cs="Arial" w:eastAsia="Arial" w:hAnsi="Arial"/>
          <w:sz w:val="16"/>
          <w:szCs w:val="16"/>
          <w:color w:val="auto"/>
        </w:rPr>
        <w:t>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these Terms,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28" w:lineRule="exact"/>
        <w:rPr>
          <w:sz w:val="20"/>
          <w:szCs w:val="20"/>
          <w:color w:val="auto"/>
        </w:rPr>
      </w:pPr>
    </w:p>
    <w:p>
      <w:pPr>
        <w:ind w:right="120" w:firstLine="405"/>
        <w:spacing w:after="0" w:line="351"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i w:val="1"/>
          <w:iCs w:val="1"/>
          <w:color w:val="auto"/>
        </w:rPr>
        <w:t>Death</w:t>
      </w:r>
      <w:r>
        <w:rPr>
          <w:rFonts w:ascii="Arial" w:cs="Arial" w:eastAsia="Arial" w:hAnsi="Arial"/>
          <w:sz w:val="16"/>
          <w:szCs w:val="16"/>
          <w:color w:val="auto"/>
        </w:rPr>
        <w:t>. In the event of the Grantee’s death subsequent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RPSRs but prior to the delivery of shares or other payment with respect to such RPSRs (and related Dividend Equivalents), the Grantee’s Successor shall be entitled to any payments to which the Grantee would have been entitled under these Terms with respect to such RPSRs.</w:t>
      </w:r>
    </w:p>
    <w:p>
      <w:pPr>
        <w:spacing w:after="0" w:line="86" w:lineRule="exact"/>
        <w:rPr>
          <w:sz w:val="20"/>
          <w:szCs w:val="20"/>
          <w:color w:val="auto"/>
        </w:rPr>
      </w:pPr>
    </w:p>
    <w:p>
      <w:pPr>
        <w:ind w:left="320" w:hanging="318"/>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212" w:lineRule="exact"/>
        <w:rPr>
          <w:sz w:val="20"/>
          <w:szCs w:val="20"/>
          <w:color w:val="auto"/>
        </w:rPr>
      </w:pPr>
    </w:p>
    <w:p>
      <w:pPr>
        <w:ind w:right="40" w:firstLine="405"/>
        <w:spacing w:after="0" w:line="341"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Non-Transferability</w:t>
      </w:r>
      <w:r>
        <w:rPr>
          <w:rFonts w:ascii="Arial" w:cs="Arial" w:eastAsia="Arial" w:hAnsi="Arial"/>
          <w:sz w:val="16"/>
          <w:szCs w:val="16"/>
          <w:color w:val="auto"/>
        </w:rPr>
        <w:t>. The award, as well as the RPSRs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63" w:lineRule="exact"/>
        <w:rPr>
          <w:sz w:val="20"/>
          <w:szCs w:val="20"/>
          <w:color w:val="auto"/>
        </w:rPr>
      </w:pPr>
    </w:p>
    <w:p>
      <w:pPr>
        <w:ind w:right="20" w:firstLine="405"/>
        <w:spacing w:after="0" w:line="321"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i w:val="1"/>
          <w:iCs w:val="1"/>
          <w:color w:val="auto"/>
        </w:rPr>
        <w:t>Forfeiture or Recoupment of Awards</w:t>
      </w:r>
      <w:r>
        <w:rPr>
          <w:rFonts w:ascii="Arial" w:cs="Arial" w:eastAsia="Arial" w:hAnsi="Arial"/>
          <w:sz w:val="17"/>
          <w:szCs w:val="17"/>
          <w:color w:val="auto"/>
        </w:rPr>
        <w:t>. If, prior to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w:t>
      </w:r>
    </w:p>
    <w:p>
      <w:pPr>
        <w:sectPr>
          <w:pgSz w:w="11900" w:h="16838" w:orient="portrait"/>
          <w:cols w:equalWidth="0" w:num="2">
            <w:col w:w="5480" w:space="460"/>
            <w:col w:w="5480"/>
          </w:cols>
          <w:pgMar w:left="240" w:top="391" w:right="239" w:bottom="1440" w:gutter="0" w:footer="0" w:header="0"/>
        </w:sectPr>
      </w:pPr>
    </w:p>
    <w:bookmarkStart w:id="49" w:name="page50"/>
    <w:bookmarkEnd w:id="49"/>
    <w:p>
      <w:pPr>
        <w:ind w:right="20"/>
        <w:spacing w:after="0" w:line="319" w:lineRule="auto"/>
        <w:rPr>
          <w:sz w:val="20"/>
          <w:szCs w:val="20"/>
          <w:color w:val="auto"/>
        </w:rPr>
      </w:pPr>
      <w:r>
        <w:rPr>
          <w:rFonts w:ascii="Arial" w:cs="Arial" w:eastAsia="Arial" w:hAnsi="Arial"/>
          <w:sz w:val="17"/>
          <w:szCs w:val="17"/>
          <w:color w:val="auto"/>
        </w:rPr>
        <w:t>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8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225" w:lineRule="exact"/>
        <w:rPr>
          <w:sz w:val="20"/>
          <w:szCs w:val="20"/>
          <w:color w:val="auto"/>
        </w:rPr>
      </w:pPr>
    </w:p>
    <w:p>
      <w:pPr>
        <w:ind w:firstLine="405"/>
        <w:spacing w:after="0" w:line="317"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i w:val="1"/>
          <w:iCs w:val="1"/>
          <w:color w:val="auto"/>
        </w:rPr>
        <w:t>Corporate Policy Council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You acknowledge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 that as a member of the Corporate Policy Council (“CPC”),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manned and unmanned aircraft, space, C4ISR, cyber, sensors, electronics, through-life support and technical services. Your job responsibilities require that you have a primary office location in Virginia and/or you spend substantial time at the corporate headquarters in Virginia, among other things, attending CPC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these Terms and as consideration for the restrictive covenants set forth in this section 4.</w:t>
      </w:r>
    </w:p>
    <w:p>
      <w:pPr>
        <w:spacing w:after="0" w:line="178" w:lineRule="exact"/>
        <w:rPr>
          <w:sz w:val="20"/>
          <w:szCs w:val="20"/>
          <w:color w:val="auto"/>
        </w:rPr>
      </w:pPr>
    </w:p>
    <w:p>
      <w:pPr>
        <w:jc w:val="both"/>
        <w:ind w:right="40" w:firstLine="324"/>
        <w:spacing w:after="0" w:line="33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twelve (12) months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the termination of Grantee’s employment for any reason (other than a Reduction-in-Force as determined at the Company’s sole discretion)</w:t>
      </w:r>
    </w:p>
    <w:p>
      <w:pPr>
        <w:spacing w:after="0" w:line="1" w:lineRule="exact"/>
        <w:rPr>
          <w:sz w:val="20"/>
          <w:szCs w:val="20"/>
          <w:color w:val="auto"/>
        </w:rPr>
      </w:pPr>
    </w:p>
    <w:p>
      <w:pPr>
        <w:jc w:val="both"/>
        <w:ind w:right="420"/>
        <w:spacing w:after="0" w:line="311" w:lineRule="auto"/>
        <w:rPr>
          <w:sz w:val="20"/>
          <w:szCs w:val="20"/>
          <w:color w:val="auto"/>
        </w:rPr>
      </w:pPr>
      <w:r>
        <w:rPr>
          <w:rFonts w:ascii="Arial" w:cs="Arial" w:eastAsia="Arial" w:hAnsi="Arial"/>
          <w:sz w:val="18"/>
          <w:szCs w:val="18"/>
          <w:color w:val="auto"/>
        </w:rPr>
        <w:t>(“Termination”), you will not, directly or indirectly, oversee, control, participate in, or support the design, operation, research, manufacture, marketing, sale, or</w:t>
      </w:r>
    </w:p>
    <w:p>
      <w:pPr>
        <w:spacing w:after="0" w:line="19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322" w:lineRule="auto"/>
        <w:rPr>
          <w:sz w:val="20"/>
          <w:szCs w:val="20"/>
          <w:color w:val="auto"/>
        </w:rPr>
      </w:pPr>
      <w:r>
        <w:rPr>
          <w:rFonts w:ascii="Arial" w:cs="Arial" w:eastAsia="Arial" w:hAnsi="Arial"/>
          <w:sz w:val="17"/>
          <w:szCs w:val="17"/>
          <w:color w:val="auto"/>
        </w:rPr>
        <w:t>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manned and unmanned aircraft, space, C4ISR, cyber, sensors, electronics, through-life support and technical services.</w:t>
      </w:r>
    </w:p>
    <w:p>
      <w:pPr>
        <w:spacing w:after="0" w:line="172" w:lineRule="exact"/>
        <w:rPr>
          <w:sz w:val="20"/>
          <w:szCs w:val="20"/>
          <w:color w:val="auto"/>
        </w:rPr>
      </w:pPr>
    </w:p>
    <w:p>
      <w:pPr>
        <w:ind w:right="20" w:firstLine="405"/>
        <w:spacing w:after="0" w:line="319"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8"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Non-Solicitation of Employees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twenty-four</w:t>
      </w:r>
    </w:p>
    <w:p>
      <w:pPr>
        <w:spacing w:after="0" w:line="54" w:lineRule="exact"/>
        <w:rPr>
          <w:sz w:val="20"/>
          <w:szCs w:val="20"/>
          <w:color w:val="auto"/>
        </w:rPr>
      </w:pPr>
    </w:p>
    <w:p>
      <w:pPr>
        <w:ind w:right="80" w:firstLine="2"/>
        <w:spacing w:after="0" w:line="325" w:lineRule="auto"/>
        <w:tabs>
          <w:tab w:leader="none" w:pos="3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9" w:lineRule="exact"/>
        <w:rPr>
          <w:sz w:val="20"/>
          <w:szCs w:val="20"/>
          <w:color w:val="auto"/>
        </w:rPr>
      </w:pPr>
    </w:p>
    <w:p>
      <w:pPr>
        <w:ind w:right="40" w:firstLine="405"/>
        <w:spacing w:after="0" w:line="303"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issue or communicate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w:t>
      </w:r>
    </w:p>
    <w:p>
      <w:pPr>
        <w:spacing w:after="0" w:line="215" w:lineRule="exact"/>
        <w:rPr>
          <w:sz w:val="20"/>
          <w:szCs w:val="20"/>
          <w:color w:val="auto"/>
        </w:rPr>
      </w:pPr>
    </w:p>
    <w:p>
      <w:pPr>
        <w:ind w:right="120" w:firstLine="405"/>
        <w:spacing w:after="0" w:line="356"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Sections 4.2, 4.3, or 4.4 by making a written request to the Company’s Chief Human Resources Officer, with such exceptions being considered at the sole discretion of the Company and communicated in writing to you.</w:t>
      </w:r>
    </w:p>
    <w:p>
      <w:pPr>
        <w:spacing w:after="0" w:line="178" w:lineRule="exact"/>
        <w:rPr>
          <w:sz w:val="20"/>
          <w:szCs w:val="20"/>
          <w:color w:val="auto"/>
        </w:rPr>
      </w:pPr>
    </w:p>
    <w:p>
      <w:pPr>
        <w:jc w:val="both"/>
        <w:ind w:right="200" w:firstLine="405"/>
        <w:spacing w:after="0" w:line="330"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Reasonableness.</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that the restrictions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4.2, 4.3, and 4.4 are (i) reasonable and necessary in all respects, including duration, territory and scope of activity, in order to protect the Company’s legitimate business interests, (ii)</w:t>
      </w:r>
    </w:p>
    <w:p>
      <w:pPr>
        <w:sectPr>
          <w:pgSz w:w="11900" w:h="16838" w:orient="portrait"/>
          <w:cols w:equalWidth="0" w:num="2">
            <w:col w:w="5480" w:space="460"/>
            <w:col w:w="5480"/>
          </w:cols>
          <w:pgMar w:left="240" w:top="395" w:right="239" w:bottom="1440" w:gutter="0" w:footer="0" w:header="0"/>
        </w:sectPr>
      </w:pPr>
    </w:p>
    <w:bookmarkStart w:id="50" w:name="page51"/>
    <w:bookmarkEnd w:id="50"/>
    <w:p>
      <w:pPr>
        <w:spacing w:after="0" w:line="4"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that the parties have attempted to limit your right to compete only to the extent necessary to protect the Company’s legitimate business interests, and</w:t>
      </w:r>
    </w:p>
    <w:p>
      <w:pPr>
        <w:spacing w:after="0" w:line="1" w:lineRule="exact"/>
        <w:rPr>
          <w:sz w:val="20"/>
          <w:szCs w:val="20"/>
          <w:color w:val="auto"/>
        </w:rPr>
      </w:pPr>
    </w:p>
    <w:p>
      <w:pPr>
        <w:ind w:right="20" w:firstLine="8"/>
        <w:spacing w:after="0" w:line="301"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5" w:lineRule="exact"/>
        <w:rPr>
          <w:sz w:val="20"/>
          <w:szCs w:val="20"/>
          <w:color w:val="auto"/>
        </w:rPr>
      </w:pPr>
    </w:p>
    <w:p>
      <w:pPr>
        <w:ind w:firstLine="405"/>
        <w:spacing w:after="0" w:line="340"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4.2, 4.3,</w:t>
      </w:r>
      <w:r>
        <w:rPr>
          <w:rFonts w:ascii="Arial" w:cs="Arial" w:eastAsia="Arial" w:hAnsi="Arial"/>
          <w:sz w:val="16"/>
          <w:szCs w:val="16"/>
          <w:b w:val="1"/>
          <w:bCs w:val="1"/>
          <w:color w:val="auto"/>
        </w:rPr>
        <w:t xml:space="preserve"> </w:t>
      </w:r>
      <w:r>
        <w:rPr>
          <w:rFonts w:ascii="Arial" w:cs="Arial" w:eastAsia="Arial" w:hAnsi="Arial"/>
          <w:sz w:val="16"/>
          <w:szCs w:val="16"/>
          <w:color w:val="auto"/>
        </w:rPr>
        <w:t>4.4, 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3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No Stockholder Rights Prior to Issuance</w:t>
      </w:r>
      <w:r>
        <w:rPr>
          <w:rFonts w:ascii="Arial" w:cs="Arial" w:eastAsia="Arial" w:hAnsi="Arial"/>
          <w:sz w:val="16"/>
          <w:szCs w:val="16"/>
          <w:color w:val="auto"/>
        </w:rPr>
        <w:t>.</w:t>
      </w:r>
    </w:p>
    <w:p>
      <w:pPr>
        <w:spacing w:after="0" w:line="21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these Terms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520" w:hanging="518"/>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225" w:lineRule="exact"/>
        <w:rPr>
          <w:sz w:val="20"/>
          <w:szCs w:val="20"/>
          <w:color w:val="auto"/>
        </w:rPr>
      </w:pPr>
    </w:p>
    <w:p>
      <w:pPr>
        <w:ind w:firstLine="405"/>
        <w:spacing w:after="0" w:line="344"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The RPSRs and the shares subject to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19"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i w:val="1"/>
          <w:iCs w:val="1"/>
          <w:color w:val="auto"/>
        </w:rPr>
        <w:t>Possible Acceleration on Change in Control</w:t>
      </w:r>
      <w:r>
        <w:rPr>
          <w:rFonts w:ascii="Arial" w:cs="Arial" w:eastAsia="Arial" w:hAnsi="Arial"/>
          <w:sz w:val="15"/>
          <w:szCs w:val="15"/>
          <w:color w:val="auto"/>
        </w:rPr>
        <w:t>.</w:t>
      </w:r>
    </w:p>
    <w:p>
      <w:pPr>
        <w:spacing w:after="0" w:line="54"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Notwithstanding 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00"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w:t>
      </w:r>
    </w:p>
    <w:p>
      <w:pPr>
        <w:sectPr>
          <w:pgSz w:w="11900" w:h="16838" w:orient="portrait"/>
          <w:cols w:equalWidth="0" w:num="2">
            <w:col w:w="5480" w:space="460"/>
            <w:col w:w="5480"/>
          </w:cols>
          <w:pgMar w:left="240" w:top="391" w:right="239" w:bottom="1440" w:gutter="0" w:footer="0" w:header="0"/>
        </w:sectPr>
      </w:pPr>
    </w:p>
    <w:bookmarkStart w:id="51" w:name="page52"/>
    <w:bookmarkEnd w:id="51"/>
    <w:p>
      <w:pPr>
        <w:ind w:right="20"/>
        <w:spacing w:after="0" w:line="216" w:lineRule="auto"/>
        <w:rPr>
          <w:sz w:val="20"/>
          <w:szCs w:val="20"/>
          <w:color w:val="auto"/>
        </w:rPr>
      </w:pPr>
      <w:r>
        <w:rPr>
          <w:rFonts w:ascii="Arial" w:cs="Arial" w:eastAsia="Arial" w:hAnsi="Arial"/>
          <w:sz w:val="18"/>
          <w:szCs w:val="18"/>
          <w:color w:val="auto"/>
        </w:rPr>
        <w:t>employment, but in no event 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year following the Grantee’s termination of employment.</w:t>
      </w:r>
    </w:p>
    <w:p>
      <w:pPr>
        <w:spacing w:after="0" w:line="186" w:lineRule="exact"/>
        <w:rPr>
          <w:sz w:val="20"/>
          <w:szCs w:val="20"/>
          <w:color w:val="auto"/>
        </w:rPr>
      </w:pPr>
    </w:p>
    <w:p>
      <w:pPr>
        <w:ind w:left="420"/>
        <w:spacing w:after="0"/>
        <w:tabs>
          <w:tab w:leader="none" w:pos="10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w:t>
      </w:r>
    </w:p>
    <w:p>
      <w:pPr>
        <w:spacing w:after="0" w:line="54"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w:t>
      </w:r>
    </w:p>
    <w:p>
      <w:pPr>
        <w:spacing w:after="0" w:line="6" w:lineRule="exact"/>
        <w:rPr>
          <w:sz w:val="20"/>
          <w:szCs w:val="20"/>
          <w:color w:val="auto"/>
        </w:rPr>
      </w:pPr>
    </w:p>
    <w:p>
      <w:pPr>
        <w:ind w:firstLine="8"/>
        <w:spacing w:after="0" w:line="342" w:lineRule="auto"/>
        <w:tabs>
          <w:tab w:leader="none" w:pos="2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98"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In the event the Grantee is entitled to a payment in accordance with the foregoing provisions of this Section 6.3,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w:t>
      </w:r>
    </w:p>
    <w:p>
      <w:pPr>
        <w:spacing w:after="0" w:line="3" w:lineRule="exact"/>
        <w:rPr>
          <w:sz w:val="20"/>
          <w:szCs w:val="20"/>
          <w:color w:val="auto"/>
        </w:rPr>
      </w:pPr>
    </w:p>
    <w:p>
      <w:pPr>
        <w:ind w:right="20" w:firstLine="8"/>
        <w:spacing w:after="0" w:line="286"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spacing w:after="0" w:line="144" w:lineRule="exact"/>
        <w:rPr>
          <w:sz w:val="20"/>
          <w:szCs w:val="20"/>
          <w:color w:val="auto"/>
        </w:rPr>
      </w:pPr>
    </w:p>
    <w:p>
      <w:pPr>
        <w:ind w:left="400" w:hanging="398"/>
        <w:spacing w:after="0"/>
        <w:tabs>
          <w:tab w:leader="none" w:pos="4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12" w:lineRule="exact"/>
        <w:rPr>
          <w:sz w:val="20"/>
          <w:szCs w:val="20"/>
          <w:color w:val="auto"/>
        </w:rPr>
      </w:pPr>
    </w:p>
    <w:p>
      <w:pPr>
        <w:ind w:right="20" w:firstLine="405"/>
        <w:spacing w:after="0" w:line="340"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23" w:lineRule="exact"/>
        <w:rPr>
          <w:sz w:val="20"/>
          <w:szCs w:val="20"/>
          <w:color w:val="auto"/>
        </w:rPr>
      </w:pPr>
    </w:p>
    <w:p>
      <w:pPr>
        <w:ind w:right="140" w:firstLine="405"/>
        <w:spacing w:after="0" w:line="338"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all federal and state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taxes, if any, and other fees and expenses in connection with the issuance of shares in connection with the vesting of the RPSRs.</w:t>
      </w:r>
    </w:p>
    <w:p>
      <w:pPr>
        <w:spacing w:after="0" w:line="119" w:lineRule="exact"/>
        <w:rPr>
          <w:sz w:val="20"/>
          <w:szCs w:val="20"/>
          <w:color w:val="auto"/>
        </w:rPr>
      </w:pPr>
    </w:p>
    <w:p>
      <w:pPr>
        <w:ind w:right="180" w:firstLine="405"/>
        <w:spacing w:after="0" w:line="305"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Compliance</w:t>
      </w:r>
      <w:r>
        <w:rPr>
          <w:rFonts w:ascii="Arial" w:cs="Arial" w:eastAsia="Arial" w:hAnsi="Arial"/>
          <w:sz w:val="18"/>
          <w:szCs w:val="18"/>
          <w:color w:val="auto"/>
        </w:rPr>
        <w:t>. These Terms are designed to be exempt from</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409A, and the Committee shall administer and construe the award, and may amend the Terms of the award, in such a way as to be exempt from and to avoid adverse tax consequences under Code Section 409A.</w:t>
      </w:r>
    </w:p>
    <w:p>
      <w:pPr>
        <w:spacing w:after="0" w:line="143" w:lineRule="exact"/>
        <w:rPr>
          <w:sz w:val="20"/>
          <w:szCs w:val="20"/>
          <w:color w:val="auto"/>
        </w:rPr>
      </w:pPr>
    </w:p>
    <w:p>
      <w:pPr>
        <w:ind w:right="80" w:firstLine="405"/>
        <w:spacing w:after="0" w:line="303"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Unfunded Arrangement</w:t>
      </w:r>
      <w:r>
        <w:rPr>
          <w:rFonts w:ascii="Arial" w:cs="Arial" w:eastAsia="Arial" w:hAnsi="Arial"/>
          <w:sz w:val="18"/>
          <w:szCs w:val="18"/>
          <w:color w:val="auto"/>
        </w:rPr>
        <w:t>. The right of the Grantee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7" w:lineRule="exact"/>
        <w:rPr>
          <w:sz w:val="20"/>
          <w:szCs w:val="20"/>
          <w:color w:val="auto"/>
        </w:rPr>
      </w:pPr>
    </w:p>
    <w:p>
      <w:pPr>
        <w:ind w:firstLine="405"/>
        <w:spacing w:after="0" w:line="321"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i w:val="1"/>
          <w:iCs w:val="1"/>
          <w:color w:val="auto"/>
        </w:rPr>
        <w:t>Code Section 280G</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w:t>
      </w:r>
    </w:p>
    <w:p>
      <w:pPr>
        <w:sectPr>
          <w:pgSz w:w="11900" w:h="16838" w:orient="portrait"/>
          <w:cols w:equalWidth="0" w:num="2">
            <w:col w:w="5480" w:space="460"/>
            <w:col w:w="5460"/>
          </w:cols>
          <w:pgMar w:left="240" w:top="368" w:right="259" w:bottom="1440" w:gutter="0" w:footer="0" w:header="0"/>
        </w:sectPr>
      </w:pPr>
    </w:p>
    <w:bookmarkStart w:id="52" w:name="page53"/>
    <w:bookmarkEnd w:id="52"/>
    <w:p>
      <w:pPr>
        <w:spacing w:after="0" w:line="27"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24"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202" w:lineRule="exact"/>
        <w:rPr>
          <w:sz w:val="20"/>
          <w:szCs w:val="20"/>
          <w:color w:val="auto"/>
        </w:rPr>
      </w:pPr>
    </w:p>
    <w:p>
      <w:pPr>
        <w:ind w:right="20" w:firstLine="392"/>
        <w:spacing w:after="0" w:line="285" w:lineRule="auto"/>
        <w:rPr>
          <w:sz w:val="20"/>
          <w:szCs w:val="20"/>
          <w:color w:val="auto"/>
        </w:rPr>
      </w:pPr>
      <w:r>
        <w:rPr>
          <w:rFonts w:ascii="Arial" w:cs="Arial" w:eastAsia="Arial" w:hAnsi="Arial"/>
          <w:sz w:val="16"/>
          <w:szCs w:val="16"/>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these terms, before arbitration is commenced or concluded, either party may seek injunctive or other provisional equitable relief from a state or federal court in the Commonwealth of Virginia. All court actions or proceedings arising under these terms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31"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Committee has the discretionary authority to determine any questions as to the date when the</w:t>
      </w:r>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ind w:right="60"/>
        <w:spacing w:after="0" w:line="272" w:lineRule="auto"/>
        <w:rPr>
          <w:sz w:val="20"/>
          <w:szCs w:val="20"/>
          <w:color w:val="auto"/>
        </w:rPr>
      </w:pPr>
      <w:r>
        <w:rPr>
          <w:rFonts w:ascii="Arial" w:cs="Arial" w:eastAsia="Arial" w:hAnsi="Arial"/>
          <w:sz w:val="17"/>
          <w:szCs w:val="17"/>
          <w:color w:val="auto"/>
        </w:rPr>
        <w:t>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 absolute discretion of the Committee and shall be conclusive and binding on all persons.</w:t>
      </w:r>
    </w:p>
    <w:p>
      <w:pPr>
        <w:spacing w:after="0" w:line="133" w:lineRule="exact"/>
        <w:rPr>
          <w:sz w:val="20"/>
          <w:szCs w:val="20"/>
          <w:color w:val="auto"/>
        </w:rPr>
      </w:pPr>
    </w:p>
    <w:p>
      <w:pPr>
        <w:ind w:left="400" w:hanging="398"/>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133" w:lineRule="exact"/>
        <w:rPr>
          <w:sz w:val="20"/>
          <w:szCs w:val="20"/>
          <w:color w:val="auto"/>
        </w:rPr>
      </w:pPr>
    </w:p>
    <w:p>
      <w:pPr>
        <w:ind w:left="400" w:hanging="398"/>
        <w:spacing w:after="0"/>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firstLine="392"/>
        <w:spacing w:after="0" w:line="284"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w:t>
      </w:r>
    </w:p>
    <w:p>
      <w:pPr>
        <w:sectPr>
          <w:pgSz w:w="11900" w:h="16838" w:orient="portrait"/>
          <w:cols w:equalWidth="0" w:num="2">
            <w:col w:w="5480" w:space="460"/>
            <w:col w:w="5480"/>
          </w:cols>
          <w:pgMar w:left="240" w:top="368" w:right="239" w:bottom="1440" w:gutter="0" w:footer="0" w:header="0"/>
        </w:sectPr>
      </w:pPr>
    </w:p>
    <w:bookmarkStart w:id="53" w:name="page54"/>
    <w:bookmarkEnd w:id="53"/>
    <w:p>
      <w:pPr>
        <w:spacing w:after="0" w:line="31" w:lineRule="exact"/>
        <w:rPr>
          <w:sz w:val="20"/>
          <w:szCs w:val="20"/>
          <w:color w:val="auto"/>
        </w:rPr>
      </w:pPr>
    </w:p>
    <w:p>
      <w:pPr>
        <w:spacing w:after="0" w:line="319" w:lineRule="auto"/>
        <w:rPr>
          <w:sz w:val="20"/>
          <w:szCs w:val="20"/>
          <w:color w:val="auto"/>
        </w:rPr>
      </w:pPr>
      <w:r>
        <w:rPr>
          <w:rFonts w:ascii="Arial" w:cs="Arial" w:eastAsia="Arial" w:hAnsi="Arial"/>
          <w:sz w:val="17"/>
          <w:szCs w:val="17"/>
          <w:color w:val="auto"/>
        </w:rPr>
        <w:t>upon payment of RPSRs to the extent such payment is made more than one year after such termination of employment. (For purposes of clarity, in such circumstances the holding period requirement will apply as to any shares acquired upon payment of RPSRs within one year after such a termination of employment.) For purposes of this Section 11, the total 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10"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80" w:right="180" w:hanging="329"/>
        <w:spacing w:after="0" w:line="302" w:lineRule="auto"/>
        <w:tabs>
          <w:tab w:leader="none" w:pos="5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3" w:lineRule="exact"/>
        <w:rPr>
          <w:rFonts w:ascii="Arial" w:cs="Arial" w:eastAsia="Arial" w:hAnsi="Arial"/>
          <w:sz w:val="16"/>
          <w:szCs w:val="16"/>
          <w:color w:val="auto"/>
        </w:rPr>
      </w:pPr>
    </w:p>
    <w:p>
      <w:pPr>
        <w:ind w:left="580" w:right="60" w:hanging="329"/>
        <w:spacing w:after="0" w:line="255" w:lineRule="auto"/>
        <w:tabs>
          <w:tab w:leader="none" w:pos="5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18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38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jc w:val="both"/>
        <w:ind w:right="2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37" w:lineRule="exact"/>
        <w:rPr>
          <w:sz w:val="20"/>
          <w:szCs w:val="20"/>
          <w:color w:val="auto"/>
        </w:rPr>
      </w:pPr>
    </w:p>
    <w:p>
      <w:pPr>
        <w:ind w:right="20" w:firstLine="392"/>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Retirement</w:t>
      </w:r>
      <w:r>
        <w:rPr>
          <w:rFonts w:ascii="Arial" w:cs="Arial" w:eastAsia="Arial" w:hAnsi="Arial"/>
          <w:sz w:val="16"/>
          <w:szCs w:val="16"/>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3" w:lineRule="exact"/>
        <w:rPr>
          <w:sz w:val="20"/>
          <w:szCs w:val="20"/>
          <w:color w:val="auto"/>
        </w:rPr>
      </w:pPr>
    </w:p>
    <w:p>
      <w:pPr>
        <w:ind w:right="180" w:firstLine="651"/>
        <w:spacing w:after="0" w:line="250" w:lineRule="auto"/>
        <w:tabs>
          <w:tab w:leader="none" w:pos="10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ind w:right="540" w:firstLine="651"/>
        <w:spacing w:after="0" w:line="250" w:lineRule="auto"/>
        <w:tabs>
          <w:tab w:leader="none" w:pos="10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 w:lineRule="exact"/>
        <w:rPr>
          <w:rFonts w:ascii="Arial" w:cs="Arial" w:eastAsia="Arial" w:hAnsi="Arial"/>
          <w:sz w:val="18"/>
          <w:szCs w:val="18"/>
          <w:color w:val="auto"/>
        </w:rPr>
      </w:pPr>
    </w:p>
    <w:p>
      <w:pPr>
        <w:ind w:right="100" w:firstLine="407"/>
        <w:spacing w:after="0" w:line="302" w:lineRule="auto"/>
        <w:tabs>
          <w:tab w:leader="none" w:pos="8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termination of employment by the Company or a subsidiary as part of a reduction in force and, at the time of such termination, the sum of the Grantee’s age and years of service is at least 75.</w:t>
      </w:r>
    </w:p>
    <w:p>
      <w:pPr>
        <w:spacing w:after="0" w:line="111"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40" w:lineRule="exact"/>
        <w:rPr>
          <w:sz w:val="20"/>
          <w:szCs w:val="20"/>
          <w:color w:val="auto"/>
        </w:rPr>
      </w:pPr>
    </w:p>
    <w:p>
      <w:pPr>
        <w:ind w:right="6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80" w:right="60" w:hanging="335"/>
        <w:spacing w:after="0" w:line="273" w:lineRule="auto"/>
        <w:tabs>
          <w:tab w:leader="none" w:pos="562"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w:t>
      </w:r>
    </w:p>
    <w:p>
      <w:pPr>
        <w:sectPr>
          <w:pgSz w:w="11900" w:h="16838" w:orient="portrait"/>
          <w:cols w:equalWidth="0" w:num="2">
            <w:col w:w="5480" w:space="460"/>
            <w:col w:w="5480"/>
          </w:cols>
          <w:pgMar w:left="240" w:top="364" w:right="239" w:bottom="1440" w:gutter="0" w:footer="0" w:header="0"/>
        </w:sectPr>
      </w:pPr>
    </w:p>
    <w:bookmarkStart w:id="54" w:name="page55"/>
    <w:bookmarkEnd w:id="54"/>
    <w:p>
      <w:pPr>
        <w:ind w:left="329" w:right="40"/>
        <w:spacing w:after="0" w:line="340" w:lineRule="auto"/>
        <w:rPr>
          <w:sz w:val="20"/>
          <w:szCs w:val="20"/>
          <w:color w:val="auto"/>
        </w:rPr>
      </w:pPr>
      <w:r>
        <w:rPr>
          <w:rFonts w:ascii="Arial" w:cs="Arial" w:eastAsia="Arial" w:hAnsi="Arial"/>
          <w:sz w:val="16"/>
          <w:szCs w:val="16"/>
          <w:color w:val="auto"/>
        </w:rPr>
        <w:t>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00" w:lineRule="exact"/>
        <w:rPr>
          <w:sz w:val="20"/>
          <w:szCs w:val="20"/>
          <w:color w:val="auto"/>
        </w:rPr>
      </w:pPr>
    </w:p>
    <w:p>
      <w:pPr>
        <w:ind w:left="329" w:firstLine="554"/>
        <w:spacing w:after="0" w:line="268" w:lineRule="auto"/>
        <w:rPr>
          <w:sz w:val="20"/>
          <w:szCs w:val="20"/>
          <w:color w:val="auto"/>
        </w:rPr>
      </w:pPr>
      <w:r>
        <w:rPr>
          <w:rFonts w:ascii="Arial" w:cs="Arial" w:eastAsia="Arial" w:hAnsi="Arial"/>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45" w:lineRule="exact"/>
        <w:rPr>
          <w:sz w:val="20"/>
          <w:szCs w:val="20"/>
          <w:color w:val="auto"/>
        </w:rPr>
      </w:pPr>
    </w:p>
    <w:p>
      <w:pPr>
        <w:ind w:left="329" w:right="40" w:hanging="329"/>
        <w:spacing w:after="0" w:line="279" w:lineRule="auto"/>
        <w:tabs>
          <w:tab w:leader="none" w:pos="3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0" w:lineRule="exact"/>
        <w:rPr>
          <w:rFonts w:ascii="Arial" w:cs="Arial" w:eastAsia="Arial" w:hAnsi="Arial"/>
          <w:sz w:val="17"/>
          <w:szCs w:val="17"/>
          <w:color w:val="auto"/>
        </w:rPr>
      </w:pPr>
    </w:p>
    <w:p>
      <w:pPr>
        <w:ind w:left="329" w:right="20" w:hanging="329"/>
        <w:spacing w:after="0" w:line="270" w:lineRule="auto"/>
        <w:tabs>
          <w:tab w:leader="none" w:pos="3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ind w:left="560" w:right="260"/>
        <w:spacing w:after="0" w:line="311" w:lineRule="auto"/>
        <w:rPr>
          <w:sz w:val="20"/>
          <w:szCs w:val="20"/>
          <w:color w:val="auto"/>
        </w:rPr>
      </w:pPr>
      <w:r>
        <w:rPr>
          <w:rFonts w:ascii="Arial" w:cs="Arial" w:eastAsia="Arial" w:hAnsi="Arial"/>
          <w:sz w:val="18"/>
          <w:szCs w:val="18"/>
          <w:color w:val="auto"/>
        </w:rPr>
        <w:t>other employees who have positions commensurate with the position held by the Grantee immediately prior to the start of the Protected Period.</w:t>
      </w:r>
    </w:p>
    <w:p>
      <w:pPr>
        <w:spacing w:after="0" w:line="114" w:lineRule="exact"/>
        <w:rPr>
          <w:sz w:val="20"/>
          <w:szCs w:val="20"/>
          <w:color w:val="auto"/>
        </w:rPr>
      </w:pPr>
    </w:p>
    <w:p>
      <w:pPr>
        <w:ind w:left="580" w:right="40" w:hanging="335"/>
        <w:spacing w:after="0" w:line="270" w:lineRule="auto"/>
        <w:tabs>
          <w:tab w:leader="none" w:pos="562"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37" w:lineRule="exact"/>
        <w:rPr>
          <w:rFonts w:ascii="Arial" w:cs="Arial" w:eastAsia="Arial" w:hAnsi="Arial"/>
          <w:sz w:val="17"/>
          <w:szCs w:val="17"/>
          <w:color w:val="auto"/>
        </w:rPr>
      </w:pPr>
    </w:p>
    <w:p>
      <w:pPr>
        <w:ind w:left="580" w:right="200" w:hanging="335"/>
        <w:spacing w:after="0" w:line="253" w:lineRule="auto"/>
        <w:tabs>
          <w:tab w:leader="none" w:pos="5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5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4"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Service Retirement</w:t>
      </w:r>
      <w:r>
        <w:rPr>
          <w:rFonts w:ascii="Arial" w:cs="Arial" w:eastAsia="Arial" w:hAnsi="Arial"/>
          <w:sz w:val="18"/>
          <w:szCs w:val="18"/>
          <w:color w:val="auto"/>
        </w:rPr>
        <w:t>” 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70" w:lineRule="exact"/>
        <w:rPr>
          <w:sz w:val="20"/>
          <w:szCs w:val="20"/>
          <w:color w:val="auto"/>
        </w:rPr>
      </w:pPr>
    </w:p>
    <w:p>
      <w:pPr>
        <w:ind w:right="80" w:firstLine="405"/>
        <w:spacing w:after="0" w:line="345" w:lineRule="auto"/>
        <w:rPr>
          <w:sz w:val="20"/>
          <w:szCs w:val="20"/>
          <w:color w:val="auto"/>
        </w:rPr>
      </w:pPr>
      <w:r>
        <w:rPr>
          <w:rFonts w:ascii="Arial" w:cs="Arial" w:eastAsia="Arial" w:hAnsi="Arial"/>
          <w:sz w:val="16"/>
          <w:szCs w:val="16"/>
          <w:b w:val="1"/>
          <w:bCs w:val="1"/>
          <w:color w:val="auto"/>
        </w:rPr>
        <w:t>“Normal Retirement</w:t>
      </w:r>
      <w:r>
        <w:rPr>
          <w:rFonts w:ascii="Arial" w:cs="Arial" w:eastAsia="Arial" w:hAnsi="Arial"/>
          <w:sz w:val="16"/>
          <w:szCs w:val="16"/>
          <w:color w:val="auto"/>
        </w:rPr>
        <w:t>” means that the Grantee terminates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w:t>
      </w:r>
    </w:p>
    <w:p>
      <w:pPr>
        <w:sectPr>
          <w:pgSz w:w="11900" w:h="16838" w:orient="portrait"/>
          <w:cols w:equalWidth="0" w:num="2">
            <w:col w:w="5229" w:space="460"/>
            <w:col w:w="5480"/>
          </w:cols>
          <w:pgMar w:left="491" w:top="395" w:right="239" w:bottom="1440" w:gutter="0" w:footer="0" w:header="0"/>
        </w:sectPr>
      </w:pPr>
    </w:p>
    <w:bookmarkStart w:id="55" w:name="page56"/>
    <w:bookmarkEnd w:id="55"/>
    <w:p>
      <w:pPr>
        <w:ind w:right="4759"/>
        <w:spacing w:after="0" w:line="277" w:lineRule="auto"/>
        <w:rPr>
          <w:sz w:val="20"/>
          <w:szCs w:val="20"/>
          <w:color w:val="auto"/>
        </w:rPr>
      </w:pPr>
      <w:r>
        <w:rPr>
          <w:rFonts w:ascii="Arial" w:cs="Arial" w:eastAsia="Arial" w:hAnsi="Arial"/>
          <w:sz w:val="18"/>
          <w:szCs w:val="18"/>
          <w:color w:val="auto"/>
        </w:rPr>
        <w:t>other than in connection with a termination by the Company or a subsidiary for Cause).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5079"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4819"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40" w:lineRule="exact"/>
        <w:rPr>
          <w:sz w:val="20"/>
          <w:szCs w:val="20"/>
          <w:color w:val="auto"/>
        </w:rPr>
      </w:pPr>
    </w:p>
    <w:p>
      <w:pPr>
        <w:ind w:left="580" w:right="4819" w:hanging="329"/>
        <w:spacing w:after="0" w:line="291" w:lineRule="auto"/>
        <w:tabs>
          <w:tab w:leader="none" w:pos="5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6" w:lineRule="exact"/>
        <w:rPr>
          <w:rFonts w:ascii="Arial" w:cs="Arial" w:eastAsia="Arial" w:hAnsi="Arial"/>
          <w:sz w:val="16"/>
          <w:szCs w:val="16"/>
          <w:color w:val="auto"/>
        </w:rPr>
      </w:pPr>
    </w:p>
    <w:p>
      <w:pPr>
        <w:ind w:left="580" w:right="4759" w:hanging="329"/>
        <w:spacing w:after="0" w:line="290" w:lineRule="auto"/>
        <w:tabs>
          <w:tab w:leader="none" w:pos="5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5" w:lineRule="exact"/>
        <w:rPr>
          <w:rFonts w:ascii="Arial" w:cs="Arial" w:eastAsia="Arial" w:hAnsi="Arial"/>
          <w:sz w:val="16"/>
          <w:szCs w:val="16"/>
          <w:color w:val="auto"/>
        </w:rPr>
      </w:pPr>
    </w:p>
    <w:p>
      <w:pPr>
        <w:ind w:left="560" w:hanging="309"/>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w:t>
      </w:r>
    </w:p>
    <w:p>
      <w:pPr>
        <w:spacing w:after="0" w:line="46" w:lineRule="exact"/>
        <w:rPr>
          <w:rFonts w:ascii="Arial" w:cs="Arial" w:eastAsia="Arial" w:hAnsi="Arial"/>
          <w:sz w:val="16"/>
          <w:szCs w:val="16"/>
          <w:color w:val="auto"/>
        </w:rPr>
      </w:pPr>
    </w:p>
    <w:p>
      <w:pPr>
        <w:ind w:left="580" w:right="4879"/>
        <w:spacing w:after="0" w:line="302" w:lineRule="auto"/>
        <w:tabs>
          <w:tab w:leader="none" w:pos="845" w:val="left"/>
        </w:tabs>
        <w:numPr>
          <w:ilvl w:val="1"/>
          <w:numId w:val="60"/>
        </w:numPr>
        <w:rPr>
          <w:rFonts w:ascii="Arial" w:cs="Arial" w:eastAsia="Arial" w:hAnsi="Arial"/>
          <w:sz w:val="16"/>
          <w:szCs w:val="16"/>
          <w:color w:val="auto"/>
        </w:rPr>
      </w:pPr>
      <w:r>
        <w:rPr>
          <w:rFonts w:ascii="Arial" w:cs="Arial" w:eastAsia="Arial" w:hAnsi="Arial"/>
          <w:sz w:val="16"/>
          <w:szCs w:val="16"/>
          <w:color w:val="auto"/>
        </w:rPr>
        <w:t>above, the Protected Period shall commence on the date that is six (6) months prior to the Change in Control and shall continue through and include the date of the Change in Control.</w:t>
      </w:r>
    </w:p>
    <w:p>
      <w:pPr>
        <w:spacing w:after="0" w:line="111" w:lineRule="exact"/>
        <w:rPr>
          <w:sz w:val="20"/>
          <w:szCs w:val="20"/>
          <w:color w:val="auto"/>
        </w:rPr>
      </w:pPr>
    </w:p>
    <w:p>
      <w:pPr>
        <w:ind w:right="4839" w:firstLine="40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means the person acquiring a Grantee’s rights to a grant under the Plan by will or by the laws of descent or distribution.</w:t>
      </w:r>
    </w:p>
    <w:p>
      <w:pPr>
        <w:spacing w:after="0" w:line="3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368"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Severance Plan for</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Elected and Appointed Officers of</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Northrop Grumman Corporation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amended and restated effective February 11, 2018</w:t>
      </w:r>
    </w:p>
    <w:p>
      <w:pPr>
        <w:sectPr>
          <w:pgSz w:w="11900" w:h="16838" w:orient="portrait"/>
          <w:cols w:equalWidth="0" w:num="1">
            <w:col w:w="10220"/>
          </w:cols>
          <w:pgMar w:left="1440" w:top="121" w:right="239" w:bottom="1440" w:gutter="0" w:footer="0" w:header="0"/>
        </w:sectPr>
      </w:pPr>
    </w:p>
    <w:bookmarkStart w:id="57" w:name="page58"/>
    <w:bookmarkEnd w:id="57"/>
    <w:p>
      <w:pPr>
        <w:ind w:left="-8" w:right="380" w:firstLine="8"/>
        <w:spacing w:after="0" w:line="281" w:lineRule="auto"/>
        <w:tabs>
          <w:tab w:leader="none" w:pos="519"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Plan. </w:t>
      </w:r>
      <w:r>
        <w:rPr>
          <w:rFonts w:ascii="Arial" w:cs="Arial" w:eastAsia="Arial" w:hAnsi="Arial"/>
          <w:sz w:val="20"/>
          <w:szCs w:val="20"/>
          <w:color w:val="auto"/>
        </w:rPr>
        <w:t>The purpose of the Plan is to provide severance benefits for eligible elected and appointed officers of Northrop</w:t>
      </w:r>
      <w:r>
        <w:rPr>
          <w:rFonts w:ascii="Arial" w:cs="Arial" w:eastAsia="Arial" w:hAnsi="Arial"/>
          <w:sz w:val="20"/>
          <w:szCs w:val="20"/>
          <w:b w:val="1"/>
          <w:bCs w:val="1"/>
          <w:color w:val="auto"/>
        </w:rPr>
        <w:t xml:space="preserve"> </w:t>
      </w:r>
      <w:r>
        <w:rPr>
          <w:rFonts w:ascii="Arial" w:cs="Arial" w:eastAsia="Arial" w:hAnsi="Arial"/>
          <w:sz w:val="20"/>
          <w:szCs w:val="20"/>
          <w:color w:val="auto"/>
        </w:rPr>
        <w:t>Grumman Corporation who reside and work in the United States. The terms of this amended and restated Plan are applicable to Qualifying Terminations that occur on or after February 11, 2018.</w:t>
      </w:r>
    </w:p>
    <w:p>
      <w:pPr>
        <w:spacing w:after="0" w:line="164" w:lineRule="exact"/>
        <w:rPr>
          <w:rFonts w:ascii="Arial" w:cs="Arial" w:eastAsia="Arial" w:hAnsi="Arial"/>
          <w:sz w:val="20"/>
          <w:szCs w:val="20"/>
          <w:b w:val="1"/>
          <w:bCs w:val="1"/>
          <w:color w:val="auto"/>
        </w:rPr>
      </w:pPr>
    </w:p>
    <w:p>
      <w:pPr>
        <w:ind w:left="332" w:hanging="332"/>
        <w:spacing w:after="0"/>
        <w:tabs>
          <w:tab w:leader="none" w:pos="33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The terms defined in this section shall have the meaning given below:</w:t>
      </w:r>
    </w:p>
    <w:p>
      <w:pPr>
        <w:spacing w:after="0" w:line="215" w:lineRule="exact"/>
        <w:rPr>
          <w:rFonts w:ascii="Arial" w:cs="Arial" w:eastAsia="Arial" w:hAnsi="Arial"/>
          <w:sz w:val="20"/>
          <w:szCs w:val="20"/>
          <w:b w:val="1"/>
          <w:bCs w:val="1"/>
          <w:color w:val="auto"/>
        </w:rPr>
      </w:pPr>
    </w:p>
    <w:p>
      <w:pPr>
        <w:ind w:left="772" w:hanging="394"/>
        <w:spacing w:after="0"/>
        <w:tabs>
          <w:tab w:leader="none" w:pos="772"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of Directors of the Company or any successor to the Committee.</w:t>
      </w:r>
    </w:p>
    <w:p>
      <w:pPr>
        <w:spacing w:after="0" w:line="238" w:lineRule="exact"/>
        <w:rPr>
          <w:rFonts w:ascii="Arial" w:cs="Arial" w:eastAsia="Arial" w:hAnsi="Arial"/>
          <w:sz w:val="18"/>
          <w:szCs w:val="18"/>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Northrop Grumman Corporation.</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“CPC” </w:t>
      </w:r>
      <w:r>
        <w:rPr>
          <w:rFonts w:ascii="Arial" w:cs="Arial" w:eastAsia="Arial" w:hAnsi="Arial"/>
          <w:sz w:val="20"/>
          <w:szCs w:val="20"/>
          <w:color w:val="auto"/>
        </w:rPr>
        <w:t>means the Corporate Policy Council.</w:t>
      </w:r>
    </w:p>
    <w:p>
      <w:pPr>
        <w:spacing w:after="0" w:line="215" w:lineRule="exact"/>
        <w:rPr>
          <w:rFonts w:ascii="Arial" w:cs="Arial" w:eastAsia="Arial" w:hAnsi="Arial"/>
          <w:sz w:val="20"/>
          <w:szCs w:val="20"/>
          <w:color w:val="auto"/>
        </w:rPr>
      </w:pPr>
    </w:p>
    <w:p>
      <w:pPr>
        <w:ind w:left="772" w:right="20" w:hanging="394"/>
        <w:spacing w:after="0" w:line="267" w:lineRule="auto"/>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any disability of an Officer recognized as a disability for purposes of the Company’s long-term disability plan,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plan later adopted by the Company in place of such plan.</w:t>
      </w:r>
    </w:p>
    <w:p>
      <w:pPr>
        <w:spacing w:after="0" w:line="163" w:lineRule="exact"/>
        <w:rPr>
          <w:rFonts w:ascii="Arial" w:cs="Arial" w:eastAsia="Arial" w:hAnsi="Arial"/>
          <w:sz w:val="20"/>
          <w:szCs w:val="20"/>
          <w:color w:val="auto"/>
        </w:rPr>
      </w:pPr>
    </w:p>
    <w:p>
      <w:pPr>
        <w:ind w:left="772" w:hanging="394"/>
        <w:spacing w:after="0"/>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“Key Employee” </w:t>
      </w:r>
      <w:r>
        <w:rPr>
          <w:rFonts w:ascii="Arial" w:cs="Arial" w:eastAsia="Arial" w:hAnsi="Arial"/>
          <w:sz w:val="20"/>
          <w:szCs w:val="20"/>
          <w:color w:val="auto"/>
        </w:rPr>
        <w:t>means an employee treated as a “specified employee” as of his Separation from Service under Code</w:t>
      </w:r>
    </w:p>
    <w:p>
      <w:pPr>
        <w:spacing w:after="0" w:line="21" w:lineRule="exact"/>
        <w:rPr>
          <w:rFonts w:ascii="Arial" w:cs="Arial" w:eastAsia="Arial" w:hAnsi="Arial"/>
          <w:sz w:val="20"/>
          <w:szCs w:val="20"/>
          <w:color w:val="auto"/>
        </w:rPr>
      </w:pPr>
    </w:p>
    <w:p>
      <w:pPr>
        <w:ind w:left="772"/>
        <w:spacing w:after="0" w:line="255" w:lineRule="auto"/>
        <w:rPr>
          <w:rFonts w:ascii="Arial" w:cs="Arial" w:eastAsia="Arial" w:hAnsi="Arial"/>
          <w:sz w:val="20"/>
          <w:szCs w:val="20"/>
          <w:color w:val="auto"/>
        </w:rPr>
      </w:pPr>
      <w:r>
        <w:rPr>
          <w:rFonts w:ascii="Arial" w:cs="Arial" w:eastAsia="Arial" w:hAnsi="Arial"/>
          <w:sz w:val="19"/>
          <w:szCs w:val="19"/>
          <w:color w:val="auto"/>
        </w:rPr>
        <w:t>section 409A(a)(2)(B)(i) of the Company or its affiliate (i.e., a key employee (as defined in Code section 416(i) without regard to paragraph (5) thereof)) if the Company’s stock is publicly traded on an established securities market or otherwise. The Company shall determine in accordance with a uniform Company policy which Officers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178" w:lineRule="exact"/>
        <w:rPr>
          <w:rFonts w:ascii="Arial" w:cs="Arial" w:eastAsia="Arial" w:hAnsi="Arial"/>
          <w:sz w:val="20"/>
          <w:szCs w:val="20"/>
          <w:color w:val="auto"/>
        </w:rPr>
      </w:pPr>
    </w:p>
    <w:p>
      <w:pPr>
        <w:ind w:left="772" w:right="460" w:hanging="394"/>
        <w:spacing w:after="0" w:line="267" w:lineRule="auto"/>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“Officer” </w:t>
      </w:r>
      <w:r>
        <w:rPr>
          <w:rFonts w:ascii="Arial" w:cs="Arial" w:eastAsia="Arial" w:hAnsi="Arial"/>
          <w:sz w:val="20"/>
          <w:szCs w:val="20"/>
          <w:color w:val="auto"/>
        </w:rPr>
        <w:t>means an elected or appointed officer of Northrop Grumman Corporation, other than the Company’s Chief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who resides and works in the United States.</w:t>
      </w:r>
    </w:p>
    <w:p>
      <w:pPr>
        <w:spacing w:after="0" w:line="163" w:lineRule="exact"/>
        <w:rPr>
          <w:rFonts w:ascii="Arial" w:cs="Arial" w:eastAsia="Arial" w:hAnsi="Arial"/>
          <w:sz w:val="20"/>
          <w:szCs w:val="20"/>
          <w:color w:val="auto"/>
        </w:rPr>
      </w:pPr>
    </w:p>
    <w:p>
      <w:pPr>
        <w:ind w:left="772" w:right="360" w:hanging="394"/>
        <w:spacing w:after="0" w:line="267" w:lineRule="auto"/>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this Severance Plan for Elected and Appointed Officers of Northrop Grumman Corporation, as it may be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w:t>
      </w:r>
    </w:p>
    <w:p>
      <w:pPr>
        <w:spacing w:after="0" w:line="163" w:lineRule="exact"/>
        <w:rPr>
          <w:rFonts w:ascii="Arial" w:cs="Arial" w:eastAsia="Arial" w:hAnsi="Arial"/>
          <w:sz w:val="20"/>
          <w:szCs w:val="20"/>
          <w:color w:val="auto"/>
        </w:rPr>
      </w:pPr>
    </w:p>
    <w:p>
      <w:pPr>
        <w:ind w:left="772" w:right="20" w:hanging="394"/>
        <w:spacing w:after="0" w:line="280" w:lineRule="auto"/>
        <w:tabs>
          <w:tab w:leader="none" w:pos="772"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means any one of the following (i) an Officer’s involuntary termination of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other than Termination for Cause or mandatory retirement, or (ii) an Officer’s election to terminate employment with the Company in lieu of accepting a downgrade to a non-Officer position or status. “Qualifying Termination” does not include any change in the Officer’s employment status due to any transfer within the Company or to an affiliate, or to a purchaser of assets or a portion of the business of the Company or an affiliate in connection with the purchase, Disability, voluntary termination or normal retirement.</w:t>
      </w:r>
    </w:p>
    <w:p>
      <w:pPr>
        <w:spacing w:after="0" w:line="156" w:lineRule="exact"/>
        <w:rPr>
          <w:rFonts w:ascii="Arial" w:cs="Arial" w:eastAsia="Arial" w:hAnsi="Arial"/>
          <w:sz w:val="18"/>
          <w:szCs w:val="18"/>
          <w:color w:val="auto"/>
        </w:rPr>
      </w:pPr>
    </w:p>
    <w:p>
      <w:pPr>
        <w:ind w:left="772" w:hanging="394"/>
        <w:spacing w:after="0" w:line="253" w:lineRule="auto"/>
        <w:tabs>
          <w:tab w:leader="none" w:pos="772" w:val="left"/>
        </w:tabs>
        <w:numPr>
          <w:ilvl w:val="1"/>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means the Separation Agreement and General Release prepared by the Company at the time of the Officer’s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which may include such terms as the Company deems appropriate, including certain post-employment restrictions as a condition of receiving benefits under the Plan.</w:t>
      </w:r>
    </w:p>
    <w:p>
      <w:pPr>
        <w:sectPr>
          <w:pgSz w:w="11900" w:h="16838" w:orient="portrait"/>
          <w:cols w:equalWidth="0" w:num="1">
            <w:col w:w="11372"/>
          </w:cols>
          <w:pgMar w:left="248" w:top="373" w:right="279" w:bottom="1440" w:gutter="0" w:footer="0" w:header="0"/>
        </w:sectPr>
      </w:pPr>
    </w:p>
    <w:bookmarkStart w:id="58" w:name="page59"/>
    <w:bookmarkEnd w:id="58"/>
    <w:p>
      <w:pPr>
        <w:ind w:left="780" w:right="960" w:hanging="394"/>
        <w:spacing w:after="0" w:line="267" w:lineRule="auto"/>
        <w:tabs>
          <w:tab w:leader="none" w:pos="78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or</w:t>
      </w:r>
      <w:r>
        <w:rPr>
          <w:rFonts w:ascii="Arial" w:cs="Arial" w:eastAsia="Arial" w:hAnsi="Arial"/>
          <w:sz w:val="20"/>
          <w:szCs w:val="20"/>
          <w:b w:val="1"/>
          <w:bCs w:val="1"/>
          <w:color w:val="auto"/>
        </w:rPr>
        <w:t xml:space="preserve"> “Separate from Service” </w:t>
      </w:r>
      <w:r>
        <w:rPr>
          <w:rFonts w:ascii="Arial" w:cs="Arial" w:eastAsia="Arial" w:hAnsi="Arial"/>
          <w:sz w:val="20"/>
          <w:szCs w:val="20"/>
          <w:color w:val="auto"/>
        </w:rPr>
        <w:t>means a “separation from service” within the meaning of Code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w:t>
      </w:r>
    </w:p>
    <w:p>
      <w:pPr>
        <w:spacing w:after="0" w:line="163" w:lineRule="exact"/>
        <w:rPr>
          <w:rFonts w:ascii="Arial" w:cs="Arial" w:eastAsia="Arial" w:hAnsi="Arial"/>
          <w:sz w:val="20"/>
          <w:szCs w:val="20"/>
          <w:color w:val="auto"/>
        </w:rPr>
      </w:pPr>
    </w:p>
    <w:p>
      <w:pPr>
        <w:ind w:left="780" w:hanging="394"/>
        <w:spacing w:after="0"/>
        <w:tabs>
          <w:tab w:leader="none" w:pos="780"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means an Officer’s termination of employment with the Company because of:</w:t>
      </w:r>
    </w:p>
    <w:p>
      <w:pPr>
        <w:spacing w:after="0" w:line="221" w:lineRule="exact"/>
        <w:rPr>
          <w:rFonts w:ascii="Arial" w:cs="Arial" w:eastAsia="Arial" w:hAnsi="Arial"/>
          <w:sz w:val="20"/>
          <w:szCs w:val="20"/>
          <w:color w:val="auto"/>
        </w:rPr>
      </w:pPr>
    </w:p>
    <w:p>
      <w:pPr>
        <w:ind w:left="1180" w:right="60" w:hanging="402"/>
        <w:spacing w:after="0" w:line="246" w:lineRule="auto"/>
        <w:tabs>
          <w:tab w:leader="none" w:pos="1162"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continued failure by the Officer to devote reasonable time and effort to the performance of his duties (other than a failure resulting from the Officer’s incapacity due to physical or mental illness) after written demand for improved performance has been delivered to the Officer by the Company which specifically identifies how the Officer has not devoted reasonable time and effort to the performance of his duties;</w:t>
      </w:r>
    </w:p>
    <w:p>
      <w:pPr>
        <w:spacing w:after="0" w:line="191" w:lineRule="exact"/>
        <w:rPr>
          <w:rFonts w:ascii="Arial" w:cs="Arial" w:eastAsia="Arial" w:hAnsi="Arial"/>
          <w:sz w:val="20"/>
          <w:szCs w:val="20"/>
          <w:color w:val="auto"/>
        </w:rPr>
      </w:pPr>
    </w:p>
    <w:p>
      <w:pPr>
        <w:ind w:left="1160" w:hanging="382"/>
        <w:spacing w:after="0"/>
        <w:tabs>
          <w:tab w:leader="none" w:pos="1160"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willful engaging by Officer in misconduct which is substantially injurious to the Company, monetarily or otherwise; or</w:t>
      </w:r>
    </w:p>
    <w:p>
      <w:pPr>
        <w:spacing w:after="0" w:line="227" w:lineRule="exact"/>
        <w:rPr>
          <w:rFonts w:ascii="Arial" w:cs="Arial" w:eastAsia="Arial" w:hAnsi="Arial"/>
          <w:sz w:val="19"/>
          <w:szCs w:val="19"/>
          <w:color w:val="auto"/>
        </w:rPr>
      </w:pPr>
    </w:p>
    <w:p>
      <w:pPr>
        <w:ind w:left="1180" w:hanging="402"/>
        <w:spacing w:after="0" w:line="260" w:lineRule="auto"/>
        <w:tabs>
          <w:tab w:leader="none" w:pos="1162"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Officer’s conviction for committing an act of fraud, embezzlement, theft, or other act constituting a felony (other than traffic related offenses or as a result of vicarious liability).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 Termination for Cause shall not include a termination attributable to:</w:t>
      </w:r>
    </w:p>
    <w:p>
      <w:pPr>
        <w:spacing w:after="0" w:line="216" w:lineRule="exact"/>
        <w:rPr>
          <w:sz w:val="20"/>
          <w:szCs w:val="20"/>
          <w:color w:val="auto"/>
        </w:rPr>
      </w:pPr>
    </w:p>
    <w:p>
      <w:pPr>
        <w:ind w:left="1160" w:hanging="382"/>
        <w:spacing w:after="0"/>
        <w:tabs>
          <w:tab w:leader="none" w:pos="1160" w:val="left"/>
        </w:tabs>
        <w:numPr>
          <w:ilvl w:val="2"/>
          <w:numId w:val="63"/>
        </w:numPr>
        <w:rPr>
          <w:rFonts w:ascii="Arial" w:cs="Arial" w:eastAsia="Arial" w:hAnsi="Arial"/>
          <w:sz w:val="20"/>
          <w:szCs w:val="20"/>
          <w:color w:val="auto"/>
        </w:rPr>
      </w:pPr>
      <w:r>
        <w:rPr>
          <w:rFonts w:ascii="Arial" w:cs="Arial" w:eastAsia="Arial" w:hAnsi="Arial"/>
          <w:sz w:val="20"/>
          <w:szCs w:val="20"/>
          <w:color w:val="auto"/>
        </w:rPr>
        <w:t>Bad judgment or negligence on the part of the Officer other than habitual negligence; or</w:t>
      </w:r>
    </w:p>
    <w:p>
      <w:pPr>
        <w:spacing w:after="0" w:line="215" w:lineRule="exact"/>
        <w:rPr>
          <w:rFonts w:ascii="Arial" w:cs="Arial" w:eastAsia="Arial" w:hAnsi="Arial"/>
          <w:sz w:val="20"/>
          <w:szCs w:val="20"/>
          <w:color w:val="auto"/>
        </w:rPr>
      </w:pPr>
    </w:p>
    <w:p>
      <w:pPr>
        <w:ind w:left="1180" w:right="60" w:hanging="402"/>
        <w:spacing w:after="0" w:line="260" w:lineRule="auto"/>
        <w:tabs>
          <w:tab w:leader="none" w:pos="1162" w:val="left"/>
        </w:tabs>
        <w:numPr>
          <w:ilvl w:val="2"/>
          <w:numId w:val="63"/>
        </w:numPr>
        <w:rPr>
          <w:rFonts w:ascii="Arial" w:cs="Arial" w:eastAsia="Arial" w:hAnsi="Arial"/>
          <w:sz w:val="20"/>
          <w:szCs w:val="20"/>
          <w:color w:val="auto"/>
        </w:rPr>
      </w:pPr>
      <w:r>
        <w:rPr>
          <w:rFonts w:ascii="Arial" w:cs="Arial" w:eastAsia="Arial" w:hAnsi="Arial"/>
          <w:sz w:val="20"/>
          <w:szCs w:val="20"/>
          <w:color w:val="auto"/>
        </w:rPr>
        <w:t>An act or omission believed by the Officer in good faith to have been in or not opposed to the best interests of the Company and reasonably believed by the Officer to be lawful.</w:t>
      </w:r>
    </w:p>
    <w:p>
      <w:pPr>
        <w:spacing w:after="0" w:line="170" w:lineRule="exact"/>
        <w:rPr>
          <w:rFonts w:ascii="Arial" w:cs="Arial" w:eastAsia="Arial" w:hAnsi="Arial"/>
          <w:sz w:val="20"/>
          <w:szCs w:val="20"/>
          <w:color w:val="auto"/>
        </w:rPr>
      </w:pPr>
    </w:p>
    <w:p>
      <w:pPr>
        <w:ind w:left="340" w:hanging="332"/>
        <w:spacing w:after="0"/>
        <w:tabs>
          <w:tab w:leader="none" w:pos="3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 Requirements.</w:t>
      </w:r>
    </w:p>
    <w:p>
      <w:pPr>
        <w:spacing w:after="0" w:line="221" w:lineRule="exact"/>
        <w:rPr>
          <w:rFonts w:ascii="Arial" w:cs="Arial" w:eastAsia="Arial" w:hAnsi="Arial"/>
          <w:sz w:val="20"/>
          <w:szCs w:val="20"/>
          <w:b w:val="1"/>
          <w:bCs w:val="1"/>
          <w:color w:val="auto"/>
        </w:rPr>
      </w:pPr>
    </w:p>
    <w:p>
      <w:pPr>
        <w:ind w:left="780" w:hanging="394"/>
        <w:spacing w:after="0"/>
        <w:tabs>
          <w:tab w:leader="none" w:pos="7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Benefits under the Plan are subject to the Company’s sole discretion and approval.</w:t>
      </w:r>
    </w:p>
    <w:p>
      <w:pPr>
        <w:spacing w:after="0" w:line="215" w:lineRule="exact"/>
        <w:rPr>
          <w:rFonts w:ascii="Arial" w:cs="Arial" w:eastAsia="Arial" w:hAnsi="Arial"/>
          <w:sz w:val="20"/>
          <w:szCs w:val="20"/>
          <w:color w:val="auto"/>
        </w:rPr>
      </w:pPr>
    </w:p>
    <w:p>
      <w:pPr>
        <w:ind w:left="780" w:hanging="394"/>
        <w:spacing w:after="0"/>
        <w:tabs>
          <w:tab w:leader="none" w:pos="7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be considered to receive benefits under the Plan an Officer must meet the following conditions:</w:t>
      </w:r>
    </w:p>
    <w:p>
      <w:pPr>
        <w:spacing w:after="0" w:line="215" w:lineRule="exact"/>
        <w:rPr>
          <w:rFonts w:ascii="Arial" w:cs="Arial" w:eastAsia="Arial" w:hAnsi="Arial"/>
          <w:sz w:val="20"/>
          <w:szCs w:val="20"/>
          <w:color w:val="auto"/>
        </w:rPr>
      </w:pPr>
    </w:p>
    <w:p>
      <w:pPr>
        <w:ind w:left="1180" w:right="100" w:hanging="402"/>
        <w:spacing w:after="0" w:line="250" w:lineRule="auto"/>
        <w:tabs>
          <w:tab w:leader="none" w:pos="1162"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Officer must experience a Qualifying Termination that results in termination of employment. If, before termination of employment occurs due to the Qualifying Termination event, the Officer voluntarily quits, retires, or experiences a Termination for Cause, the Officer will not receive benefits under this Plan.</w:t>
      </w:r>
    </w:p>
    <w:p>
      <w:pPr>
        <w:spacing w:after="0" w:line="186" w:lineRule="exact"/>
        <w:rPr>
          <w:rFonts w:ascii="Arial" w:cs="Arial" w:eastAsia="Arial" w:hAnsi="Arial"/>
          <w:sz w:val="20"/>
          <w:szCs w:val="20"/>
          <w:color w:val="auto"/>
        </w:rPr>
      </w:pPr>
    </w:p>
    <w:p>
      <w:pPr>
        <w:ind w:left="1160" w:hanging="382"/>
        <w:spacing w:after="0"/>
        <w:tabs>
          <w:tab w:leader="none" w:pos="1160"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Officer must sign the Release.</w:t>
      </w:r>
    </w:p>
    <w:p>
      <w:pPr>
        <w:spacing w:after="0" w:line="209" w:lineRule="exact"/>
        <w:rPr>
          <w:rFonts w:ascii="Arial" w:cs="Arial" w:eastAsia="Arial" w:hAnsi="Arial"/>
          <w:sz w:val="20"/>
          <w:szCs w:val="20"/>
          <w:color w:val="auto"/>
        </w:rPr>
      </w:pPr>
    </w:p>
    <w:p>
      <w:pPr>
        <w:ind w:right="180" w:firstLine="8"/>
        <w:spacing w:after="0" w:line="253" w:lineRule="auto"/>
        <w:tabs>
          <w:tab w:leader="none" w:pos="328"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Upon the Qualifying Termination of any eligible Officer, the terminated Officer shall be entitled to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under the Plan: (a) a lump-sum severance cash payment, (b) an extension of the Officer’s existing medical and dental coverage, (c) a prorated annual cash bonus payment, and (d) certain other fringe benefits.</w:t>
      </w:r>
    </w:p>
    <w:p>
      <w:pPr>
        <w:spacing w:after="0" w:line="183" w:lineRule="exact"/>
        <w:rPr>
          <w:rFonts w:ascii="Arial" w:cs="Arial" w:eastAsia="Arial" w:hAnsi="Arial"/>
          <w:sz w:val="20"/>
          <w:szCs w:val="20"/>
          <w:b w:val="1"/>
          <w:bCs w:val="1"/>
          <w:color w:val="auto"/>
        </w:rPr>
      </w:pPr>
    </w:p>
    <w:p>
      <w:pPr>
        <w:ind w:left="780" w:hanging="394"/>
        <w:spacing w:after="0"/>
        <w:tabs>
          <w:tab w:leader="none" w:pos="78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designated Appendix describes the lump sum severance benefit available to the Officer.</w:t>
      </w:r>
    </w:p>
    <w:p>
      <w:pPr>
        <w:spacing w:after="0" w:line="238" w:lineRule="exact"/>
        <w:rPr>
          <w:rFonts w:ascii="Arial" w:cs="Arial" w:eastAsia="Arial" w:hAnsi="Arial"/>
          <w:sz w:val="18"/>
          <w:szCs w:val="18"/>
          <w:color w:val="auto"/>
        </w:rPr>
      </w:pPr>
    </w:p>
    <w:p>
      <w:pPr>
        <w:ind w:left="780" w:right="60" w:hanging="394"/>
        <w:spacing w:after="0" w:line="250" w:lineRule="auto"/>
        <w:tabs>
          <w:tab w:leader="none" w:pos="780"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the period of time following the Officer’s termination date that is specified in the designated Appendix, provided that for the balance of the month that</w:t>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360" w:right="299" w:bottom="1440" w:gutter="0" w:footer="0" w:header="0"/>
        </w:sectPr>
      </w:pPr>
    </w:p>
    <w:bookmarkStart w:id="59" w:name="page60"/>
    <w:bookmarkEnd w:id="59"/>
    <w:p>
      <w:pPr>
        <w:ind w:left="780" w:right="20"/>
        <w:spacing w:after="0" w:line="303" w:lineRule="auto"/>
        <w:rPr>
          <w:sz w:val="20"/>
          <w:szCs w:val="20"/>
          <w:color w:val="auto"/>
        </w:rPr>
      </w:pPr>
      <w:r>
        <w:rPr>
          <w:rFonts w:ascii="Arial" w:cs="Arial" w:eastAsia="Arial" w:hAnsi="Arial"/>
          <w:sz w:val="18"/>
          <w:szCs w:val="18"/>
          <w:color w:val="auto"/>
        </w:rPr>
        <w:t>includes the Officer’s termination date and for the immediately following month, the coverage will be at no cost to the Officer. Such continuation coverage shall run concurrently with COBRA continuation coverage (or similar state law). The Officer must continue to pay his portion of the cost of this coverage with after-tax dollars. If rates for active employees increase during this continuation period, the contribution amount will increase proportionately. Also, if medical and dental benefits are modified, terminated or changed in any way for active employees during this continuation period the Officer will also be subject to such modification, termination or change. Following the continuation period specified in the designated Appendix the Officer will be eligible to receive COBRA benefits for any remaining portion of the applicable COBRA period (typically 18 months) at normal COBRA rates. The unreimbursed COBRA period (</w:t>
      </w:r>
      <w:r>
        <w:rPr>
          <w:rFonts w:ascii="Arial" w:cs="Arial" w:eastAsia="Arial" w:hAnsi="Arial"/>
          <w:sz w:val="18"/>
          <w:szCs w:val="18"/>
          <w:i w:val="1"/>
          <w:iCs w:val="1"/>
          <w:color w:val="auto"/>
        </w:rPr>
        <w:t>e.g.</w:t>
      </w:r>
      <w:r>
        <w:rPr>
          <w:rFonts w:ascii="Arial" w:cs="Arial" w:eastAsia="Arial" w:hAnsi="Arial"/>
          <w:sz w:val="18"/>
          <w:szCs w:val="18"/>
          <w:color w:val="auto"/>
        </w:rPr>
        <w:t>, the period when the Officer must pay full COBRA rates in order to receive COBRA benefits) starts the first day of the month following the end of the continuation period specified in the designated Appendix.</w:t>
      </w:r>
    </w:p>
    <w:p>
      <w:pPr>
        <w:spacing w:after="0" w:line="160" w:lineRule="exact"/>
        <w:rPr>
          <w:sz w:val="20"/>
          <w:szCs w:val="20"/>
          <w:color w:val="auto"/>
        </w:rPr>
      </w:pPr>
    </w:p>
    <w:p>
      <w:pPr>
        <w:ind w:left="660"/>
        <w:spacing w:after="0" w:line="278" w:lineRule="auto"/>
        <w:rPr>
          <w:sz w:val="20"/>
          <w:szCs w:val="20"/>
          <w:color w:val="auto"/>
        </w:rPr>
      </w:pPr>
      <w:r>
        <w:rPr>
          <w:rFonts w:ascii="Arial" w:cs="Arial" w:eastAsia="Arial" w:hAnsi="Arial"/>
          <w:sz w:val="18"/>
          <w:szCs w:val="18"/>
          <w:i w:val="1"/>
          <w:iCs w:val="1"/>
          <w:color w:val="auto"/>
        </w:rPr>
        <w:t>Example: A Non-CPC Officer receives a layoff notice on June 5, 2017, and his last day of work is June 19, 2017. The Officer’s 18-month COBRA period commences June 20, 2017. The Officer will continue to receive medical and dental coverage from June 20, 2017 through July 31, 2017 at no cost to the Officer. The Officer will continue to receive medical and dental coverage from August 1, 2017 through June 19, 2018, as long as the Officer continues to pay the appropriate active employee contribution. Full COBRA rates will apply to the Officer from June 20, 2018 until the end of the remaining COBRA period on December 19, 2018.</w:t>
      </w:r>
    </w:p>
    <w:p>
      <w:pPr>
        <w:spacing w:after="0" w:line="16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If the Officer is not covered by medical and dental benefits at the time of his termination, this section 4(b) will not apply and no continuation coverage will be offered. No health or welfare benefits other than medical and dental will be continued pursuant to the Plan, including but not limited to disability benefits.</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medical and dental benefits to be provided or payments to be made under this section 4(b) shall be reduced to the extent that the Officer is eligible for benefits or payments for the same occurrence under another employer sponsored plan to which the Officer is entitled because of his employment subsequent to the Qualifying Termination.</w:t>
      </w:r>
    </w:p>
    <w:p>
      <w:pPr>
        <w:spacing w:after="0" w:line="186" w:lineRule="exact"/>
        <w:rPr>
          <w:sz w:val="20"/>
          <w:szCs w:val="20"/>
          <w:color w:val="auto"/>
        </w:rPr>
      </w:pPr>
    </w:p>
    <w:p>
      <w:pPr>
        <w:jc w:val="both"/>
        <w:ind w:right="160"/>
        <w:spacing w:after="0" w:line="263" w:lineRule="auto"/>
        <w:rPr>
          <w:sz w:val="20"/>
          <w:szCs w:val="20"/>
          <w:color w:val="auto"/>
        </w:rPr>
      </w:pPr>
      <w:r>
        <w:rPr>
          <w:rFonts w:ascii="Arial" w:cs="Arial" w:eastAsia="Arial" w:hAnsi="Arial"/>
          <w:sz w:val="19"/>
          <w:szCs w:val="19"/>
          <w:color w:val="auto"/>
        </w:rPr>
        <w:t>To the extent the benefits under this section 4(b) are, or ever become, taxable to the Officer and to the extent the benefits continue beyond the period in which the Officer would be entitled (or would, but for the Plan, be entitled) to COBRA continuation coverage if the Officer elected such coverage and paid the applicable premiums, the Company shall administer such continuation of coverage consistent with the following additional requirements as set forth in Treas. Reg. § 1.409A-3(i)(1)(iv):</w:t>
      </w:r>
    </w:p>
    <w:p>
      <w:pPr>
        <w:spacing w:after="0" w:line="177" w:lineRule="exact"/>
        <w:rPr>
          <w:sz w:val="20"/>
          <w:szCs w:val="20"/>
          <w:color w:val="auto"/>
        </w:rPr>
      </w:pPr>
    </w:p>
    <w:p>
      <w:pPr>
        <w:ind w:left="1160" w:hanging="382"/>
        <w:spacing w:after="0"/>
        <w:tabs>
          <w:tab w:leader="none" w:pos="11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Officer’s eligibility for benefits in one year will not affect Officer’s eligibility for benefits in any other year;</w:t>
      </w:r>
    </w:p>
    <w:p>
      <w:pPr>
        <w:spacing w:after="0" w:line="215" w:lineRule="exact"/>
        <w:rPr>
          <w:rFonts w:ascii="Arial" w:cs="Arial" w:eastAsia="Arial" w:hAnsi="Arial"/>
          <w:sz w:val="20"/>
          <w:szCs w:val="20"/>
          <w:color w:val="auto"/>
        </w:rPr>
      </w:pPr>
    </w:p>
    <w:p>
      <w:pPr>
        <w:ind w:left="1180" w:right="540" w:hanging="402"/>
        <w:spacing w:after="0" w:line="260" w:lineRule="auto"/>
        <w:tabs>
          <w:tab w:leader="none" w:pos="1162"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reimbursement of eligible expenses will be made on or before the last day of the year following the year in which the expense was incurred; and</w:t>
      </w:r>
    </w:p>
    <w:p>
      <w:pPr>
        <w:spacing w:after="0" w:line="176" w:lineRule="exact"/>
        <w:rPr>
          <w:rFonts w:ascii="Arial" w:cs="Arial" w:eastAsia="Arial" w:hAnsi="Arial"/>
          <w:sz w:val="20"/>
          <w:szCs w:val="20"/>
          <w:color w:val="auto"/>
        </w:rPr>
      </w:pPr>
    </w:p>
    <w:p>
      <w:pPr>
        <w:ind w:left="1160" w:hanging="382"/>
        <w:spacing w:after="0"/>
        <w:tabs>
          <w:tab w:leader="none" w:pos="11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Officer’s right to benefits is not subject to liquidation or exchange for another benefit.</w:t>
      </w:r>
    </w:p>
    <w:p>
      <w:pPr>
        <w:spacing w:after="0" w:line="21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the event the preceding sentence applies and the Officer is a Key Employee, provision of these benefits after the COBRA period shall commence on the first day of the seventh month following the Officer’s Separation from Service (or, if earlier, the first day of the month after the Officer’s death).</w:t>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60"/>
          </w:cols>
          <w:pgMar w:left="240" w:top="379" w:right="299" w:bottom="1440" w:gutter="0" w:footer="0" w:header="0"/>
        </w:sectPr>
      </w:pPr>
    </w:p>
    <w:bookmarkStart w:id="60" w:name="page61"/>
    <w:bookmarkEnd w:id="60"/>
    <w:p>
      <w:pPr>
        <w:ind w:left="394" w:hanging="394"/>
        <w:spacing w:after="0" w:line="270" w:lineRule="auto"/>
        <w:tabs>
          <w:tab w:leader="none" w:pos="39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Company Performance Related Payment</w:t>
      </w:r>
      <w:r>
        <w:rPr>
          <w:rFonts w:ascii="Arial" w:cs="Arial" w:eastAsia="Arial" w:hAnsi="Arial"/>
          <w:sz w:val="18"/>
          <w:szCs w:val="18"/>
          <w:color w:val="auto"/>
        </w:rPr>
        <w:t>. The Officer will be eligible for a severance payment equal to a pro-rata portion of the bonus he or she would have received under the Company annual incentive plan in which he or she was a participant for the year in which the Qualifying Termination occurred, in addition to the lump-sum cash severance payment described in section 4(a). For this purpose, the pro-rated bonus (if any) will be based on the applicable annual incentive plan payout formula, with any applicable individual performance factor set at 1.00, prorated from the beginning of the performance period (January 1st) to the Officer’s date of termination. The severance payment contemplated by this Section 4(c) will be paid when the annual bonuses are paid to active employees between February 15 and March 15 of the year following termination. Notwithstanding anything to the contrary in this section 4(c), if the Officer’s bonus opportunity for the fiscal year in which his or her termination occurs is covered by the Company’s Incentive Compensation Plan (or similar successor bonus program designed to comply with the performance-based compensation exception under Section 162(m) of the Code), then the Officer’s severance payment pursuant to this section 4(c) shall not exceed the maximum bonus the Officer would have been entitled to receive under the Company’s Incentive Compensation Plan for that fiscal year, assuming the Officer had been employed through the date bonuses are paid under such plan for that year, and otherwise calculated under the terms of such plan based on actual performance for that fiscal year (but without giving effect to any discretion of the plan administrator to reduce the bonus amount from the maximum otherwise determined in accordance with such plan).</w:t>
      </w:r>
    </w:p>
    <w:p>
      <w:pPr>
        <w:spacing w:after="0" w:line="170" w:lineRule="exact"/>
        <w:rPr>
          <w:rFonts w:ascii="Arial" w:cs="Arial" w:eastAsia="Arial" w:hAnsi="Arial"/>
          <w:sz w:val="18"/>
          <w:szCs w:val="18"/>
          <w:color w:val="auto"/>
        </w:rPr>
      </w:pPr>
    </w:p>
    <w:p>
      <w:pPr>
        <w:ind w:left="394" w:right="900" w:hanging="394"/>
        <w:spacing w:after="0" w:line="260" w:lineRule="auto"/>
        <w:tabs>
          <w:tab w:leader="none" w:pos="394"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Other Fringe Benefits</w:t>
      </w:r>
      <w:r>
        <w:rPr>
          <w:rFonts w:ascii="Arial" w:cs="Arial" w:eastAsia="Arial" w:hAnsi="Arial"/>
          <w:sz w:val="20"/>
          <w:szCs w:val="20"/>
          <w:color w:val="auto"/>
        </w:rPr>
        <w:t>. All reimbursements will be within the limits established in the Executive Perquisite Program. These perquisites will cease as of the date of termination except for the following:</w:t>
      </w:r>
    </w:p>
    <w:p>
      <w:pPr>
        <w:spacing w:after="0" w:line="176" w:lineRule="exact"/>
        <w:rPr>
          <w:rFonts w:ascii="Arial" w:cs="Arial" w:eastAsia="Arial" w:hAnsi="Arial"/>
          <w:sz w:val="20"/>
          <w:szCs w:val="20"/>
          <w:color w:val="auto"/>
        </w:rPr>
      </w:pPr>
    </w:p>
    <w:p>
      <w:pPr>
        <w:ind w:left="794" w:right="100" w:hanging="402"/>
        <w:spacing w:after="0" w:line="270" w:lineRule="auto"/>
        <w:tabs>
          <w:tab w:leader="none" w:pos="77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Financial Planning</w:t>
      </w:r>
      <w:r>
        <w:rPr>
          <w:rFonts w:ascii="Arial" w:cs="Arial" w:eastAsia="Arial" w:hAnsi="Arial"/>
          <w:sz w:val="18"/>
          <w:szCs w:val="18"/>
          <w:color w:val="auto"/>
        </w:rPr>
        <w:t>. If an Officer is eligible for financial planning reimbursement at the time of termination, the Officer will be reimbursed for any financial planning fees as specified in the designated Appendix. For these purposes, “financial planning reimbursement” includes any income tax preparation fee reimbursement the Officer may be entitled to under the financial planning reimbursement terms and conditions applicable to the Officer at the time of termination. The financial planning (including income tax preparation fee) reimbursements contemplated by the Appendices are subject to any other applicable limitations that may apply under the financial planning reimbursement terms and conditions applicable to the Officer at the time of termination (for example, and without limitation, annual caps on amounts that may be used in connection with income tax preparation). All such reimbursements pursuant to this section 4(d)(i) shall be administered consistent with the following additional requirements as set forth in Treas. Reg. § 1.409A-3(i)(1)(iv): (1) Officer’s eligibility for benefits in one year will not affect Officer’s eligibility for benefits in any other year; (2) any reimbursement of eligible expenses will be made on or before the last day of the year following the year in which the expense was incurred; and (3) Officer’s right to benefits is not subject to liquidation or exchange for another benefit. In addition, no reimbursements shall be made to an Officer who is a Key Employee for six months following the Officer’s Separation from Service.</w:t>
      </w:r>
    </w:p>
    <w:p>
      <w:pPr>
        <w:spacing w:after="0" w:line="173" w:lineRule="exact"/>
        <w:rPr>
          <w:rFonts w:ascii="Arial" w:cs="Arial" w:eastAsia="Arial" w:hAnsi="Arial"/>
          <w:sz w:val="18"/>
          <w:szCs w:val="18"/>
          <w:color w:val="auto"/>
        </w:rPr>
      </w:pPr>
    </w:p>
    <w:p>
      <w:pPr>
        <w:ind w:left="794" w:right="20" w:hanging="402"/>
        <w:spacing w:after="0" w:line="246" w:lineRule="auto"/>
        <w:tabs>
          <w:tab w:leader="none" w:pos="776"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Outplacement Service</w:t>
      </w:r>
      <w:r>
        <w:rPr>
          <w:rFonts w:ascii="Arial" w:cs="Arial" w:eastAsia="Arial" w:hAnsi="Arial"/>
          <w:sz w:val="20"/>
          <w:szCs w:val="20"/>
          <w:color w:val="auto"/>
        </w:rPr>
        <w:t>. The Officer will be reimbursed for the cost of reasonable outplacement services provided by the Company’s outplacement service provider for services provided within one year after the Officer’s date of termination; provided, however, that the total reimbursement shall be limited to an amount equal to fifteen percent (15%) of the Officer’s base salary as of the date of termination. All services will be subject</w:t>
      </w:r>
    </w:p>
    <w:p>
      <w:pPr>
        <w:spacing w:after="0" w:line="200" w:lineRule="exact"/>
        <w:rPr>
          <w:sz w:val="20"/>
          <w:szCs w:val="20"/>
          <w:color w:val="auto"/>
        </w:rPr>
      </w:pPr>
    </w:p>
    <w:p>
      <w:pPr>
        <w:spacing w:after="0" w:line="383" w:lineRule="exact"/>
        <w:rPr>
          <w:sz w:val="20"/>
          <w:szCs w:val="20"/>
          <w:color w:val="auto"/>
        </w:rPr>
      </w:pPr>
    </w:p>
    <w:p>
      <w:pPr>
        <w:ind w:left="383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34"/>
          </w:cols>
          <w:pgMar w:left="626" w:top="366" w:right="239" w:bottom="1440" w:gutter="0" w:footer="0" w:header="0"/>
        </w:sectPr>
      </w:pPr>
    </w:p>
    <w:bookmarkStart w:id="61" w:name="page62"/>
    <w:bookmarkEnd w:id="61"/>
    <w:p>
      <w:pPr>
        <w:ind w:left="1152" w:right="220"/>
        <w:spacing w:after="0" w:line="289" w:lineRule="auto"/>
        <w:rPr>
          <w:sz w:val="20"/>
          <w:szCs w:val="20"/>
          <w:color w:val="auto"/>
        </w:rPr>
      </w:pPr>
      <w:r>
        <w:rPr>
          <w:rFonts w:ascii="Arial" w:cs="Arial" w:eastAsia="Arial" w:hAnsi="Arial"/>
          <w:sz w:val="20"/>
          <w:szCs w:val="20"/>
          <w:color w:val="auto"/>
        </w:rPr>
        <w:t>to the current contract with the provider, and all such expenses shall be reimbursed as soon as practicable, but in no event later than the end of the year following the year the Officer Separates from Service.</w:t>
      </w:r>
    </w:p>
    <w:p>
      <w:pPr>
        <w:spacing w:after="0" w:line="162" w:lineRule="exact"/>
        <w:rPr>
          <w:sz w:val="20"/>
          <w:szCs w:val="20"/>
          <w:color w:val="auto"/>
        </w:rPr>
      </w:pPr>
    </w:p>
    <w:p>
      <w:pPr>
        <w:ind w:left="772" w:right="20" w:hanging="394"/>
        <w:spacing w:after="0" w:line="273" w:lineRule="auto"/>
        <w:tabs>
          <w:tab w:leader="none" w:pos="77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Time and Form of Payment</w:t>
      </w:r>
      <w:r>
        <w:rPr>
          <w:rFonts w:ascii="Arial" w:cs="Arial" w:eastAsia="Arial" w:hAnsi="Arial"/>
          <w:sz w:val="18"/>
          <w:szCs w:val="18"/>
          <w:color w:val="auto"/>
        </w:rPr>
        <w:t>. The severance benefits under section 4(a) will be paid to the eligible Officer in a lump sum as soon as practicable following the Officer’s Separation from Service, but in no event beyond thirty (30) days from such date, provided the Officer signs the Release within twenty one (21) days following the Officer’s Separation from Service. Notwithstanding the foregoing, if the Officer is a Key Employee, the lump sum payment shall be made on or within thirty (30) days after the first day of the seventh month following the Officer’s Separation from Service (or, if earlier, the first day of the month after the Officer’s death), provided the Officer signs the Release within twenty-one (21) days following the Officer’s Separation from Service. This amount will be paid after all regular taxes and withholdings have been deducted. No payment made pursuant to the Plan is eligible compensation under any of the Company’s benefit plans, including without limitation, pension, savings, or deferred compensation plans.</w:t>
      </w:r>
    </w:p>
    <w:p>
      <w:pPr>
        <w:spacing w:after="0" w:line="163" w:lineRule="exact"/>
        <w:rPr>
          <w:rFonts w:ascii="Arial" w:cs="Arial" w:eastAsia="Arial" w:hAnsi="Arial"/>
          <w:sz w:val="18"/>
          <w:szCs w:val="18"/>
          <w:color w:val="auto"/>
        </w:rPr>
      </w:pPr>
    </w:p>
    <w:p>
      <w:pPr>
        <w:ind w:left="-8" w:firstLine="8"/>
        <w:spacing w:after="0" w:line="269" w:lineRule="auto"/>
        <w:tabs>
          <w:tab w:leader="none" w:pos="3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Plan Benefits. </w:t>
      </w:r>
      <w:r>
        <w:rPr>
          <w:rFonts w:ascii="Arial" w:cs="Arial" w:eastAsia="Arial" w:hAnsi="Arial"/>
          <w:sz w:val="18"/>
          <w:szCs w:val="18"/>
          <w:color w:val="auto"/>
        </w:rPr>
        <w:t>Notwithstanding anything contained in this Plan to the contrary, if upon or following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or effective control” of the Company or in the “ownership of a substantial portion of the assets” of the Company (each within the meaning of Section 280G of the Code), the tax imposed by Section 4999 of the Code or any similar or successor tax (the “Excise Tax”) applies, solely because of such transaction, to any payments, benefits and/or amounts received by the Officer pursuant to the Plan or otherwise, including, without limitation, any amounts received, or deemed received within the meaning of any provision of the Code, by the Officer as a result of (and not by way of limitation) any automatic vesting, lapse of restrictions and/or accelerated target or performance achievement provisions, or otherwise, applicable to outstanding grants or awards to the Officer under any of the Company’s incentive plans, including without limitation, the 2001 Long-Term Incentive Stock Plan and the 1993 Long Term Incentive Stock Plan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Officer is greater after giving effect to such reduction than if no such reduction had been made. If such a reduction is required, the Company shall reduce or eliminate the Total Payments by first reducing or eliminating any cash severance benefits, then by reducing or eliminating any accelerated vesting of stock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 The preceding provisions of this section 5 shall take precedence over the provisions of any other plan, arrangement or agreement governing the Officer’s rights and entitlements to any benefits or compensation.</w:t>
      </w:r>
    </w:p>
    <w:p>
      <w:pPr>
        <w:spacing w:after="0" w:line="175" w:lineRule="exact"/>
        <w:rPr>
          <w:rFonts w:ascii="Arial" w:cs="Arial" w:eastAsia="Arial" w:hAnsi="Arial"/>
          <w:sz w:val="18"/>
          <w:szCs w:val="18"/>
          <w:b w:val="1"/>
          <w:bCs w:val="1"/>
          <w:color w:val="auto"/>
        </w:rPr>
      </w:pPr>
    </w:p>
    <w:p>
      <w:pPr>
        <w:ind w:left="-8" w:right="120" w:firstLine="8"/>
        <w:spacing w:after="0" w:line="318" w:lineRule="auto"/>
        <w:tabs>
          <w:tab w:leader="none" w:pos="32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Offset for Other Benefits Received. </w:t>
      </w:r>
      <w:r>
        <w:rPr>
          <w:rFonts w:ascii="Arial" w:cs="Arial" w:eastAsia="Arial" w:hAnsi="Arial"/>
          <w:sz w:val="16"/>
          <w:szCs w:val="16"/>
          <w:color w:val="auto"/>
        </w:rPr>
        <w:t>The benefits under the Plan are in lieu of, and not in addition to, any other severance or separation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for which the Officer is eligible under any Company plan, policy or arrangements (including but not limited to, severance benefits provided under any employment agreement, retention incentive agreement, or similar benefits under any individual change in control agreements, plans, policies, arrangements and change in control agreements of acquired companies or business units) (collectively, “severance plans”). If an Officer receives any benefit under any severance plan, such benefit shall cause a corresponding reduction in benefits under this Plan. If, despite any release that the Officer signs in connection with the Plan, such Officer is later awarded and receives benefits</w:t>
      </w:r>
    </w:p>
    <w:p>
      <w:pPr>
        <w:spacing w:after="0" w:line="200" w:lineRule="exact"/>
        <w:rPr>
          <w:sz w:val="20"/>
          <w:szCs w:val="20"/>
          <w:color w:val="auto"/>
        </w:rPr>
      </w:pPr>
    </w:p>
    <w:p>
      <w:pPr>
        <w:spacing w:after="0" w:line="329"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92"/>
          </w:cols>
          <w:pgMar w:left="248" w:top="379" w:right="259" w:bottom="1440" w:gutter="0" w:footer="0" w:header="0"/>
        </w:sectPr>
      </w:pPr>
    </w:p>
    <w:bookmarkStart w:id="62" w:name="page63"/>
    <w:bookmarkEnd w:id="62"/>
    <w:p>
      <w:pPr>
        <w:ind w:right="280"/>
        <w:spacing w:after="0" w:line="250" w:lineRule="auto"/>
        <w:rPr>
          <w:sz w:val="20"/>
          <w:szCs w:val="20"/>
          <w:color w:val="auto"/>
        </w:rPr>
      </w:pPr>
      <w:r>
        <w:rPr>
          <w:rFonts w:ascii="Arial" w:cs="Arial" w:eastAsia="Arial" w:hAnsi="Arial"/>
          <w:sz w:val="20"/>
          <w:szCs w:val="20"/>
          <w:color w:val="auto"/>
        </w:rPr>
        <w:t>under any other severance plan(s), any benefits that the Officer receives under the Plan will be treated as having been received under those other severance plans for purposes of calculating total benefits received under those other severance plans (that is, benefits under those other severance plans will be reduced by amounts received under the Plan).</w:t>
      </w:r>
    </w:p>
    <w:p>
      <w:pPr>
        <w:spacing w:after="0" w:line="180" w:lineRule="exact"/>
        <w:rPr>
          <w:sz w:val="20"/>
          <w:szCs w:val="20"/>
          <w:color w:val="auto"/>
        </w:rPr>
      </w:pPr>
    </w:p>
    <w:p>
      <w:pPr>
        <w:ind w:right="320" w:firstLine="8"/>
        <w:spacing w:after="0" w:line="273" w:lineRule="auto"/>
        <w:tabs>
          <w:tab w:leader="none" w:pos="328"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Administration. </w:t>
      </w:r>
      <w:r>
        <w:rPr>
          <w:rFonts w:ascii="Arial" w:cs="Arial" w:eastAsia="Arial" w:hAnsi="Arial"/>
          <w:sz w:val="19"/>
          <w:szCs w:val="19"/>
          <w:color w:val="auto"/>
        </w:rPr>
        <w:t>The Plan shall be administered by the Benefit Plans Administrative Committee (the “Plan Administrator”).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has sole and absolute discretion to interpret the terms of the Plan, eligibility for benefits, and determine questions of fact. The Plan Administrator may delegate any of its duties or authority to any individual or entity.</w:t>
      </w:r>
    </w:p>
    <w:p>
      <w:pPr>
        <w:spacing w:after="0" w:line="159" w:lineRule="exact"/>
        <w:rPr>
          <w:rFonts w:ascii="Arial" w:cs="Arial" w:eastAsia="Arial" w:hAnsi="Arial"/>
          <w:sz w:val="19"/>
          <w:szCs w:val="19"/>
          <w:b w:val="1"/>
          <w:bCs w:val="1"/>
          <w:color w:val="auto"/>
        </w:rPr>
      </w:pPr>
    </w:p>
    <w:p>
      <w:pPr>
        <w:ind w:left="340" w:hanging="332"/>
        <w:spacing w:after="0"/>
        <w:tabs>
          <w:tab w:leader="none" w:pos="34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Claims and Appeals Procedures.</w:t>
      </w:r>
    </w:p>
    <w:p>
      <w:pPr>
        <w:spacing w:after="0" w:line="2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i w:val="1"/>
          <w:iCs w:val="1"/>
          <w:u w:val="single" w:color="auto"/>
          <w:color w:val="auto"/>
        </w:rPr>
        <w:t>Claims Procedure</w:t>
      </w:r>
      <w:r>
        <w:rPr>
          <w:rFonts w:ascii="Arial" w:cs="Arial" w:eastAsia="Arial" w:hAnsi="Arial"/>
          <w:sz w:val="20"/>
          <w:szCs w:val="20"/>
          <w:color w:val="auto"/>
        </w:rPr>
        <w:t>. If an Officer believes that he or she is entitled to benefits under the Plan and has not received them, the Officer or his</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authorized representative (each, a “claimant”) may file a claim for benefits. The Vice President of Compensation and Benefits decides claims for benefits under the Plan. The claimant must submit the written claim to the following address: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Vice President of Compensation and Benefits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letter must state the reason why the claimant believes the Officer is entitled to benefits, and the letter must be received no later than 90 days after the Officer’s termination of employment, or 90 days after a payment was due, whichever comes first.</w:t>
      </w:r>
    </w:p>
    <w:p>
      <w:pPr>
        <w:spacing w:after="0" w:line="17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If the claim is denied, in whole or in part, the claimant will receive a written response within 90 days. This response will include (i) the reason(s) for the denial, (ii) reference(s) to the specific Plan provisions on which denial is based, (iii) a description of any additional information necessary to perfect the claim, and (iv) a description of the Plan’s claims and appeals procedures. In some cases more than 90 days may be needed to make a decision, in which case the claimant will be notified prior to the expiration of the 90 days that more time is needed to review the claim and the date by which the Plan expects to render the decision. In no event will the extension be for more than an additional 90 days.</w:t>
      </w:r>
    </w:p>
    <w:p>
      <w:pPr>
        <w:spacing w:after="0" w:line="196"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i w:val="1"/>
          <w:iCs w:val="1"/>
          <w:u w:val="single" w:color="auto"/>
          <w:color w:val="auto"/>
        </w:rPr>
        <w:t>Appeal of Denied Claim</w:t>
      </w:r>
      <w:r>
        <w:rPr>
          <w:rFonts w:ascii="Arial" w:cs="Arial" w:eastAsia="Arial" w:hAnsi="Arial"/>
          <w:sz w:val="18"/>
          <w:szCs w:val="18"/>
          <w:color w:val="auto"/>
        </w:rPr>
        <w:t>. The claimant may appeal a denied claim by filing an appeal with the Benefit Plans Administrative Committee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60 days after the claim is denied. The written appeal should be sent to the Benefit Plans Administrative Committee at the following address: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Benefit Plans Administrative Committee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21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As part of the appeal process the claimant will be given the opportunity to submit written comments and information and be provided, upon request and free or charge, with copies of documents and other information relevant to the claim. The review on appeal will take into account all information submitted on appeal, whether or not it was submitted or considered in the initial benefit determination. A decision will be made on the appeal within 60 days, unless additional time is needed. If more time is needed, the claimant will be notified prior to the expiration of the 60 days that up to an additional 60 days is needed and the date by which the Plan expects to render the decision. If the claim is denied, in whole or in part,</w:t>
      </w: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63" w:name="page64"/>
    <w:bookmarkEnd w:id="63"/>
    <w:p>
      <w:pPr>
        <w:ind w:right="260"/>
        <w:spacing w:after="0" w:line="291" w:lineRule="auto"/>
        <w:rPr>
          <w:sz w:val="20"/>
          <w:szCs w:val="20"/>
          <w:color w:val="auto"/>
        </w:rPr>
      </w:pPr>
      <w:r>
        <w:rPr>
          <w:rFonts w:ascii="Arial" w:cs="Arial" w:eastAsia="Arial" w:hAnsi="Arial"/>
          <w:sz w:val="18"/>
          <w:szCs w:val="18"/>
          <w:color w:val="auto"/>
        </w:rPr>
        <w:t>on appeal the claimant will receive a written response which will include (i) the reason(s) for the denial, (ii) references to the specific Plan provisions on which the denial is based, (iii) a statement that the claimant is entitled to receive, upon request and free of charge, copies of all documents and other information relevant to the claim on appeal, and (iv) a description of the Plan’s claims and appeals procedures.</w:t>
      </w:r>
    </w:p>
    <w:p>
      <w:pPr>
        <w:spacing w:after="0" w:line="15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If the claim is denied on appeal, the Officer has the right to bring an action under Section 502(a) of the Employee Retirement Income Security Act of 1974, as amended. Any claimant must pursue all claims and appeals procedures described in the Plan document before seeking any other legal recourse with respect to Plan benefits. In addition, any lawsuit must be filed within six months from the date of the denied appeal, or two years from the Officer’s termination date, whichever occurs first.</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exercising their authority and responsibility for deciding claims and appeals, the Vice President of Compensation and Benefits (claims) and the Benefit Plans Administrative Committee (appeals) each have full discretionary authority, including, without limitation, authority to construe the terms of the Plan and to make factual determinations. Their determinations and actions will be conclusive and binding on all persons, and no determination or action will be modified by a court unless the determination or action is proven to be arbitrary or capricious.</w:t>
      </w:r>
    </w:p>
    <w:p>
      <w:pPr>
        <w:spacing w:after="0" w:line="156" w:lineRule="exact"/>
        <w:rPr>
          <w:sz w:val="20"/>
          <w:szCs w:val="20"/>
          <w:color w:val="auto"/>
        </w:rPr>
      </w:pPr>
    </w:p>
    <w:p>
      <w:pPr>
        <w:ind w:right="220" w:firstLine="8"/>
        <w:spacing w:after="0" w:line="267" w:lineRule="auto"/>
        <w:tabs>
          <w:tab w:leader="none" w:pos="328"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The Company (acting through the Committee) reserves the right at any time to terminate or amend this Plan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without the consent of any Officer.</w:t>
      </w:r>
    </w:p>
    <w:p>
      <w:pPr>
        <w:spacing w:after="0" w:line="163" w:lineRule="exact"/>
        <w:rPr>
          <w:rFonts w:ascii="Arial" w:cs="Arial" w:eastAsia="Arial" w:hAnsi="Arial"/>
          <w:sz w:val="20"/>
          <w:szCs w:val="20"/>
          <w:b w:val="1"/>
          <w:bCs w:val="1"/>
          <w:color w:val="auto"/>
        </w:rPr>
      </w:pPr>
    </w:p>
    <w:p>
      <w:pPr>
        <w:ind w:right="320" w:firstLine="8"/>
        <w:spacing w:after="0" w:line="330" w:lineRule="auto"/>
        <w:tabs>
          <w:tab w:leader="none" w:pos="427"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Unfunded Obligations. </w:t>
      </w:r>
      <w:r>
        <w:rPr>
          <w:rFonts w:ascii="Arial" w:cs="Arial" w:eastAsia="Arial" w:hAnsi="Arial"/>
          <w:sz w:val="16"/>
          <w:szCs w:val="16"/>
          <w:color w:val="auto"/>
        </w:rPr>
        <w:t>All benefits due an Officer or the Officer’s beneficiary under this Plan are unfunded and unsecured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out of the general funds of the Company. The Company, in its sole and absolute discretion, may establish a trust associated with the payment of Plan benefits, provided that the trust does not alter the characterization of the Plan as an “unfunded plan” for purposes of the Employee Retirement Income Security Act, as amended. Any such trust shall make distributions in accordance with the terms of the Plan.</w:t>
      </w:r>
    </w:p>
    <w:p>
      <w:pPr>
        <w:spacing w:after="0" w:line="122" w:lineRule="exact"/>
        <w:rPr>
          <w:rFonts w:ascii="Arial" w:cs="Arial" w:eastAsia="Arial" w:hAnsi="Arial"/>
          <w:sz w:val="16"/>
          <w:szCs w:val="16"/>
          <w:b w:val="1"/>
          <w:bCs w:val="1"/>
          <w:color w:val="auto"/>
        </w:rPr>
      </w:pPr>
    </w:p>
    <w:p>
      <w:pPr>
        <w:ind w:right="380" w:firstLine="8"/>
        <w:spacing w:after="0" w:line="267" w:lineRule="auto"/>
        <w:tabs>
          <w:tab w:leader="none" w:pos="416"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of Benefits. </w:t>
      </w:r>
      <w:r>
        <w:rPr>
          <w:rFonts w:ascii="Arial" w:cs="Arial" w:eastAsia="Arial" w:hAnsi="Arial"/>
          <w:sz w:val="20"/>
          <w:szCs w:val="20"/>
          <w:color w:val="auto"/>
        </w:rPr>
        <w:t>The right to receive payment of any benefits under this Plan shall not be transferred, assigned or pledged</w:t>
      </w:r>
      <w:r>
        <w:rPr>
          <w:rFonts w:ascii="Arial" w:cs="Arial" w:eastAsia="Arial" w:hAnsi="Arial"/>
          <w:sz w:val="20"/>
          <w:szCs w:val="20"/>
          <w:b w:val="1"/>
          <w:bCs w:val="1"/>
          <w:color w:val="auto"/>
        </w:rPr>
        <w:t xml:space="preserve"> </w:t>
      </w:r>
      <w:r>
        <w:rPr>
          <w:rFonts w:ascii="Arial" w:cs="Arial" w:eastAsia="Arial" w:hAnsi="Arial"/>
          <w:sz w:val="20"/>
          <w:szCs w:val="20"/>
          <w:color w:val="auto"/>
        </w:rPr>
        <w:t>except by beneficiary designation or by will or under the laws of descent and distribution.</w:t>
      </w:r>
    </w:p>
    <w:p>
      <w:pPr>
        <w:spacing w:after="0" w:line="163" w:lineRule="exact"/>
        <w:rPr>
          <w:rFonts w:ascii="Arial" w:cs="Arial" w:eastAsia="Arial" w:hAnsi="Arial"/>
          <w:sz w:val="20"/>
          <w:szCs w:val="20"/>
          <w:b w:val="1"/>
          <w:bCs w:val="1"/>
          <w:color w:val="auto"/>
        </w:rPr>
      </w:pPr>
    </w:p>
    <w:p>
      <w:pPr>
        <w:ind w:right="360" w:firstLine="8"/>
        <w:spacing w:after="0" w:line="267" w:lineRule="auto"/>
        <w:tabs>
          <w:tab w:leader="none" w:pos="427"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The Company may withhold from any payment due under this Plan any taxes required to be withheld under applicable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state or local tax laws or regulations.</w:t>
      </w:r>
    </w:p>
    <w:p>
      <w:pPr>
        <w:spacing w:after="0" w:line="163" w:lineRule="exact"/>
        <w:rPr>
          <w:rFonts w:ascii="Arial" w:cs="Arial" w:eastAsia="Arial" w:hAnsi="Arial"/>
          <w:sz w:val="20"/>
          <w:szCs w:val="20"/>
          <w:b w:val="1"/>
          <w:bCs w:val="1"/>
          <w:color w:val="auto"/>
        </w:rPr>
      </w:pPr>
    </w:p>
    <w:p>
      <w:pPr>
        <w:ind w:left="440" w:hanging="432"/>
        <w:spacing w:after="0"/>
        <w:tabs>
          <w:tab w:leader="none" w:pos="44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Gender. </w:t>
      </w:r>
      <w:r>
        <w:rPr>
          <w:rFonts w:ascii="Arial" w:cs="Arial" w:eastAsia="Arial" w:hAnsi="Arial"/>
          <w:sz w:val="20"/>
          <w:szCs w:val="20"/>
          <w:color w:val="auto"/>
        </w:rPr>
        <w:t>The use of masculine pronouns in this Plan shall be deemed to include both males and females.</w:t>
      </w:r>
    </w:p>
    <w:p>
      <w:pPr>
        <w:spacing w:after="0" w:line="215" w:lineRule="exact"/>
        <w:rPr>
          <w:rFonts w:ascii="Arial" w:cs="Arial" w:eastAsia="Arial" w:hAnsi="Arial"/>
          <w:sz w:val="20"/>
          <w:szCs w:val="20"/>
          <w:b w:val="1"/>
          <w:bCs w:val="1"/>
          <w:color w:val="auto"/>
        </w:rPr>
      </w:pPr>
    </w:p>
    <w:p>
      <w:pPr>
        <w:ind w:right="180" w:firstLine="8"/>
        <w:spacing w:after="0" w:line="277" w:lineRule="auto"/>
        <w:tabs>
          <w:tab w:leader="none" w:pos="427"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Governing Laws. </w:t>
      </w:r>
      <w:r>
        <w:rPr>
          <w:rFonts w:ascii="Arial" w:cs="Arial" w:eastAsia="Arial" w:hAnsi="Arial"/>
          <w:sz w:val="18"/>
          <w:szCs w:val="18"/>
          <w:color w:val="auto"/>
        </w:rPr>
        <w:t>The Plan is intended as (i) a pension plan within the meaning of Section 3(2)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Income Security Act, as amended (“ERISA”), and (ii) an unfunded pension plan maintained by the Company for a select group of management or highly compensated employees within the meaning of Department of Labor Regulation 2520.104-23 promulgated under ERISA, and Sections 201, 301, and 401 of ERISA. Nothing in this Plan creates a vested right to benefits in any employee or any right to be retained in the employ of the Company. Except to the extent that federal legislation or applicable regulation shall govern, the validity and construction of the Plan and each of its provisions shall be subject to and governed by the laws of the Commonwealth of Virginia.</w:t>
      </w: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366" w:right="259" w:bottom="1440" w:gutter="0" w:footer="0" w:header="0"/>
        </w:sectPr>
      </w:pPr>
    </w:p>
    <w:bookmarkStart w:id="64" w:name="page65"/>
    <w:bookmarkEnd w:id="64"/>
    <w:p>
      <w:pPr>
        <w:ind w:firstLine="8"/>
        <w:spacing w:after="0" w:line="267" w:lineRule="auto"/>
        <w:tabs>
          <w:tab w:leader="none" w:pos="427"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of the Plan is found, held or deemed to be void, unlawful or unenforceable under any applicable statute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controlling law, the remainder of the Plan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IN WITNESS WHEREOF, this Amendment and Restatement is hereby executed by a duly authorized officer on this 27th day of March,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Denise M. Peppard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94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M. Peppard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Corporate Vice President 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240" w:top="360" w:right="4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0"/>
          <w:szCs w:val="20"/>
          <w:b w:val="1"/>
          <w:bCs w:val="1"/>
          <w:color w:val="auto"/>
        </w:rPr>
        <w:t>Appendix for Corporate Policy Council (CPC) Officers other than the Chief Executive Officer</w:t>
      </w:r>
    </w:p>
    <w:p>
      <w:pPr>
        <w:spacing w:after="0" w:line="330"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benefits shall apply for purposes of eligible Officers (other than the Company’s Chief Executive Officer) who are members of the CPC:</w:t>
      </w:r>
    </w:p>
    <w:p>
      <w:pPr>
        <w:spacing w:after="0" w:line="177" w:lineRule="exact"/>
        <w:rPr>
          <w:sz w:val="20"/>
          <w:szCs w:val="20"/>
          <w:color w:val="auto"/>
        </w:rPr>
      </w:pPr>
    </w:p>
    <w:p>
      <w:pPr>
        <w:ind w:left="500" w:right="60"/>
        <w:spacing w:after="0" w:line="244" w:lineRule="auto"/>
        <w:rPr>
          <w:sz w:val="20"/>
          <w:szCs w:val="20"/>
          <w:color w:val="auto"/>
        </w:rPr>
      </w:pPr>
      <w:r>
        <w:rPr>
          <w:rFonts w:ascii="Arial" w:cs="Arial" w:eastAsia="Arial" w:hAnsi="Arial"/>
          <w:sz w:val="20"/>
          <w:szCs w:val="20"/>
          <w:color w:val="auto"/>
        </w:rPr>
        <w:t xml:space="preserve">Section 4(a). </w:t>
      </w:r>
      <w:r>
        <w:rPr>
          <w:rFonts w:ascii="Arial" w:cs="Arial" w:eastAsia="Arial" w:hAnsi="Arial"/>
          <w:sz w:val="20"/>
          <w:szCs w:val="20"/>
          <w:u w:val="single" w:color="auto"/>
          <w:color w:val="auto"/>
        </w:rPr>
        <w:t>Lump-sum Cash Severance Payment</w:t>
      </w:r>
      <w:r>
        <w:rPr>
          <w:rFonts w:ascii="Arial" w:cs="Arial" w:eastAsia="Arial" w:hAnsi="Arial"/>
          <w:sz w:val="20"/>
          <w:szCs w:val="20"/>
          <w:color w:val="auto"/>
        </w:rPr>
        <w:t>. The lump sum cash severance payment shall equal one and one half (1.5) times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95"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eighteen months following the Officer’s termination date.</w:t>
      </w:r>
    </w:p>
    <w:p>
      <w:pPr>
        <w:spacing w:after="0" w:line="177" w:lineRule="exact"/>
        <w:rPr>
          <w:sz w:val="20"/>
          <w:szCs w:val="20"/>
          <w:color w:val="auto"/>
        </w:rPr>
      </w:pPr>
    </w:p>
    <w:p>
      <w:pPr>
        <w:ind w:left="500" w:right="40"/>
        <w:spacing w:after="0" w:line="276" w:lineRule="auto"/>
        <w:rPr>
          <w:sz w:val="20"/>
          <w:szCs w:val="20"/>
          <w:color w:val="auto"/>
        </w:rPr>
      </w:pPr>
      <w:r>
        <w:rPr>
          <w:rFonts w:ascii="Arial" w:cs="Arial" w:eastAsia="Arial" w:hAnsi="Arial"/>
          <w:sz w:val="18"/>
          <w:szCs w:val="18"/>
          <w:color w:val="auto"/>
        </w:rPr>
        <w:t xml:space="preserve">Section 4(d)(i). </w:t>
      </w:r>
      <w:r>
        <w:rPr>
          <w:rFonts w:ascii="Arial" w:cs="Arial" w:eastAsia="Arial" w:hAnsi="Arial"/>
          <w:sz w:val="18"/>
          <w:szCs w:val="18"/>
          <w:u w:val="single" w:color="auto"/>
          <w:color w:val="auto"/>
        </w:rPr>
        <w:t>Financial Planning</w:t>
      </w:r>
      <w:r>
        <w:rPr>
          <w:rFonts w:ascii="Arial" w:cs="Arial" w:eastAsia="Arial" w:hAnsi="Arial"/>
          <w:sz w:val="18"/>
          <w:szCs w:val="18"/>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$18,500 and (ii) any fees incurred in the year following the year in which the date of termination occurs, provided that the total financial planning reimbursement for such year shall not exceed $18,500.</w:t>
      </w:r>
    </w:p>
    <w:p>
      <w:pPr>
        <w:sectPr>
          <w:pgSz w:w="11900" w:h="16838" w:orient="portrait"/>
          <w:cols w:equalWidth="0" w:num="1">
            <w:col w:w="11400"/>
          </w:cols>
          <w:pgMar w:left="240" w:top="360"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0"/>
          <w:szCs w:val="20"/>
          <w:b w:val="1"/>
          <w:bCs w:val="1"/>
          <w:color w:val="auto"/>
        </w:rPr>
        <w:t>Appendix for non-CPC Officers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benefits shall apply for purposes of eligible Officers who are not members of the CPC:</w:t>
      </w:r>
    </w:p>
    <w:p>
      <w:pPr>
        <w:spacing w:after="0" w:line="216" w:lineRule="exact"/>
        <w:rPr>
          <w:sz w:val="20"/>
          <w:szCs w:val="20"/>
          <w:color w:val="auto"/>
        </w:rPr>
      </w:pPr>
    </w:p>
    <w:p>
      <w:pPr>
        <w:ind w:left="500" w:right="340"/>
        <w:spacing w:after="0" w:line="282" w:lineRule="auto"/>
        <w:rPr>
          <w:sz w:val="20"/>
          <w:szCs w:val="20"/>
          <w:color w:val="auto"/>
        </w:rPr>
      </w:pPr>
      <w:r>
        <w:rPr>
          <w:rFonts w:ascii="Arial" w:cs="Arial" w:eastAsia="Arial" w:hAnsi="Arial"/>
          <w:sz w:val="18"/>
          <w:szCs w:val="18"/>
          <w:color w:val="auto"/>
        </w:rPr>
        <w:t xml:space="preserve">Section 4(a). </w:t>
      </w: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lump sum cash severance payment shall equal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62"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one year following the Officer’s termination date.</w:t>
      </w:r>
    </w:p>
    <w:p>
      <w:pPr>
        <w:spacing w:after="0" w:line="177" w:lineRule="exact"/>
        <w:rPr>
          <w:sz w:val="20"/>
          <w:szCs w:val="20"/>
          <w:color w:val="auto"/>
        </w:rPr>
      </w:pPr>
    </w:p>
    <w:p>
      <w:pPr>
        <w:ind w:left="500" w:right="40"/>
        <w:spacing w:after="0" w:line="259" w:lineRule="auto"/>
        <w:rPr>
          <w:sz w:val="20"/>
          <w:szCs w:val="20"/>
          <w:color w:val="auto"/>
        </w:rPr>
      </w:pPr>
      <w:r>
        <w:rPr>
          <w:rFonts w:ascii="Arial" w:cs="Arial" w:eastAsia="Arial" w:hAnsi="Arial"/>
          <w:sz w:val="19"/>
          <w:szCs w:val="19"/>
          <w:color w:val="auto"/>
        </w:rPr>
        <w:t xml:space="preserve">Section 4(d)(i). </w:t>
      </w:r>
      <w:r>
        <w:rPr>
          <w:rFonts w:ascii="Arial" w:cs="Arial" w:eastAsia="Arial" w:hAnsi="Arial"/>
          <w:sz w:val="19"/>
          <w:szCs w:val="19"/>
          <w:u w:val="single" w:color="auto"/>
          <w:color w:val="auto"/>
        </w:rPr>
        <w:t>Financial Planning</w:t>
      </w:r>
      <w:r>
        <w:rPr>
          <w:rFonts w:ascii="Arial" w:cs="Arial" w:eastAsia="Arial" w:hAnsi="Arial"/>
          <w:sz w:val="19"/>
          <w:szCs w:val="19"/>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$7,500 and (ii) any fees incurred in the year following the year in which the date of termination occurs, provided that the total financial planning reimbursement for such year shall not exceed $7,500.</w:t>
      </w:r>
    </w:p>
    <w:p>
      <w:pPr>
        <w:sectPr>
          <w:pgSz w:w="11900" w:h="16838" w:orient="portrait"/>
          <w:cols w:equalWidth="0" w:num="1">
            <w:col w:w="11400"/>
          </w:cols>
          <w:pgMar w:left="240" w:top="36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4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340" w:type="dxa"/>
            <w:vAlign w:val="bottom"/>
            <w:gridSpan w:val="4"/>
          </w:tcPr>
          <w:p>
            <w:pPr>
              <w:ind w:left="60"/>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Earnings:</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871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34"/>
        </w:trPr>
        <w:tc>
          <w:tcPr>
            <w:tcW w:w="4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20" w:type="dxa"/>
            <w:vAlign w:val="bottom"/>
          </w:tcPr>
          <w:p>
            <w:pPr>
              <w:ind w:left="280"/>
              <w:spacing w:after="0"/>
              <w:rPr>
                <w:sz w:val="20"/>
                <w:szCs w:val="20"/>
                <w:color w:val="auto"/>
              </w:rPr>
            </w:pPr>
            <w:r>
              <w:rPr>
                <w:rFonts w:ascii="Arial" w:cs="Arial" w:eastAsia="Arial" w:hAnsi="Arial"/>
                <w:sz w:val="18"/>
                <w:szCs w:val="18"/>
                <w:color w:val="auto"/>
              </w:rPr>
              <w:t>Interest expense, including amortization of debt</w:t>
            </w:r>
          </w:p>
        </w:tc>
        <w:tc>
          <w:tcPr>
            <w:tcW w:w="28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color w:val="auto"/>
              </w:rPr>
              <w:t>premium</w:t>
            </w:r>
          </w:p>
        </w:tc>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6"/>
        </w:trPr>
        <w:tc>
          <w:tcPr>
            <w:tcW w:w="4420" w:type="dxa"/>
            <w:vAlign w:val="bottom"/>
          </w:tcPr>
          <w:p>
            <w:pPr>
              <w:ind w:left="280"/>
              <w:spacing w:after="0"/>
              <w:rPr>
                <w:sz w:val="20"/>
                <w:szCs w:val="20"/>
                <w:color w:val="auto"/>
              </w:rPr>
            </w:pPr>
            <w:r>
              <w:rPr>
                <w:rFonts w:ascii="Arial" w:cs="Arial" w:eastAsia="Arial" w:hAnsi="Arial"/>
                <w:sz w:val="18"/>
                <w:szCs w:val="18"/>
                <w:color w:val="auto"/>
                <w:w w:val="89"/>
              </w:rPr>
              <w:t>Portion of rental expenses on operating leases deemed to</w:t>
            </w:r>
          </w:p>
        </w:tc>
        <w:tc>
          <w:tcPr>
            <w:tcW w:w="28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color w:val="auto"/>
              </w:rPr>
              <w:t>be representative of the interest factor</w:t>
            </w:r>
          </w:p>
        </w:tc>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-779780</wp:posOffset>
            </wp:positionV>
            <wp:extent cx="671512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6715125" cy="18034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-290830</wp:posOffset>
            </wp:positionV>
            <wp:extent cx="6715125"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715125" cy="31750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-1148715</wp:posOffset>
            </wp:positionV>
            <wp:extent cx="671512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671512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Year Ended 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2014</w:t>
            </w:r>
            <w:r>
              <w:rPr>
                <w:rFonts w:ascii="Arial" w:cs="Arial" w:eastAsia="Arial" w:hAnsi="Arial"/>
                <w:sz w:val="25"/>
                <w:szCs w:val="25"/>
                <w:color w:val="auto"/>
                <w:w w:val="79"/>
                <w:vertAlign w:val="superscript"/>
              </w:rPr>
              <w:t>(1)</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2013</w:t>
            </w:r>
            <w:r>
              <w:rPr>
                <w:rFonts w:ascii="Arial" w:cs="Arial" w:eastAsia="Arial" w:hAnsi="Arial"/>
                <w:sz w:val="25"/>
                <w:szCs w:val="25"/>
                <w:color w:val="auto"/>
                <w:vertAlign w:val="superscript"/>
              </w:rPr>
              <w:t>(1)</w:t>
            </w:r>
          </w:p>
        </w:tc>
      </w:tr>
      <w:tr>
        <w:trPr>
          <w:trHeight w:val="237"/>
        </w:trPr>
        <w:tc>
          <w:tcPr>
            <w:tcW w:w="720" w:type="dxa"/>
            <w:vAlign w:val="bottom"/>
          </w:tcPr>
          <w:p>
            <w:pPr>
              <w:jc w:val="right"/>
              <w:spacing w:after="0"/>
              <w:rPr>
                <w:sz w:val="20"/>
                <w:szCs w:val="20"/>
                <w:color w:val="auto"/>
              </w:rPr>
            </w:pPr>
            <w:r>
              <w:rPr>
                <w:rFonts w:ascii="Arial" w:cs="Arial" w:eastAsia="Arial" w:hAnsi="Arial"/>
                <w:sz w:val="18"/>
                <w:szCs w:val="18"/>
                <w:color w:val="auto"/>
                <w:w w:val="98"/>
              </w:rPr>
              <w:t>$  2,996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2,855</w:t>
            </w:r>
          </w:p>
        </w:tc>
        <w:tc>
          <w:tcPr>
            <w:tcW w:w="740" w:type="dxa"/>
            <w:vAlign w:val="bottom"/>
          </w:tcPr>
          <w:p>
            <w:pPr>
              <w:jc w:val="right"/>
              <w:spacing w:after="0"/>
              <w:rPr>
                <w:sz w:val="20"/>
                <w:szCs w:val="20"/>
                <w:color w:val="auto"/>
              </w:rPr>
            </w:pPr>
            <w:r>
              <w:rPr>
                <w:rFonts w:ascii="Arial" w:cs="Arial" w:eastAsia="Arial" w:hAnsi="Arial"/>
                <w:sz w:val="18"/>
                <w:szCs w:val="18"/>
                <w:color w:val="auto"/>
              </w:rPr>
              <w:t>$  2,790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  2,863</w:t>
            </w:r>
          </w:p>
        </w:tc>
      </w:tr>
      <w:tr>
        <w:trPr>
          <w:trHeight w:val="34"/>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729"/>
        </w:trPr>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w:t>
            </w:r>
          </w:p>
        </w:tc>
        <w:tc>
          <w:tcPr>
            <w:tcW w:w="74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486"/>
        </w:trPr>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358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180" w:space="100"/>
            <w:col w:w="4140"/>
          </w:cols>
          <w:pgMar w:left="240" w:top="580" w:right="239" w:bottom="1440" w:gutter="0" w:footer="0" w:header="0"/>
          <w:type w:val="continuous"/>
        </w:sectPr>
      </w:pPr>
    </w:p>
    <w:tbl>
      <w:tblPr>
        <w:tblLayout w:type="fixed"/>
        <w:tblInd w:w="420" w:type="dxa"/>
        <w:tblCellMar>
          <w:top w:w="0" w:type="dxa"/>
          <w:left w:w="0" w:type="dxa"/>
          <w:bottom w:w="0" w:type="dxa"/>
          <w:right w:w="0" w:type="dxa"/>
        </w:tblCellMar>
      </w:tblPr>
      <w:tr>
        <w:trPr>
          <w:trHeight w:val="234"/>
        </w:trPr>
        <w:tc>
          <w:tcPr>
            <w:tcW w:w="4100" w:type="dxa"/>
            <w:vAlign w:val="bottom"/>
          </w:tcPr>
          <w:p>
            <w:pPr>
              <w:ind w:left="280"/>
              <w:spacing w:after="0"/>
              <w:rPr>
                <w:sz w:val="20"/>
                <w:szCs w:val="20"/>
                <w:color w:val="auto"/>
              </w:rPr>
            </w:pPr>
            <w:r>
              <w:rPr>
                <w:rFonts w:ascii="Arial" w:cs="Arial" w:eastAsia="Arial" w:hAnsi="Arial"/>
                <w:sz w:val="18"/>
                <w:szCs w:val="18"/>
                <w:color w:val="auto"/>
                <w:w w:val="98"/>
              </w:rPr>
              <w:t>Earnings before income taxes and fixed charges</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1,045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3,255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3,192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3,219</w:t>
            </w:r>
          </w:p>
        </w:tc>
      </w:tr>
      <w:tr>
        <w:trPr>
          <w:trHeight w:val="34"/>
        </w:trPr>
        <w:tc>
          <w:tcPr>
            <w:tcW w:w="4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41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Ratio of earnings to fixed charges</w:t>
            </w:r>
          </w:p>
        </w:tc>
        <w:tc>
          <w:tcPr>
            <w:tcW w:w="7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5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34"/>
        </w:trPr>
        <w:tc>
          <w:tcPr>
            <w:tcW w:w="4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ind w:left="660" w:right="680" w:hanging="4"/>
        <w:spacing w:after="0" w:line="246" w:lineRule="auto"/>
        <w:tabs>
          <w:tab w:leader="none" w:pos="813" w:val="left"/>
        </w:tabs>
        <w:numPr>
          <w:ilvl w:val="0"/>
          <w:numId w:val="72"/>
        </w:numPr>
        <w:rPr>
          <w:rFonts w:ascii="Arial" w:cs="Arial" w:eastAsia="Arial" w:hAnsi="Arial"/>
          <w:sz w:val="19"/>
          <w:szCs w:val="19"/>
          <w:color w:val="auto"/>
          <w:vertAlign w:val="superscript"/>
        </w:rPr>
      </w:pPr>
      <w:r>
        <w:rPr>
          <w:rFonts w:ascii="Arial" w:cs="Arial" w:eastAsia="Arial" w:hAnsi="Arial"/>
          <w:sz w:val="15"/>
          <w:szCs w:val="15"/>
          <w:color w:val="auto"/>
        </w:rPr>
        <w:t xml:space="preserve">Financial data does not reflect the effects from the January 1, 2018 adoption of Accounting Standards Update No.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(Topic 606).</w:t>
      </w:r>
    </w:p>
    <w:p>
      <w:pPr>
        <w:sectPr>
          <w:pgSz w:w="11900" w:h="16838" w:orient="portrait"/>
          <w:cols w:equalWidth="0" w:num="1">
            <w:col w:w="11420"/>
          </w:cols>
          <w:pgMar w:left="240" w:top="580"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24, 2018</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March 31, 2018, and 2017, as indicated in our report dated April 24, 2018; because we did not perform an audit, we expressed no opinion on that information.</w:t>
      </w:r>
    </w:p>
    <w:p>
      <w:pPr>
        <w:spacing w:after="0" w:line="46"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March 31, 2018, is incorporated by reference in Registration Statement Nos. 033-59815, 033-59853, 333-67266, 333-100179, 333-107734, 333-121104, 333-125120, 333-127317, and 333-175798 on Form S-8; and Registration Statement No. 333-217087 on Form S-3.</w:t>
      </w:r>
    </w:p>
    <w:p>
      <w:pPr>
        <w:spacing w:after="0" w:line="46"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ectPr>
          <w:pgSz w:w="11900" w:h="16838" w:orient="portrait"/>
          <w:cols w:equalWidth="0" w:num="1">
            <w:col w:w="11420"/>
          </w:cols>
          <w:pgMar w:left="240" w:top="5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Wesley G. Bush, certify that:</w:t>
      </w:r>
    </w:p>
    <w:p>
      <w:pPr>
        <w:spacing w:after="0" w:line="9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Wesley G. Bush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 Bedingfield, certify that:</w:t>
      </w:r>
    </w:p>
    <w:p>
      <w:pPr>
        <w:spacing w:after="0" w:line="90"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2018, as filed with the Securities and Exchange Commission on the date hereof (the “Report”), I, Wesley G. Bush, Chairman and Chief Executive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Wesley G. Bush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2018, as filed with the Securities and Exchange Commission on the date hereof (the “Report”), I, Kenneth L. Bedingfield,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24, 2018</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1."/>
      <w:numFmt w:val="decimal"/>
      <w:start w:val="2"/>
    </w:lvl>
  </w:abstractNum>
  <w:abstractNum w:abstractNumId="17">
    <w:nsid w:val="6DE91B18"/>
    <w:multiLevelType w:val="hybridMultilevel"/>
    <w:lvl w:ilvl="0">
      <w:lvlJc w:val="left"/>
      <w:lvlText w:val="%1."/>
      <w:numFmt w:val="decimal"/>
      <w:start w:val="3"/>
    </w:lvl>
  </w:abstractNum>
  <w:abstractNum w:abstractNumId="18">
    <w:nsid w:val="38437FDB"/>
    <w:multiLevelType w:val="hybridMultilevel"/>
    <w:lvl w:ilvl="0">
      <w:lvlJc w:val="left"/>
      <w:lvlText w:val="%1."/>
      <w:numFmt w:val="decimal"/>
      <w:start w:val="4"/>
    </w:lvl>
  </w:abstractNum>
  <w:abstractNum w:abstractNumId="19">
    <w:nsid w:val="7644A45C"/>
    <w:multiLevelType w:val="hybridMultilevel"/>
    <w:lvl w:ilvl="0">
      <w:lvlJc w:val="left"/>
      <w:lvlText w:val="(%1)"/>
      <w:numFmt w:val="decimal"/>
      <w:start w:val="24"/>
    </w:lvl>
  </w:abstractNum>
  <w:abstractNum w:abstractNumId="20">
    <w:nsid w:val="32FFF902"/>
    <w:multiLevelType w:val="hybridMultilevel"/>
    <w:lvl w:ilvl="0">
      <w:lvlJc w:val="left"/>
      <w:lvlText w:val="%1."/>
      <w:numFmt w:val="decimal"/>
      <w:start w:val="5"/>
    </w:lvl>
  </w:abstractNum>
  <w:abstractNum w:abstractNumId="21">
    <w:nsid w:val="684A481A"/>
    <w:multiLevelType w:val="hybridMultilevel"/>
    <w:lvl w:ilvl="0">
      <w:lvlJc w:val="left"/>
      <w:lvlText w:val="%1."/>
      <w:numFmt w:val="decimal"/>
      <w:start w:val="6"/>
    </w:lvl>
  </w:abstractNum>
  <w:abstractNum w:abstractNumId="22">
    <w:nsid w:val="579478FE"/>
    <w:multiLevelType w:val="hybridMultilevel"/>
    <w:lvl w:ilvl="0">
      <w:lvlJc w:val="left"/>
      <w:lvlText w:val="%1."/>
      <w:numFmt w:val="decimal"/>
      <w:start w:val="7"/>
    </w:lvl>
  </w:abstractNum>
  <w:abstractNum w:abstractNumId="23">
    <w:nsid w:val="749ABB43"/>
    <w:multiLevelType w:val="hybridMultilevel"/>
    <w:lvl w:ilvl="0">
      <w:lvlJc w:val="left"/>
      <w:lvlText w:val="%1."/>
      <w:numFmt w:val="decimal"/>
      <w:start w:val="8"/>
    </w:lvl>
  </w:abstractNum>
  <w:abstractNum w:abstractNumId="24">
    <w:nsid w:val="3DC240FB"/>
    <w:multiLevelType w:val="hybridMultilevel"/>
    <w:lvl w:ilvl="0">
      <w:lvlJc w:val="left"/>
      <w:lvlText w:val="%1."/>
      <w:numFmt w:val="decimal"/>
      <w:start w:val="9"/>
    </w:lvl>
  </w:abstractNum>
  <w:abstractNum w:abstractNumId="25">
    <w:nsid w:val="1BA026FA"/>
    <w:multiLevelType w:val="hybridMultilevel"/>
    <w:lvl w:ilvl="0">
      <w:lvlJc w:val="left"/>
      <w:lvlText w:val="%1."/>
      <w:numFmt w:val="decimal"/>
      <w:start w:val="10"/>
    </w:lvl>
  </w:abstractNum>
  <w:abstractNum w:abstractNumId="26">
    <w:nsid w:val="79A1DEAA"/>
    <w:multiLevelType w:val="hybridMultilevel"/>
    <w:lvl w:ilvl="0">
      <w:lvlJc w:val="left"/>
      <w:lvlText w:val="%1."/>
      <w:numFmt w:val="decimal"/>
      <w:start w:val="11"/>
    </w:lvl>
  </w:abstractNum>
  <w:abstractNum w:abstractNumId="27">
    <w:nsid w:val="75C6C33A"/>
    <w:multiLevelType w:val="hybridMultilevel"/>
    <w:lvl w:ilvl="0">
      <w:lvlJc w:val="left"/>
      <w:lvlText w:val="(%1)"/>
      <w:numFmt w:val="upperLetter"/>
      <w:start w:val="4"/>
    </w:lvl>
  </w:abstractNum>
  <w:abstractNum w:abstractNumId="28">
    <w:nsid w:val="12E685FB"/>
    <w:multiLevelType w:val="hybridMultilevel"/>
    <w:lvl w:ilvl="0">
      <w:lvlJc w:val="left"/>
      <w:lvlText w:val="%1."/>
      <w:numFmt w:val="decimal"/>
      <w:start w:val="12"/>
    </w:lvl>
  </w:abstractNum>
  <w:abstractNum w:abstractNumId="29">
    <w:nsid w:val="70C6A529"/>
    <w:multiLevelType w:val="hybridMultilevel"/>
    <w:lvl w:ilvl="0">
      <w:lvlJc w:val="left"/>
      <w:lvlText w:val="(%1)"/>
      <w:numFmt w:val="lowerRoman"/>
      <w:start w:val="1"/>
    </w:lvl>
  </w:abstractNum>
  <w:abstractNum w:abstractNumId="30">
    <w:nsid w:val="520EEDD1"/>
    <w:multiLevelType w:val="hybridMultilevel"/>
    <w:lvl w:ilvl="0">
      <w:lvlJc w:val="left"/>
      <w:lvlText w:val="(%1)"/>
      <w:numFmt w:val="lowerRoman"/>
      <w:start w:val="1"/>
    </w:lvl>
  </w:abstractNum>
  <w:abstractNum w:abstractNumId="31">
    <w:nsid w:val="374A3FE6"/>
    <w:multiLevelType w:val="hybridMultilevel"/>
    <w:lvl w:ilvl="0">
      <w:lvlJc w:val="left"/>
      <w:lvlText w:val="(%1)"/>
      <w:numFmt w:val="lowerRoman"/>
      <w:start w:val="1"/>
    </w:lvl>
  </w:abstractNum>
  <w:abstractNum w:abstractNumId="32">
    <w:nsid w:val="4F4EF005"/>
    <w:multiLevelType w:val="hybridMultilevel"/>
    <w:lvl w:ilvl="0">
      <w:lvlJc w:val="left"/>
      <w:lvlText w:val="(%1)"/>
      <w:numFmt w:val="lowerRoman"/>
      <w:start w:val="2"/>
    </w:lvl>
  </w:abstractNum>
  <w:abstractNum w:abstractNumId="33">
    <w:nsid w:val="23F9C13C"/>
    <w:multiLevelType w:val="hybridMultilevel"/>
    <w:lvl w:ilvl="0">
      <w:lvlJc w:val="left"/>
      <w:lvlText w:val="(%1)"/>
      <w:numFmt w:val="lowerRoman"/>
      <w:start w:val="3"/>
    </w:lvl>
  </w:abstractNum>
  <w:abstractNum w:abstractNumId="34">
    <w:nsid w:val="649BB77C"/>
    <w:multiLevelType w:val="hybridMultilevel"/>
    <w:lvl w:ilvl="0">
      <w:lvlJc w:val="left"/>
      <w:lvlText w:val="(%1)"/>
      <w:numFmt w:val="lowerRoman"/>
      <w:start w:val="1"/>
    </w:lvl>
  </w:abstractNum>
  <w:abstractNum w:abstractNumId="35">
    <w:nsid w:val="275AC794"/>
    <w:multiLevelType w:val="hybridMultilevel"/>
    <w:lvl w:ilvl="0">
      <w:lvlJc w:val="left"/>
      <w:lvlText w:val="(%1)"/>
      <w:numFmt w:val="lowerRoman"/>
      <w:start w:val="3"/>
    </w:lvl>
    <w:lvl w:ilvl="1">
      <w:lvlJc w:val="left"/>
      <w:lvlText w:val="(%2)"/>
      <w:numFmt w:val="lowerRoman"/>
      <w:start w:val="2"/>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2"/>
    </w:lvl>
  </w:abstractNum>
  <w:abstractNum w:abstractNumId="38">
    <w:nsid w:val="180115BE"/>
    <w:multiLevelType w:val="hybridMultilevel"/>
    <w:lvl w:ilvl="0">
      <w:lvlJc w:val="left"/>
      <w:lvlText w:val="(%1)"/>
      <w:numFmt w:val="lowerLetter"/>
      <w:start w:val="2"/>
    </w:lvl>
  </w:abstractNum>
  <w:abstractNum w:abstractNumId="39">
    <w:nsid w:val="235BA861"/>
    <w:multiLevelType w:val="hybridMultilevel"/>
    <w:lvl w:ilvl="0">
      <w:lvlJc w:val="left"/>
      <w:lvlText w:val="%1."/>
      <w:numFmt w:val="decimal"/>
      <w:start w:val="3"/>
    </w:lvl>
  </w:abstractNum>
  <w:abstractNum w:abstractNumId="40">
    <w:nsid w:val="47398C89"/>
    <w:multiLevelType w:val="hybridMultilevel"/>
    <w:lvl w:ilvl="0">
      <w:lvlJc w:val="left"/>
      <w:lvlText w:val="%1."/>
      <w:numFmt w:val="decimal"/>
      <w:start w:val="4"/>
    </w:lvl>
  </w:abstractNum>
  <w:abstractNum w:abstractNumId="41">
    <w:nsid w:val="354FE9F9"/>
    <w:multiLevelType w:val="hybridMultilevel"/>
    <w:lvl w:ilvl="0">
      <w:lvlJc w:val="left"/>
      <w:lvlText w:val="(%1)"/>
      <w:numFmt w:val="decimal"/>
      <w:start w:val="24"/>
    </w:lvl>
  </w:abstractNum>
  <w:abstractNum w:abstractNumId="42">
    <w:nsid w:val="15B5AF5C"/>
    <w:multiLevelType w:val="hybridMultilevel"/>
    <w:lvl w:ilvl="0">
      <w:lvlJc w:val="left"/>
      <w:lvlText w:val="(%1)"/>
      <w:numFmt w:val="lowerRoman"/>
      <w:start w:val="3"/>
    </w:lvl>
  </w:abstractNum>
  <w:abstractNum w:abstractNumId="43">
    <w:nsid w:val="741226BB"/>
    <w:multiLevelType w:val="hybridMultilevel"/>
    <w:lvl w:ilvl="0">
      <w:lvlJc w:val="left"/>
      <w:lvlText w:val="%1."/>
      <w:numFmt w:val="decimal"/>
      <w:start w:val="5"/>
    </w:lvl>
  </w:abstractNum>
  <w:abstractNum w:abstractNumId="44">
    <w:nsid w:val="D34B6A8"/>
    <w:multiLevelType w:val="hybridMultilevel"/>
    <w:lvl w:ilvl="0">
      <w:lvlJc w:val="left"/>
      <w:lvlText w:val="%1."/>
      <w:numFmt w:val="decimal"/>
      <w:start w:val="6"/>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2"/>
    </w:lvl>
  </w:abstractNum>
  <w:abstractNum w:abstractNumId="47">
    <w:nsid w:val="61574095"/>
    <w:multiLevelType w:val="hybridMultilevel"/>
    <w:lvl w:ilvl="0">
      <w:lvlJc w:val="left"/>
      <w:lvlText w:val="%1."/>
      <w:numFmt w:val="decimal"/>
      <w:start w:val="7"/>
    </w:lvl>
  </w:abstractNum>
  <w:abstractNum w:abstractNumId="48">
    <w:nsid w:val="7E0C57B1"/>
    <w:multiLevelType w:val="hybridMultilevel"/>
    <w:lvl w:ilvl="0">
      <w:lvlJc w:val="left"/>
      <w:lvlText w:val="%1."/>
      <w:numFmt w:val="decimal"/>
      <w:start w:val="8"/>
    </w:lvl>
  </w:abstractNum>
  <w:abstractNum w:abstractNumId="49">
    <w:nsid w:val="77AE35EB"/>
    <w:multiLevelType w:val="hybridMultilevel"/>
    <w:lvl w:ilvl="0">
      <w:lvlJc w:val="left"/>
      <w:lvlText w:val="%1."/>
      <w:numFmt w:val="decimal"/>
      <w:start w:val="9"/>
    </w:lvl>
  </w:abstractNum>
  <w:abstractNum w:abstractNumId="50">
    <w:nsid w:val="579BE4F1"/>
    <w:multiLevelType w:val="hybridMultilevel"/>
    <w:lvl w:ilvl="0">
      <w:lvlJc w:val="left"/>
      <w:lvlText w:val="%1."/>
      <w:numFmt w:val="decimal"/>
      <w:start w:val="10"/>
    </w:lvl>
  </w:abstractNum>
  <w:abstractNum w:abstractNumId="51">
    <w:nsid w:val="310C50B3"/>
    <w:multiLevelType w:val="hybridMultilevel"/>
    <w:lvl w:ilvl="0">
      <w:lvlJc w:val="left"/>
      <w:lvlText w:val="%1."/>
      <w:numFmt w:val="decimal"/>
      <w:start w:val="11"/>
    </w:lvl>
  </w:abstractNum>
  <w:abstractNum w:abstractNumId="52">
    <w:nsid w:val="5FF87E05"/>
    <w:multiLevelType w:val="hybridMultilevel"/>
    <w:lvl w:ilvl="0">
      <w:lvlJc w:val="left"/>
      <w:lvlText w:val="%1."/>
      <w:numFmt w:val="decimal"/>
      <w:start w:val="12"/>
    </w:lvl>
  </w:abstractNum>
  <w:abstractNum w:abstractNumId="53">
    <w:nsid w:val="2F305DEF"/>
    <w:multiLevelType w:val="hybridMultilevel"/>
    <w:lvl w:ilvl="0">
      <w:lvlJc w:val="left"/>
      <w:lvlText w:val="(%1)"/>
      <w:numFmt w:val="lowerRoman"/>
      <w:start w:val="1"/>
    </w:lvl>
  </w:abstractNum>
  <w:abstractNum w:abstractNumId="54">
    <w:nsid w:val="25A70BF7"/>
    <w:multiLevelType w:val="hybridMultilevel"/>
    <w:lvl w:ilvl="0">
      <w:lvlJc w:val="left"/>
      <w:lvlText w:val="%1"/>
      <w:numFmt w:val="lowerRoman"/>
      <w:start w:val="1"/>
    </w:lvl>
    <w:lvl w:ilvl="1">
      <w:lvlJc w:val="left"/>
      <w:lvlText w:val="(%2)"/>
      <w:numFmt w:val="lowerRoman"/>
      <w:start w:val="1"/>
    </w:lvl>
  </w:abstractNum>
  <w:abstractNum w:abstractNumId="55">
    <w:nsid w:val="1DBABF00"/>
    <w:multiLevelType w:val="hybridMultilevel"/>
    <w:lvl w:ilvl="0">
      <w:lvlJc w:val="left"/>
      <w:lvlText w:val="(%1)"/>
      <w:numFmt w:val="lowerRoman"/>
      <w:start w:val="3"/>
    </w:lvl>
    <w:lvl w:ilvl="1">
      <w:lvlJc w:val="left"/>
      <w:lvlText w:val="%2"/>
      <w:numFmt w:val="lowerRoman"/>
      <w:start w:val="1"/>
    </w:lvl>
  </w:abstractNum>
  <w:abstractNum w:abstractNumId="56">
    <w:nsid w:val="4AD084E9"/>
    <w:multiLevelType w:val="hybridMultilevel"/>
    <w:lvl w:ilvl="0">
      <w:lvlJc w:val="left"/>
      <w:lvlText w:val="(%1)"/>
      <w:numFmt w:val="lowerRoman"/>
      <w:start w:val="1"/>
    </w:lvl>
  </w:abstractNum>
  <w:abstractNum w:abstractNumId="57">
    <w:nsid w:val="1F48EAA1"/>
    <w:multiLevelType w:val="hybridMultilevel"/>
    <w:lvl w:ilvl="0">
      <w:lvlJc w:val="left"/>
      <w:lvlText w:val="(%1)"/>
      <w:numFmt w:val="lowerRoman"/>
      <w:start w:val="2"/>
    </w:lvl>
  </w:abstractNum>
  <w:abstractNum w:abstractNumId="58">
    <w:nsid w:val="1381823A"/>
    <w:multiLevelType w:val="hybridMultilevel"/>
    <w:lvl w:ilvl="0">
      <w:lvlJc w:val="left"/>
      <w:lvlText w:val="(%1)"/>
      <w:numFmt w:val="lowerRoman"/>
      <w:start w:val="4"/>
    </w:lvl>
  </w:abstractNum>
  <w:abstractNum w:abstractNumId="59">
    <w:nsid w:val="5DB70AE5"/>
    <w:multiLevelType w:val="hybridMultilevel"/>
    <w:lvl w:ilvl="0">
      <w:lvlJc w:val="left"/>
      <w:lvlText w:val="(%1)"/>
      <w:numFmt w:val="lowerRoman"/>
      <w:start w:val="1"/>
    </w:lvl>
    <w:lvl w:ilvl="1">
      <w:lvlJc w:val="left"/>
      <w:lvlText w:val="(%2)"/>
      <w:numFmt w:val="lowerRoman"/>
      <w:start w:val="2"/>
    </w:lvl>
  </w:abstractNum>
  <w:abstractNum w:abstractNumId="60">
    <w:nsid w:val="100F8FCA"/>
    <w:multiLevelType w:val="hybridMultilevel"/>
    <w:lvl w:ilvl="0">
      <w:lvlJc w:val="left"/>
      <w:lvlText w:val="%1."/>
      <w:numFmt w:val="decimal"/>
      <w:start w:val="1"/>
    </w:lvl>
    <w:lvl w:ilvl="1">
      <w:lvlJc w:val="left"/>
      <w:lvlText w:val="(%2)"/>
      <w:numFmt w:val="lowerLetter"/>
      <w:start w:val="1"/>
    </w:lvl>
  </w:abstractNum>
  <w:abstractNum w:abstractNumId="61">
    <w:nsid w:val="6590700B"/>
    <w:multiLevelType w:val="hybridMultilevel"/>
    <w:lvl w:ilvl="0">
      <w:lvlJc w:val="left"/>
      <w:lvlText w:val="(%1)"/>
      <w:numFmt w:val="lowerLetter"/>
      <w:start w:val="11"/>
    </w:lvl>
    <w:lvl w:ilvl="1">
      <w:lvlJc w:val="left"/>
      <w:lvlText w:val="(%2)"/>
      <w:numFmt w:val="lowerRoman"/>
      <w:start w:val="1"/>
    </w:lvl>
  </w:abstractNum>
  <w:abstractNum w:abstractNumId="62">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5F5E7FD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4">
    <w:nsid w:val="98A3148"/>
    <w:multiLevelType w:val="hybridMultilevel"/>
    <w:lvl w:ilvl="0">
      <w:lvlJc w:val="left"/>
      <w:lvlText w:val="(%1)"/>
      <w:numFmt w:val="lowerRoman"/>
      <w:start w:val="1"/>
    </w:lvl>
  </w:abstractNum>
  <w:abstractNum w:abstractNumId="65">
    <w:nsid w:val="799D0247"/>
    <w:multiLevelType w:val="hybridMultilevel"/>
    <w:lvl w:ilvl="0">
      <w:lvlJc w:val="left"/>
      <w:lvlText w:val="(%1)"/>
      <w:numFmt w:val="lowerLetter"/>
      <w:start w:val="3"/>
    </w:lvl>
    <w:lvl w:ilvl="1">
      <w:lvlJc w:val="left"/>
      <w:lvlText w:val="(%2)"/>
      <w:numFmt w:val="lowerRoman"/>
      <w:start w:val="1"/>
    </w:lvl>
  </w:abstractNum>
  <w:abstractNum w:abstractNumId="66">
    <w:nsid w:val="6B94764"/>
    <w:multiLevelType w:val="hybridMultilevel"/>
    <w:lvl w:ilvl="0">
      <w:lvlJc w:val="left"/>
      <w:lvlText w:val="%1"/>
      <w:numFmt w:val="decimal"/>
      <w:start w:val="1"/>
    </w:lvl>
    <w:lvl w:ilvl="1">
      <w:lvlJc w:val="left"/>
      <w:lvlText w:val="(%2)"/>
      <w:numFmt w:val="lowerLetter"/>
      <w:start w:val="5"/>
    </w:lvl>
  </w:abstractNum>
  <w:abstractNum w:abstractNumId="67">
    <w:nsid w:val="42C296BD"/>
    <w:multiLevelType w:val="hybridMultilevel"/>
    <w:lvl w:ilvl="0">
      <w:lvlJc w:val="left"/>
      <w:lvlText w:val="%1."/>
      <w:numFmt w:val="decimal"/>
      <w:start w:val="5"/>
    </w:lvl>
    <w:lvl w:ilvl="1">
      <w:lvlJc w:val="left"/>
      <w:lvlText w:val="%2"/>
      <w:numFmt w:val="lowerLetter"/>
      <w:start w:val="1"/>
    </w:lvl>
  </w:abstractNum>
  <w:abstractNum w:abstractNumId="68">
    <w:nsid w:val="168E121F"/>
    <w:multiLevelType w:val="hybridMultilevel"/>
    <w:lvl w:ilvl="0">
      <w:lvlJc w:val="left"/>
      <w:lvlText w:val="%1."/>
      <w:numFmt w:val="decimal"/>
      <w:start w:val="7"/>
    </w:lvl>
  </w:abstractNum>
  <w:abstractNum w:abstractNumId="69">
    <w:nsid w:val="1EBA5D23"/>
    <w:multiLevelType w:val="hybridMultilevel"/>
    <w:lvl w:ilvl="0">
      <w:lvlJc w:val="left"/>
      <w:lvlText w:val="%1."/>
      <w:numFmt w:val="decimal"/>
      <w:start w:val="9"/>
    </w:lvl>
  </w:abstractNum>
  <w:abstractNum w:abstractNumId="70">
    <w:nsid w:val="661E3F1E"/>
    <w:multiLevelType w:val="hybridMultilevel"/>
    <w:lvl w:ilvl="0">
      <w:lvlJc w:val="left"/>
      <w:lvlText w:val="%1."/>
      <w:numFmt w:val="decimal"/>
      <w:start w:val="15"/>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8" Type="http://schemas.openxmlformats.org/officeDocument/2006/relationships/hyperlink" Target="http://www.sec.gov/Archives/edgar/data/1133421/000095012311032455/v59140exv10w1.htm" TargetMode="External"/><Relationship Id="rId9" Type="http://schemas.openxmlformats.org/officeDocument/2006/relationships/hyperlink" Target="http://www.sec.gov/Archives/edgar/data/1133421/000095012311032455/v59140exv10w2.htm" TargetMode="External"/><Relationship Id="rId10" Type="http://schemas.openxmlformats.org/officeDocument/2006/relationships/hyperlink" Target="http://www.sec.gov/Archives/edgar/data/1133421/000095015717001299/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2019-12-28T22:58:24Z</dcterms:created>
  <dcterms:modified xsi:type="dcterms:W3CDTF">2019-12-28T22:58:24Z</dcterms:modified>
</cp:coreProperties>
</file>