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275" w:type="dxa"/>
        <w:jc w:val="center"/>
        <w:tblInd w:w="0" w:type="dxa"/>
        <w:tblLayout w:type="fixed"/>
        <w:tblCellMar>
          <w:top w:w="28" w:type="dxa"/>
          <w:left w:w="28" w:type="dxa"/>
          <w:bottom w:w="28" w:type="dxa"/>
          <w:right w:w="28" w:type="dxa"/>
        </w:tblCellMar>
      </w:tblPr>
      <w:tblGrid>
        <w:gridCol w:w="255"/>
        <w:gridCol w:w="225"/>
        <w:gridCol w:w="226"/>
        <w:gridCol w:w="166"/>
        <w:gridCol w:w="166"/>
        <w:gridCol w:w="23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FORM</w:t>
            </w:r>
          </w:p>
        </w:tc>
        <w:tc>
          <w:tcPr>
            <w:tcW w:w="56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10-Q</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2025</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1-16411 </w:t>
      </w:r>
    </w:p>
    <w:p>
      <w:pPr>
        <w:pStyle w:val="TextBody"/>
        <w:bidi w:val="0"/>
        <w:spacing w:lineRule="auto" w:line="288" w:before="60" w:after="283"/>
        <w:jc w:val="center"/>
        <w:rPr>
          <w:rFonts w:ascii="Times New Roman;sans-serif" w:hAnsi="Times New Roman;sans-serif"/>
          <w:b/>
          <w:color w:val="000000"/>
          <w:sz w:val="34"/>
        </w:rPr>
      </w:pPr>
      <w:r>
        <w:rPr>
          <w:rFonts w:ascii="Times New Roman;sans-serif" w:hAnsi="Times New Roman;sans-serif"/>
          <w:b/>
          <w:color w:val="000000"/>
          <w:sz w:val="34"/>
        </w:rPr>
        <w:t xml:space="preserve">NORTHROP GRUMMAN CORPORATION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73" w:type="dxa"/>
        <w:jc w:val="left"/>
        <w:tblInd w:w="0" w:type="dxa"/>
        <w:tblLayout w:type="fixed"/>
        <w:tblCellMar>
          <w:top w:w="28" w:type="dxa"/>
          <w:left w:w="28" w:type="dxa"/>
          <w:bottom w:w="28" w:type="dxa"/>
          <w:right w:w="28" w:type="dxa"/>
        </w:tblCellMar>
      </w:tblPr>
      <w:tblGrid>
        <w:gridCol w:w="607"/>
        <w:gridCol w:w="533"/>
        <w:gridCol w:w="533"/>
        <w:gridCol w:w="533"/>
        <w:gridCol w:w="533"/>
        <w:gridCol w:w="558"/>
        <w:gridCol w:w="109"/>
        <w:gridCol w:w="109"/>
        <w:gridCol w:w="109"/>
        <w:gridCol w:w="481"/>
        <w:gridCol w:w="481"/>
        <w:gridCol w:w="687"/>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80-0640649</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2980 Fairview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Falls Church,</w:t>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22042</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(703) 280-2900 </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color w:val="000000"/>
        </w:rPr>
      </w:pPr>
      <w:r>
        <w:rPr>
          <w:color w:val="000000"/>
        </w:rPr>
        <w:t>    </w:t>
      </w:r>
      <w:r>
        <w:rPr>
          <w:rFonts w:ascii="Times New Roman;sans-serif" w:hAnsi="Times New Roman;sans-serif"/>
          <w:b w:val="false"/>
          <w:color w:val="000000"/>
          <w:sz w:val="20"/>
        </w:rPr>
        <w:t>Yes ☒    No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jc w:val="left"/>
        <w:rPr>
          <w:color w:val="000000"/>
        </w:rPr>
      </w:pPr>
      <w:r>
        <w:rPr>
          <w:color w:val="000000"/>
        </w:rPr>
        <w:t>    </w:t>
      </w:r>
      <w:r>
        <w:rPr>
          <w:rFonts w:ascii="Times New Roman;sans-serif" w:hAnsi="Times New Roman;sans-serif"/>
          <w:b w:val="false"/>
          <w:color w:val="000000"/>
          <w:sz w:val="20"/>
        </w:rPr>
        <w:t>Yes ☒    No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 ☒     Accelerated Filer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    Smaller Reporting Company ☐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60" w:after="100"/>
        <w:jc w:val="left"/>
        <w:rPr>
          <w:color w:val="000000"/>
        </w:rPr>
      </w:pPr>
      <w:r>
        <w:rPr>
          <w:color w:val="000000"/>
        </w:rPr>
        <w:t>    </w:t>
      </w:r>
      <w:r>
        <w:rPr>
          <w:rFonts w:ascii="Times New Roman;sans-serif" w:hAnsi="Times New Roman;sans-serif"/>
          <w:b w:val="false"/>
          <w:color w:val="000000"/>
          <w:sz w:val="20"/>
        </w:rPr>
        <w:t>Yes ☐    No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17, 2025, 143,928,185 shares of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687" w:type="dxa"/>
        <w:jc w:val="left"/>
        <w:tblInd w:w="0" w:type="dxa"/>
        <w:tblLayout w:type="fixed"/>
        <w:tblCellMar>
          <w:top w:w="28" w:type="dxa"/>
          <w:left w:w="28" w:type="dxa"/>
          <w:bottom w:w="28" w:type="dxa"/>
          <w:right w:w="28" w:type="dxa"/>
        </w:tblCellMar>
      </w:tblPr>
      <w:tblGrid>
        <w:gridCol w:w="293"/>
        <w:gridCol w:w="257"/>
        <w:gridCol w:w="261"/>
        <w:gridCol w:w="2454"/>
        <w:gridCol w:w="2454"/>
        <w:gridCol w:w="2457"/>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0c7e6580f147fab2155f156e01bedb_10">
              <w:r>
                <w:rPr>
                  <w:rStyle w:val="InternetLink"/>
                  <w:rFonts w:ascii="Times New Roman;sans-serif" w:hAnsi="Times New Roman;sans-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3">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6">
              <w:r>
                <w:rPr>
                  <w:rStyle w:val="InternetLink"/>
                  <w:rFonts w:ascii="Times New Roman;sans-serif" w:hAnsi="Times New Roman;sans-serif"/>
                  <w:b w:val="false"/>
                  <w:color w:val="0000FF"/>
                  <w:sz w:val="20"/>
                  <w:u w:val="single"/>
                </w:rPr>
                <w:t>Condensed Consolidated Statements of Earnings and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6">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9">
              <w:r>
                <w:rPr>
                  <w:rStyle w:val="InternetLink"/>
                  <w:rFonts w:ascii="Times New Roman;sans-serif" w:hAnsi="Times New Roman;sans-serif"/>
                  <w:b w:val="false"/>
                  <w:color w:val="0000FF"/>
                  <w:sz w:val="20"/>
                  <w:u w:val="single"/>
                </w:rPr>
                <w:t>Condensed Consolidated Statements of Financial Position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9">
              <w:r>
                <w:rPr>
                  <w:rStyle w:val="InternetLink"/>
                  <w:rFonts w:ascii="Times New Roman;sans-serif" w:hAnsi="Times New Roman;sans-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22">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22">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25">
              <w:r>
                <w:rPr>
                  <w:rStyle w:val="InternetLink"/>
                  <w:rFonts w:ascii="Times New Roman;sans-serif" w:hAnsi="Times New Roman;sans-serif"/>
                  <w:b w:val="false"/>
                  <w:color w:val="0000FF"/>
                  <w:sz w:val="20"/>
                  <w:u w:val="single"/>
                </w:rPr>
                <w:t>Condensed Consolidated Statements of Changes in Shareholders’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25">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28">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31">
              <w:r>
                <w:rPr>
                  <w:rStyle w:val="InternetLink"/>
                  <w:rFonts w:ascii="Times New Roman;sans-serif" w:hAnsi="Times New Roman;sans-serif"/>
                  <w:b w:val="false"/>
                  <w:color w:val="0000FF"/>
                  <w:sz w:val="20"/>
                  <w:u w:val="single"/>
                </w:rPr>
                <w:t>1. Summary of Significant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31">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34">
              <w:r>
                <w:rPr>
                  <w:rStyle w:val="InternetLink"/>
                  <w:rFonts w:ascii="Times New Roman;sans-serif" w:hAnsi="Times New Roman;sans-serif"/>
                  <w:b w:val="false"/>
                  <w:color w:val="0000FF"/>
                  <w:sz w:val="20"/>
                  <w:u w:val="single"/>
                </w:rPr>
                <w:t>2. Earnings Per Share, Share Repurchases and Dividends on Common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34">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37">
              <w:r>
                <w:rPr>
                  <w:rStyle w:val="InternetLink"/>
                  <w:rFonts w:ascii="Times New Roman;sans-serif" w:hAnsi="Times New Roman;sans-serif"/>
                  <w:b w:val="false"/>
                  <w:color w:val="0000FF"/>
                  <w:sz w:val="20"/>
                  <w:u w:val="single"/>
                </w:rPr>
                <w:t>3. Inventoried Costs, Net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37">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40">
              <w:r>
                <w:rPr>
                  <w:rStyle w:val="InternetLink"/>
                  <w:rFonts w:ascii="Times New Roman;sans-serif" w:hAnsi="Times New Roman;sans-serif"/>
                  <w:b w:val="false"/>
                  <w:color w:val="0000FF"/>
                  <w:sz w:val="20"/>
                  <w:u w:val="single"/>
                </w:rPr>
                <w:t>4.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40">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43">
              <w:r>
                <w:rPr>
                  <w:rStyle w:val="InternetLink"/>
                  <w:rFonts w:ascii="Times New Roman;sans-serif" w:hAnsi="Times New Roman;sans-serif"/>
                  <w:b w:val="false"/>
                  <w:color w:val="0000FF"/>
                  <w:sz w:val="20"/>
                  <w:u w:val="single"/>
                </w:rPr>
                <w:t>5. Fair Value of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43">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46">
              <w:r>
                <w:rPr>
                  <w:rStyle w:val="InternetLink"/>
                  <w:rFonts w:ascii="Times New Roman;sans-serif" w:hAnsi="Times New Roman;sans-serif"/>
                  <w:b w:val="false"/>
                  <w:color w:val="0000FF"/>
                  <w:sz w:val="20"/>
                  <w:u w:val="single"/>
                </w:rPr>
                <w:t>6. Investigations, Claims and Litigation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46">
              <w:r>
                <w:rPr>
                  <w:rStyle w:val="InternetLink"/>
                  <w:rFonts w:ascii="Times New Roman;sans-serif" w:hAnsi="Times New Roman;sans-serif"/>
                  <w:b w:val="false"/>
                  <w:color w:val="0000FF"/>
                  <w:sz w:val="20"/>
                  <w:u w:val="singl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49">
              <w:r>
                <w:rPr>
                  <w:rStyle w:val="InternetLink"/>
                  <w:rFonts w:ascii="Times New Roman;sans-serif" w:hAnsi="Times New Roman;sans-serif"/>
                  <w:b w:val="false"/>
                  <w:color w:val="0000FF"/>
                  <w:sz w:val="20"/>
                  <w:u w:val="single"/>
                </w:rPr>
                <w:t>7. Commitments and Contingencies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49">
              <w:r>
                <w:rPr>
                  <w:rStyle w:val="InternetLink"/>
                  <w:rFonts w:ascii="Times New Roman;sans-serif" w:hAnsi="Times New Roman;sans-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52">
              <w:r>
                <w:rPr>
                  <w:rStyle w:val="InternetLink"/>
                  <w:rFonts w:ascii="Times New Roman;sans-serif" w:hAnsi="Times New Roman;sans-serif"/>
                  <w:b w:val="false"/>
                  <w:color w:val="0000FF"/>
                  <w:sz w:val="20"/>
                  <w:u w:val="single"/>
                </w:rPr>
                <w:t>8. Retirement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52">
              <w:r>
                <w:rPr>
                  <w:rStyle w:val="InternetLink"/>
                  <w:rFonts w:ascii="Times New Roman;sans-serif" w:hAnsi="Times New Roman;sans-serif"/>
                  <w:b w:val="false"/>
                  <w:color w:val="0000FF"/>
                  <w:sz w:val="20"/>
                  <w:u w:val="single"/>
                </w:rPr>
                <w:t>12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55">
              <w:r>
                <w:rPr>
                  <w:rStyle w:val="InternetLink"/>
                  <w:rFonts w:ascii="Times New Roman;sans-serif" w:hAnsi="Times New Roman;sans-serif"/>
                  <w:b w:val="false"/>
                  <w:color w:val="0000FF"/>
                  <w:sz w:val="20"/>
                  <w:u w:val="single"/>
                </w:rPr>
                <w:t>9. Stock Compensation Plans and Other Compensation Arrangements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55">
              <w:r>
                <w:rPr>
                  <w:rStyle w:val="InternetLink"/>
                  <w:rFonts w:ascii="Times New Roman;sans-serif" w:hAnsi="Times New Roman;sans-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61">
              <w:r>
                <w:rPr>
                  <w:rStyle w:val="InternetLink"/>
                  <w:rFonts w:ascii="Times New Roman;sans-serif" w:hAnsi="Times New Roman;sans-serif"/>
                  <w:b w:val="false"/>
                  <w:color w:val="0000FF"/>
                  <w:sz w:val="20"/>
                  <w:u w:val="single"/>
                </w:rPr>
                <w:t>10. Segment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61">
              <w:r>
                <w:rPr>
                  <w:rStyle w:val="InternetLink"/>
                  <w:rFonts w:ascii="Times New Roman;sans-serif" w:hAnsi="Times New Roman;sans-serif"/>
                  <w:b w:val="false"/>
                  <w:color w:val="0000FF"/>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64">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64">
              <w:r>
                <w:rPr>
                  <w:rStyle w:val="InternetLink"/>
                  <w:rFonts w:ascii="Times New Roman;sans-serif" w:hAnsi="Times New Roman;sans-serif"/>
                  <w:b w:val="false"/>
                  <w:color w:val="0000FF"/>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70">
              <w:r>
                <w:rPr>
                  <w:rStyle w:val="InternetLink"/>
                  <w:rFonts w:ascii="Times New Roman;sans-serif" w:hAnsi="Times New Roman;sans-serif"/>
                  <w:b w:val="false"/>
                  <w:color w:val="0000FF"/>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70">
              <w:r>
                <w:rPr>
                  <w:rStyle w:val="InternetLink"/>
                  <w:rFonts w:ascii="Times New Roman;sans-serif" w:hAnsi="Times New Roman;sans-serif"/>
                  <w:b w:val="false"/>
                  <w:color w:val="0000FF"/>
                  <w:sz w:val="20"/>
                  <w:u w:val="single"/>
                </w:rPr>
                <w:t>21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73">
              <w:r>
                <w:rPr>
                  <w:rStyle w:val="InternetLink"/>
                  <w:rFonts w:ascii="Times New Roman;sans-serif" w:hAnsi="Times New Roman;sans-serif"/>
                  <w:b w:val="false"/>
                  <w:color w:val="0000FF"/>
                  <w:sz w:val="20"/>
                  <w:u w:val="single"/>
                </w:rPr>
                <w:t>Consolidated Operating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73">
              <w:r>
                <w:rPr>
                  <w:rStyle w:val="InternetLink"/>
                  <w:rFonts w:ascii="Times New Roman;sans-serif" w:hAnsi="Times New Roman;sans-serif"/>
                  <w:b w:val="false"/>
                  <w:color w:val="0000FF"/>
                  <w:sz w:val="20"/>
                  <w:u w:val="single"/>
                </w:rPr>
                <w:t>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76">
              <w:r>
                <w:rPr>
                  <w:rStyle w:val="InternetLink"/>
                  <w:rFonts w:ascii="Times New Roman;sans-serif" w:hAnsi="Times New Roman;sans-serif"/>
                  <w:b w:val="false"/>
                  <w:color w:val="0000FF"/>
                  <w:sz w:val="20"/>
                  <w:u w:val="single"/>
                </w:rPr>
                <w:t>Segment Operating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76">
              <w:r>
                <w:rPr>
                  <w:rStyle w:val="InternetLink"/>
                  <w:rFonts w:ascii="Times New Roman;sans-serif" w:hAnsi="Times New Roman;sans-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79">
              <w:r>
                <w:rPr>
                  <w:rStyle w:val="InternetLink"/>
                  <w:rFonts w:ascii="Times New Roman;sans-serif" w:hAnsi="Times New Roman;sans-serif"/>
                  <w:b w:val="false"/>
                  <w:color w:val="0000FF"/>
                  <w:sz w:val="20"/>
                  <w:u w:val="single"/>
                </w:rPr>
                <w:t>Product and Service Analysis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79">
              <w:r>
                <w:rPr>
                  <w:rStyle w:val="InternetLink"/>
                  <w:rFonts w:ascii="Times New Roman;sans-serif" w:hAnsi="Times New Roman;sans-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82">
              <w:r>
                <w:rPr>
                  <w:rStyle w:val="InternetLink"/>
                  <w:rFonts w:ascii="Times New Roman;sans-serif" w:hAnsi="Times New Roman;sans-serif"/>
                  <w:b w:val="false"/>
                  <w:color w:val="0000FF"/>
                  <w:sz w:val="20"/>
                  <w:u w:val="single"/>
                </w:rPr>
                <w:t>Backlog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82">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85">
              <w:r>
                <w:rPr>
                  <w:rStyle w:val="InternetLink"/>
                  <w:rFonts w:ascii="Times New Roman;sans-serif" w:hAnsi="Times New Roman;sans-serif"/>
                  <w:b w:val="false"/>
                  <w:color w:val="0000FF"/>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85">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88">
              <w:r>
                <w:rPr>
                  <w:rStyle w:val="InternetLink"/>
                  <w:rFonts w:ascii="Times New Roman;sans-serif" w:hAnsi="Times New Roman;sans-serif"/>
                  <w:b w:val="false"/>
                  <w:color w:val="0000FF"/>
                  <w:sz w:val="20"/>
                  <w:u w:val="single"/>
                </w:rPr>
                <w:t>Critical Accounting Policies, Estimates and Judgments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88">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88">
              <w:r>
                <w:rPr>
                  <w:rStyle w:val="InternetLink"/>
                  <w:rFonts w:ascii="Times New Roman;sans-serif" w:hAnsi="Times New Roman;sans-serif"/>
                  <w:b w:val="false"/>
                  <w:color w:val="0000FF"/>
                  <w:sz w:val="20"/>
                  <w:u w:val="single"/>
                </w:rPr>
                <w:t>Accounting Standards Updates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88">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91">
              <w:r>
                <w:rPr>
                  <w:rStyle w:val="InternetLink"/>
                  <w:rFonts w:ascii="Times New Roman;sans-serif" w:hAnsi="Times New Roman;sans-serif"/>
                  <w:b w:val="false"/>
                  <w:color w:val="0000FF"/>
                  <w:sz w:val="20"/>
                  <w:u w:val="single"/>
                </w:rPr>
                <w:t>Forward-Looking Statements and Projections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91">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94">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94">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97">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97">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0c7e6580f147fab2155f156e01bedb_100">
              <w:r>
                <w:rPr>
                  <w:rStyle w:val="InternetLink"/>
                  <w:rFonts w:ascii="Times New Roman;sans-serif" w:hAnsi="Times New Roman;sans-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03">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03">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06">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06">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09">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09">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12">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12">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15">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15">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0c7e6580f147fab2155f156e01bedb_118">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0c7e6580f147fab2155f156e01bedb_118">
              <w:r>
                <w:rPr>
                  <w:rStyle w:val="InternetLink"/>
                  <w:rFonts w:ascii="Times New Roman;sans-serif" w:hAnsi="Times New Roman;sans-serif"/>
                  <w:b w:val="false"/>
                  <w:color w:val="0000FF"/>
                  <w:sz w:val="20"/>
                  <w:u w:val="singl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 AND COMPREHENSIVE INCOME (Unaudited)</w:t>
      </w:r>
    </w:p>
    <w:tbl>
      <w:tblPr>
        <w:tblW w:w="9054" w:type="dxa"/>
        <w:jc w:val="left"/>
        <w:tblInd w:w="0" w:type="dxa"/>
        <w:tblLayout w:type="fixed"/>
        <w:tblCellMar>
          <w:top w:w="28" w:type="dxa"/>
          <w:left w:w="28" w:type="dxa"/>
          <w:bottom w:w="28" w:type="dxa"/>
          <w:right w:w="28" w:type="dxa"/>
        </w:tblCellMar>
      </w:tblPr>
      <w:tblGrid>
        <w:gridCol w:w="1769"/>
        <w:gridCol w:w="1557"/>
        <w:gridCol w:w="1563"/>
        <w:gridCol w:w="109"/>
        <w:gridCol w:w="109"/>
        <w:gridCol w:w="246"/>
        <w:gridCol w:w="246"/>
        <w:gridCol w:w="476"/>
        <w:gridCol w:w="1425"/>
        <w:gridCol w:w="246"/>
        <w:gridCol w:w="109"/>
        <w:gridCol w:w="109"/>
        <w:gridCol w:w="109"/>
        <w:gridCol w:w="211"/>
        <w:gridCol w:w="616"/>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7,521</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1,947</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6,366</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1,522</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1,007</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8,895</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FAS 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foreign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144.6</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diluted shares outstanding,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144.9</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cumulative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w:t>
            </w:r>
            <w:r>
              <w:rPr>
                <w:color w:val="000000"/>
              </w:rPr>
              <w:t> </w:t>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FINANCIAL POSITION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07"/>
        <w:gridCol w:w="2199"/>
        <w:gridCol w:w="2207"/>
        <w:gridCol w:w="257"/>
        <w:gridCol w:w="899"/>
        <w:gridCol w:w="132"/>
        <w:gridCol w:w="109"/>
        <w:gridCol w:w="109"/>
        <w:gridCol w:w="109"/>
        <w:gridCol w:w="286"/>
        <w:gridCol w:w="979"/>
        <w:gridCol w:w="212"/>
      </w:tblGrid>
      <w:tr>
        <w:trPr/>
        <w:tc>
          <w:tcPr>
            <w:tcW w:w="2707"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par value</w:t>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7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6,857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13,267</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$8,998 for 2025 and $8,733 for 2024</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10,522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1,826</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17,434</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plan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1,259</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48,468</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billings in excess of costs incurred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3,710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13,969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 of $605 for 2025 and $1,582 for 2024</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14,167</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plan liabilities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2,379</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33,484</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7)</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 par value; 10,000,000 shares authorized; no shares issued and outstanding</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$1 par value; 800,000,000 shares authorized; issued and outstanding: 2025—144,071,022 and 2024—144,952,026</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14,984</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48,468</w:t>
            </w:r>
            <w:r>
              <w:rPr>
                <w:color w:val="000000"/>
              </w:rPr>
              <w:t>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49,359 </w:t>
            </w:r>
          </w:p>
        </w:tc>
        <w:tc>
          <w:tcPr>
            <w:tcW w:w="2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(Unaudited)</w:t>
      </w:r>
    </w:p>
    <w:tbl>
      <w:tblPr>
        <w:tblW w:w="8050" w:type="dxa"/>
        <w:jc w:val="left"/>
        <w:tblInd w:w="0" w:type="dxa"/>
        <w:tblLayout w:type="fixed"/>
        <w:tblCellMar>
          <w:top w:w="28" w:type="dxa"/>
          <w:left w:w="28" w:type="dxa"/>
          <w:bottom w:w="28" w:type="dxa"/>
          <w:right w:w="28" w:type="dxa"/>
        </w:tblCellMar>
      </w:tblPr>
      <w:tblGrid>
        <w:gridCol w:w="1946"/>
        <w:gridCol w:w="1704"/>
        <w:gridCol w:w="1719"/>
        <w:gridCol w:w="250"/>
        <w:gridCol w:w="750"/>
        <w:gridCol w:w="129"/>
        <w:gridCol w:w="129"/>
        <w:gridCol w:w="129"/>
        <w:gridCol w:w="129"/>
        <w:gridCol w:w="250"/>
        <w:gridCol w:w="732"/>
        <w:gridCol w:w="183"/>
      </w:tblGrid>
      <w:tr>
        <w:trPr/>
        <w:tc>
          <w:tcPr>
            <w:tcW w:w="194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net cash used in operating activities: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B-21 loss provision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and OPB income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OPB contributions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long-term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on commercial paper</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employee taxes withheld from share-based awards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and cash equivalents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(2,668)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4,353</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1,685</w:t>
            </w:r>
            <w:r>
              <w:rPr>
                <w:color w:val="000000"/>
              </w:rPr>
              <w:t>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(Unaudited)</w:t>
      </w:r>
    </w:p>
    <w:tbl>
      <w:tblPr>
        <w:tblW w:w="8092" w:type="dxa"/>
        <w:jc w:val="left"/>
        <w:tblInd w:w="0" w:type="dxa"/>
        <w:tblLayout w:type="fixed"/>
        <w:tblCellMar>
          <w:top w:w="28" w:type="dxa"/>
          <w:left w:w="28" w:type="dxa"/>
          <w:bottom w:w="28" w:type="dxa"/>
          <w:right w:w="28" w:type="dxa"/>
        </w:tblCellMar>
      </w:tblPr>
      <w:tblGrid>
        <w:gridCol w:w="1384"/>
        <w:gridCol w:w="1218"/>
        <w:gridCol w:w="1222"/>
        <w:gridCol w:w="109"/>
        <w:gridCol w:w="109"/>
        <w:gridCol w:w="225"/>
        <w:gridCol w:w="225"/>
        <w:gridCol w:w="437"/>
        <w:gridCol w:w="1525"/>
        <w:gridCol w:w="225"/>
        <w:gridCol w:w="109"/>
        <w:gridCol w:w="109"/>
        <w:gridCol w:w="109"/>
        <w:gridCol w:w="211"/>
        <w:gridCol w:w="72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15,297</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14,982</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14,984</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25"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225"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top w:val="single" w:sz="16"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Principles of Consolidation and Reporting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1, 2024, the company realigned the Strategic Deterrent Systems (SDS) division, which includes the Ground-Based Strategic Deterrent (“Sentinel”) program, from Space Systems to Defense Systems. Effective January 1, 2025, the company realigned the Strike and Surveillance Aircraft Solutions (SSAS) business unit from Defense Systems to Aeronautics Systems. These realignments are reflected in the financial information contained in this report.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Results reported in the financial statements are not necessarily indicative of results that may be expected for the entire year. The financial statements should be read in conjunction with the information contained in the company’s 2024 Annual Report on Form 10-K.</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Estimates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Estimates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B-21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we recognized a projected loss of $1.56 billion across the five low-rate initial production (LRIP) options on the B-21 program. During the first quarter of 2025, we recognized an additional $477 million loss across the five LRIP options. This additional loss largely relates to higher manufacturing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primarily resulting from a process change made by the company to enable an accelerated production ramp, as well as increases in the projected cost and quantity of general procurement materials. The additional loss comprises $226 million of unfavorable EAC adjustments on the first and second LRIP lots and a $251 million loss contingency accrual for lots 3-5, which have not yet been exercised. As of March 31, 2025, the remaining loss accrual on the B-21 program totaled $1.7 billion, which is included in Other current liabilities.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EAC Adjustments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aggregate net EAC adjustments:</w:t>
      </w:r>
    </w:p>
    <w:tbl>
      <w:tblPr>
        <w:tblW w:w="6892" w:type="dxa"/>
        <w:jc w:val="left"/>
        <w:tblInd w:w="0" w:type="dxa"/>
        <w:tblLayout w:type="fixed"/>
        <w:tblCellMar>
          <w:top w:w="28" w:type="dxa"/>
          <w:left w:w="28" w:type="dxa"/>
          <w:bottom w:w="28" w:type="dxa"/>
          <w:right w:w="28" w:type="dxa"/>
        </w:tblCellMar>
      </w:tblPr>
      <w:tblGrid>
        <w:gridCol w:w="1080"/>
        <w:gridCol w:w="950"/>
        <w:gridCol w:w="954"/>
        <w:gridCol w:w="109"/>
        <w:gridCol w:w="109"/>
        <w:gridCol w:w="314"/>
        <w:gridCol w:w="314"/>
        <w:gridCol w:w="609"/>
        <w:gridCol w:w="1086"/>
        <w:gridCol w:w="314"/>
        <w:gridCol w:w="109"/>
        <w:gridCol w:w="109"/>
        <w:gridCol w:w="109"/>
        <w:gridCol w:w="211"/>
        <w:gridCol w:w="36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w:t>
            </w: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earnings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earnings per share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(0.55)</w:t>
            </w:r>
          </w:p>
        </w:tc>
        <w:tc>
          <w:tcPr>
            <w:tcW w:w="3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color w:val="000000"/>
          <w:sz w:val="12"/>
        </w:rPr>
        <w:t>(1)</w:t>
      </w:r>
      <w:r>
        <w:rPr>
          <w:rFonts w:ascii="Times New Roman;sans-serif" w:hAnsi="Times New Roman;sans-serif"/>
          <w:b w:val="false"/>
          <w:color w:val="000000"/>
          <w:sz w:val="18"/>
        </w:rPr>
        <w:t>Based on a 21 percent federal statutory tax rate.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EAC adjustments on a single performance obligation can have a significant effect on the company’s financial statements. When such adjustments occur, we generally disclose the nature, underlying conditions and financial impact of the adjustments. During the first quarter of 2025, the company recorded a $226 million unfavorable EAC adjustment on the first and second LRIP lots of the B-21 program at Aeronautics Systems, as described above. No EAC adjustments on a single performance obligation had a significant impact on the financial statements during the three months ended March 31, 2024.</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Backlog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Company backlog as of March 31, 2025 was $92.8 billion. Of our March 31, 2025 backlog, we expect to recognize approximately 40 percent as revenue over the next 12 months and 65 percent as revenue over the next 24 months, with the remainder to be recognized thereafter.</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each of the three months ended March 31, 2025 and 2024 that was included in the contract liability balances at the beginning of each year was $1.9 billion.</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activities for the three months ended March 31, 2025 and 2024 include capital expenditures incurred but not yet paid of $44 million and $63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Pending Divestiture of Training Services Business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29, 2025, the company entered into a definitive agreement to sell substantially all of the Immersive Mission Solutions (IMS) operating unit of Defense Systems for $327 million in cash. IMS is a provider of mission training and satellite ground network communications software for U.S. government customers. The transaction, which is subject to final government approvals and closing conditions, is expected to be completed mid-year 2025. The carrying amounts of the major classes of assets and liabilities of the IMS business were classified as held for sale and included in Prepaid and other current assets and Other current liabilities, respectively, in the condensed consolidated statement of financial position as of March 31, 2025. We expect to recognize an after-tax gain of approximately $150 million when the transaction closes.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net of tax, are as follows:</w:t>
      </w:r>
    </w:p>
    <w:tbl>
      <w:tblPr>
        <w:tblW w:w="7227" w:type="dxa"/>
        <w:jc w:val="left"/>
        <w:tblInd w:w="0" w:type="dxa"/>
        <w:tblLayout w:type="fixed"/>
        <w:tblCellMar>
          <w:top w:w="28" w:type="dxa"/>
          <w:left w:w="28" w:type="dxa"/>
          <w:bottom w:w="28" w:type="dxa"/>
          <w:right w:w="28" w:type="dxa"/>
        </w:tblCellMar>
      </w:tblPr>
      <w:tblGrid>
        <w:gridCol w:w="1353"/>
        <w:gridCol w:w="1186"/>
        <w:gridCol w:w="1196"/>
        <w:gridCol w:w="353"/>
        <w:gridCol w:w="905"/>
        <w:gridCol w:w="182"/>
        <w:gridCol w:w="109"/>
        <w:gridCol w:w="109"/>
        <w:gridCol w:w="109"/>
        <w:gridCol w:w="429"/>
        <w:gridCol w:w="980"/>
        <w:gridCol w:w="316"/>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loss</w:t>
            </w:r>
          </w:p>
        </w:tc>
        <w:tc>
          <w:tcPr>
            <w:tcW w:w="3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w:t>
            </w:r>
          </w:p>
        </w:tc>
        <w:tc>
          <w:tcPr>
            <w:tcW w:w="1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the company had no material related party transactions.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Standards Updates</w:t>
      </w:r>
    </w:p>
    <w:p>
      <w:pPr>
        <w:pStyle w:val="TextBody"/>
        <w:bidi w:val="0"/>
        <w:spacing w:lineRule="auto" w:line="288" w:before="0" w:after="100"/>
        <w:jc w:val="left"/>
        <w:rPr/>
      </w:pPr>
      <w:r>
        <w:rPr>
          <w:rFonts w:ascii="Times New Roman;sans-serif" w:hAnsi="Times New Roman;sans-serif"/>
          <w:b w:val="false"/>
          <w:color w:val="000000"/>
          <w:sz w:val="20"/>
        </w:rPr>
        <w:t xml:space="preserve">On December 14,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however, the standard will not have an impact on the company’s consolidated financial position, results of operations and/or cash flows.</w:t>
      </w:r>
    </w:p>
    <w:p>
      <w:pPr>
        <w:pStyle w:val="TextBody"/>
        <w:bidi w:val="0"/>
        <w:spacing w:lineRule="auto" w:line="268" w:before="0" w:after="100"/>
        <w:jc w:val="left"/>
        <w:rPr/>
      </w:pPr>
      <w:r>
        <w:rPr>
          <w:rFonts w:ascii="Times New Roman;sans-serif" w:hAnsi="Times New Roman;sans-serif"/>
          <w:b w:val="false"/>
          <w:color w:val="000000"/>
          <w:sz w:val="20"/>
        </w:rPr>
        <w:t xml:space="preserve">On November 4, 2024, the FASB issued ASU No. 2024-03 </w:t>
      </w:r>
      <w:r>
        <w:rPr>
          <w:rFonts w:ascii="Times New Roman;sans-serif" w:hAnsi="Times New Roman;sans-serif"/>
          <w:b w:val="false"/>
          <w:i/>
          <w:color w:val="000000"/>
          <w:sz w:val="20"/>
        </w:rPr>
        <w:t>Disaggregation of Income Statement Expenses (Subtopic 220-40).</w:t>
      </w:r>
      <w:r>
        <w:rPr>
          <w:color w:val="000000"/>
        </w:rPr>
        <w:t xml:space="preserve"> </w:t>
      </w:r>
      <w:r>
        <w:rPr>
          <w:rFonts w:ascii="Times New Roman;sans-serif" w:hAnsi="Times New Roman;sans-serif"/>
          <w:b w:val="false"/>
          <w:color w:val="000000"/>
          <w:sz w:val="20"/>
        </w:rPr>
        <w:t>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2023-09; however, we do not expect the standard will have a material impact on the company’s consolidated financial position, results of operations and/or cash flows.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accounting standards updates adopted and/or issued, but not effective until after March 31, 2025, are not expected to have a material effect on the company’s consolidated financial position, results of operations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2.    EARNINGS PER SHARE, SHARE REPURCHASES AND DIVIDENDS ON COMMON STOCK</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earnings per share by dividing net earnings by the weighted-average number of shares of common stock outstanding during each period.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p>
      <w:pPr>
        <w:pStyle w:val="TextBody"/>
        <w:bidi w:val="0"/>
        <w:spacing w:lineRule="auto" w:line="288" w:before="0" w:after="100"/>
        <w:jc w:val="left"/>
        <w:rPr/>
      </w:pPr>
      <w:r>
        <w:rPr>
          <w:rFonts w:ascii="Times New Roman;sans-serif" w:hAnsi="Times New Roman;sans-serif"/>
          <w:b w:val="false"/>
          <w:color w:val="000000"/>
          <w:sz w:val="20"/>
        </w:rPr>
        <w:t xml:space="preserve">Diluted earnings per share include the dilutive effect of awards granted to employees under stock-based compensation plans. The dilutive effect of these securities totaled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shares and 0.4 million shares for the three months ended March 31, 2025 and 2024, respectively.</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24, 2022, the company’s board of directors authorized a share repurchase program of up to $2.0 billion in share repurchases of the company’s common stock (the “2022 Repurchase Program”). Repurchases under the 2022 Repurchase Program commenced in April 2023 and were completed in February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pPr>
      <w:r>
        <w:rPr>
          <w:rFonts w:ascii="Times New Roman;sans-serif" w:hAnsi="Times New Roman;sans-serif"/>
          <w:b w:val="false"/>
          <w:color w:val="000000"/>
          <w:sz w:val="20"/>
        </w:rPr>
        <w:t xml:space="preserve">On December 6, 2023, the company’s board of directors authorized a new share repurchase program of up to an additional $2.5 billion in share repurchases of the company’s common stock (the “2023 Repurchase Program”). Repurchases under the 2023 Repurchase Program commenced in February 2024 upon completion of the 2022 Repurchase Program. As of March 31, 2025, repurchases under the 2023 Repurchase Program totaled </w:t>
      </w:r>
      <w:r>
        <w:rPr>
          <w:rFonts w:ascii="Times New Roman;sans-serif" w:hAnsi="Times New Roman;sans-serif"/>
          <w:b w:val="false"/>
          <w:color w:val="000000"/>
          <w:sz w:val="20"/>
          <w:shd w:fill="FFFFFF" w:val="clear"/>
        </w:rPr>
        <w:t>$1.8 billion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$0.7 billion</w:t>
      </w:r>
      <w:r>
        <w:rPr>
          <w:color w:val="000000"/>
        </w:rPr>
        <w:t xml:space="preserve"> </w:t>
      </w:r>
      <w:r>
        <w:rPr>
          <w:rFonts w:ascii="Times New Roman;sans-serif" w:hAnsi="Times New Roman;sans-serif"/>
          <w:b w:val="false"/>
          <w:color w:val="000000"/>
          <w:sz w:val="20"/>
        </w:rPr>
        <w:t>remained under this share repurchase authorization. By its terms, the 2023 Repurchase Program will expire when we have used all authorized funds for repurchases.</w:t>
      </w:r>
    </w:p>
    <w:p>
      <w:pPr>
        <w:pStyle w:val="TextBody"/>
        <w:bidi w:val="0"/>
        <w:spacing w:lineRule="auto" w:line="288" w:before="0" w:after="100"/>
        <w:jc w:val="left"/>
        <w:rPr/>
      </w:pPr>
      <w:r>
        <w:rPr>
          <w:rFonts w:ascii="Times New Roman;sans-serif" w:hAnsi="Times New Roman;sans-serif"/>
          <w:b w:val="false"/>
          <w:color w:val="000000"/>
          <w:sz w:val="20"/>
        </w:rPr>
        <w:t>On December 11, 2024, the company’s board of directors authorized a new share repurchase program of up to an additional $3.0 billion in share repurchases of the company’s common stock (the “2024 Repurchase Program”). Repurchases under the 2024 R</w:t>
      </w:r>
      <w:r>
        <w:rPr>
          <w:rFonts w:ascii="Times New Roman;sans-serif" w:hAnsi="Times New Roman;sans-serif"/>
          <w:b w:val="false"/>
          <w:color w:val="000000"/>
          <w:sz w:val="20"/>
          <w:shd w:fill="FFFFFF" w:val="clear"/>
        </w:rPr>
        <w:t xml:space="preserve">epurchase Program will commence upon completion of the 2023 Repurchase Program and will expire when we have used all authorized funds for repurchases. As of March 31, 2025, there have been no repurchases </w:t>
      </w:r>
      <w:r>
        <w:rPr>
          <w:rFonts w:ascii="Times New Roman;sans-serif" w:hAnsi="Times New Roman;sans-serif"/>
          <w:b w:val="false"/>
          <w:color w:val="000000"/>
          <w:sz w:val="20"/>
        </w:rPr>
        <w:t xml:space="preserve">under the 2024 Repurchase Program and the company’s total outstanding share repurchase authorization was </w:t>
      </w:r>
      <w:r>
        <w:rPr>
          <w:rFonts w:ascii="Times New Roman;sans-serif" w:hAnsi="Times New Roman;sans-serif"/>
          <w:b w:val="false"/>
          <w:color w:val="000000"/>
          <w:sz w:val="20"/>
          <w:shd w:fill="FFFFFF" w:val="clear"/>
        </w:rPr>
        <w:t>$3.7 billion</w:t>
      </w:r>
      <w:r>
        <w:rPr>
          <w:rFonts w:ascii="Times New Roman;sans-serif" w:hAnsi="Times New Roman;sans-serif"/>
          <w:b w:val="false"/>
          <w:color w:val="000000"/>
          <w:sz w:val="20"/>
        </w:rPr>
        <w:t>.</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Accelerated Share Repurchase Agreements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entered into an accelerated share repurchase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 $200 million was settled on May 1, 2024 with a final delivery of 0.4 million shares from Morgan Stanley. The final average purchase price was $455.73 per share.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share repurchases to date under the authorizations described above:</w:t>
      </w:r>
    </w:p>
    <w:tbl>
      <w:tblPr>
        <w:tblW w:w="10205" w:type="dxa"/>
        <w:jc w:val="left"/>
        <w:tblInd w:w="0" w:type="dxa"/>
        <w:tblLayout w:type="fixed"/>
        <w:tblCellMar>
          <w:top w:w="28" w:type="dxa"/>
          <w:left w:w="28" w:type="dxa"/>
          <w:bottom w:w="28" w:type="dxa"/>
          <w:right w:w="28" w:type="dxa"/>
        </w:tblCellMar>
      </w:tblPr>
      <w:tblGrid>
        <w:gridCol w:w="647"/>
        <w:gridCol w:w="569"/>
        <w:gridCol w:w="570"/>
        <w:gridCol w:w="109"/>
        <w:gridCol w:w="109"/>
        <w:gridCol w:w="109"/>
        <w:gridCol w:w="243"/>
        <w:gridCol w:w="713"/>
        <w:gridCol w:w="128"/>
        <w:gridCol w:w="109"/>
        <w:gridCol w:w="109"/>
        <w:gridCol w:w="109"/>
        <w:gridCol w:w="356"/>
        <w:gridCol w:w="356"/>
        <w:gridCol w:w="357"/>
        <w:gridCol w:w="109"/>
        <w:gridCol w:w="109"/>
        <w:gridCol w:w="109"/>
        <w:gridCol w:w="211"/>
        <w:gridCol w:w="721"/>
        <w:gridCol w:w="109"/>
        <w:gridCol w:w="109"/>
        <w:gridCol w:w="109"/>
        <w:gridCol w:w="109"/>
        <w:gridCol w:w="416"/>
        <w:gridCol w:w="416"/>
        <w:gridCol w:w="418"/>
        <w:gridCol w:w="109"/>
        <w:gridCol w:w="109"/>
        <w:gridCol w:w="109"/>
        <w:gridCol w:w="263"/>
        <w:gridCol w:w="244"/>
        <w:gridCol w:w="244"/>
        <w:gridCol w:w="244"/>
        <w:gridCol w:w="244"/>
        <w:gridCol w:w="244"/>
        <w:gridCol w:w="257"/>
        <w:gridCol w:w="244"/>
        <w:gridCol w:w="356"/>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 Repurchased</w:t>
              <w:br/>
              <w:t>(in millions)</w:t>
            </w:r>
          </w:p>
        </w:tc>
      </w:tr>
      <w:tr>
        <w:trPr/>
        <w:tc>
          <w:tcPr>
            <w:tcW w:w="1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Repurchase Program</w:t>
              <w:br/>
              <w:t>Authorization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br/>
              <w:t>Authorized</w:t>
              <w:br/>
              <w:t>(in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Shares Retired</w:t>
              <w:br/>
              <w:t>(in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Average </w:t>
              <w:br/>
              <w:t>Price</w:t>
              <w:br/>
              <w:t>Per Share</w:t>
            </w:r>
            <w:r>
              <w:rPr>
                <w:rFonts w:ascii="Times New Roman;sans-serif" w:hAnsi="Times New Roman;sans-serif"/>
                <w:b w:val="false"/>
                <w:color w:val="000000"/>
                <w:sz w:val="13"/>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Completed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1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24,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11, 2024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Excludes brokerage commissions and other costs of execution, including taxes.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 on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the company increased the quarterly common stock dividend 10 percent to $2.06 per share from the previous amount of $1.87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3.    INVENTORIED COSTS, NET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net consist of the following:</w:t>
      </w:r>
    </w:p>
    <w:tbl>
      <w:tblPr>
        <w:tblW w:w="5722" w:type="dxa"/>
        <w:jc w:val="left"/>
        <w:tblInd w:w="0" w:type="dxa"/>
        <w:tblLayout w:type="fixed"/>
        <w:tblCellMar>
          <w:top w:w="28" w:type="dxa"/>
          <w:left w:w="28" w:type="dxa"/>
          <w:bottom w:w="28" w:type="dxa"/>
          <w:right w:w="28" w:type="dxa"/>
        </w:tblCellMar>
      </w:tblPr>
      <w:tblGrid>
        <w:gridCol w:w="690"/>
        <w:gridCol w:w="605"/>
        <w:gridCol w:w="609"/>
        <w:gridCol w:w="109"/>
        <w:gridCol w:w="109"/>
        <w:gridCol w:w="109"/>
        <w:gridCol w:w="319"/>
        <w:gridCol w:w="956"/>
        <w:gridCol w:w="165"/>
        <w:gridCol w:w="109"/>
        <w:gridCol w:w="109"/>
        <w:gridCol w:w="109"/>
        <w:gridCol w:w="371"/>
        <w:gridCol w:w="1083"/>
        <w:gridCol w:w="27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1,217</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Inventoried costs, net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1,578</w:t>
            </w:r>
            <w:r>
              <w:rPr>
                <w:color w:val="000000"/>
              </w:rPr>
              <w:t> </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4.    INCOME TAXES</w:t>
      </w:r>
    </w:p>
    <w:tbl>
      <w:tblPr>
        <w:tblW w:w="7521" w:type="dxa"/>
        <w:jc w:val="left"/>
        <w:tblInd w:w="0" w:type="dxa"/>
        <w:tblLayout w:type="fixed"/>
        <w:tblCellMar>
          <w:top w:w="28" w:type="dxa"/>
          <w:left w:w="28" w:type="dxa"/>
          <w:bottom w:w="28" w:type="dxa"/>
          <w:right w:w="28" w:type="dxa"/>
        </w:tblCellMar>
      </w:tblPr>
      <w:tblGrid>
        <w:gridCol w:w="1212"/>
        <w:gridCol w:w="1062"/>
        <w:gridCol w:w="1071"/>
        <w:gridCol w:w="109"/>
        <w:gridCol w:w="109"/>
        <w:gridCol w:w="260"/>
        <w:gridCol w:w="260"/>
        <w:gridCol w:w="503"/>
        <w:gridCol w:w="897"/>
        <w:gridCol w:w="718"/>
        <w:gridCol w:w="109"/>
        <w:gridCol w:w="109"/>
        <w:gridCol w:w="109"/>
        <w:gridCol w:w="211"/>
        <w:gridCol w:w="466"/>
        <w:gridCol w:w="316"/>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320" w:type="dxa"/>
            <w:gridSpan w:val="6"/>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foreign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w:t>
            </w:r>
            <w:r>
              <w:rPr>
                <w:color w:val="000000"/>
              </w:rPr>
              <w:t> </w:t>
            </w:r>
          </w:p>
        </w:tc>
        <w:tc>
          <w:tcPr>
            <w:tcW w:w="7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first quarter 2025 effective tax rate (ETR) increased to 16.8 percent from 16.5 percent in the prior year period. The increase in our ETR was driven by interest expense on unrecognized tax benefits and excess tax benefits for employee share-based compensation, partially offset by research credits. The first quarter 2025 ETR includes benefits of $34 million for research credits and $6 million for foreign derived intangible income (FDII), partially offset by $16 million of interest expense on unrecognized tax benefits. The first quarter 2024 ETR included benefits of $44 million for research credits and $15 million for FDII, partially offset by $21 million of interest expense on unrecognized tax benefits.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we increased our unrecognized tax benefits by approximately $100 million principally in connection with state apportionment matters and research credits. It is reasonably possible that within the next 12 months the company’s unrecognized tax benefits may increase by approximately $100 million.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U.S. federal jurisdiction and in various state and foreign jurisdictions. During the fourth quarter of 2024, the company entered into an agreed Revenue Agent’s Report (“RAR”) for certain matters related to the company’s 2018-2020 federal income tax returns, resulting in a $766 million reduction to our unrecognized tax benefits and an immaterial impact to income tax expense. The matters not addressed by the agreed RAR related to the company’s 2018-2020 federal income tax returns are currently under Internal Revenue Service (IRS) examination. Certain matters related to the 2014-2017 federal income tax returns and refund claims related to its 2007-2016 federal tax returns are currently under review by the IRS Appeals Office.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issued Pillar Two model rules for a global minimum tax of 15% effective January 1, 2024. Pillar Two had no impact on our first quarter 2025 or 2024 ETR, and we do not currently expect Pillar Two to significantly impact our ETR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5.    FAIR VALUE OF FINANCIAL INSTRUMENTS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a portfolio of marketable securities to partially fund non-qualified employee benefit plans.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financial assets and liabilities the company records at fair value on a recurring basis identified by the level of inputs used to determine fair value: </w:t>
      </w:r>
    </w:p>
    <w:tbl>
      <w:tblPr>
        <w:tblW w:w="10205" w:type="dxa"/>
        <w:jc w:val="left"/>
        <w:tblInd w:w="0" w:type="dxa"/>
        <w:tblLayout w:type="fixed"/>
        <w:tblCellMar>
          <w:top w:w="28" w:type="dxa"/>
          <w:left w:w="28" w:type="dxa"/>
          <w:bottom w:w="28" w:type="dxa"/>
          <w:right w:w="28" w:type="dxa"/>
        </w:tblCellMar>
      </w:tblPr>
      <w:tblGrid>
        <w:gridCol w:w="673"/>
        <w:gridCol w:w="431"/>
        <w:gridCol w:w="418"/>
        <w:gridCol w:w="109"/>
        <w:gridCol w:w="109"/>
        <w:gridCol w:w="109"/>
        <w:gridCol w:w="211"/>
        <w:gridCol w:w="481"/>
        <w:gridCol w:w="109"/>
        <w:gridCol w:w="109"/>
        <w:gridCol w:w="109"/>
        <w:gridCol w:w="109"/>
        <w:gridCol w:w="211"/>
        <w:gridCol w:w="407"/>
        <w:gridCol w:w="109"/>
        <w:gridCol w:w="109"/>
        <w:gridCol w:w="109"/>
        <w:gridCol w:w="109"/>
        <w:gridCol w:w="213"/>
        <w:gridCol w:w="380"/>
        <w:gridCol w:w="110"/>
        <w:gridCol w:w="109"/>
        <w:gridCol w:w="109"/>
        <w:gridCol w:w="109"/>
        <w:gridCol w:w="211"/>
        <w:gridCol w:w="481"/>
        <w:gridCol w:w="109"/>
        <w:gridCol w:w="109"/>
        <w:gridCol w:w="109"/>
        <w:gridCol w:w="109"/>
        <w:gridCol w:w="211"/>
        <w:gridCol w:w="466"/>
        <w:gridCol w:w="109"/>
        <w:gridCol w:w="109"/>
        <w:gridCol w:w="109"/>
        <w:gridCol w:w="109"/>
        <w:gridCol w:w="211"/>
        <w:gridCol w:w="406"/>
        <w:gridCol w:w="109"/>
        <w:gridCol w:w="109"/>
        <w:gridCol w:w="109"/>
        <w:gridCol w:w="109"/>
        <w:gridCol w:w="213"/>
        <w:gridCol w:w="365"/>
        <w:gridCol w:w="110"/>
        <w:gridCol w:w="109"/>
        <w:gridCol w:w="109"/>
        <w:gridCol w:w="109"/>
        <w:gridCol w:w="211"/>
        <w:gridCol w:w="466"/>
        <w:gridCol w:w="158"/>
      </w:tblGrid>
      <w:tr>
        <w:trPr/>
        <w:tc>
          <w:tcPr>
            <w:tcW w:w="67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valued using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notional value of the company’s foreign currency forward contracts at March 31, 2025 and December 31, 2024 was $408 million and $399 million, respectively. The portion of notional value designated as a cash flow hedge at March 31, 2025 and December 31, 2024 was $256 million and $273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derivative fair values and related unrealized gains/losses at March 31, 2025 and December 31, 2024 were not material.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instruments into or out of Level 3 of the fair value hierarchy during the three months ended March 31, 2025.</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cash and cash equivalents and commercial paper approximates fair value.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Long-term Debt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long-term debt was $13.9 billion and $15.3 billion as of March 31, 2025 and December 31, 2024,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Senior Notes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issued $2.5 billion of unsecured senior notes for general corporate purposes, including debt repayment, share repurchases, and working capital, as follows: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$500 million of 4.60% senior notes due 2029 (the “2029 Notes”),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$850 million of 4.90% senior notes due 2034 (the “2034 Notes”), and</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$1.15 billion of 5.20% senior notes due 2054 (the “2054 Notes”).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the 2029 Notes, 2034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Repayment of Senior Notes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the company repaid $1.5 billion of 2.93 percent unsecured senior notes upon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6.    INVESTIGATIONS, CLAIMS AND LITIGATION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has stayed the filed individual lawsuits, pending its decision on class certification, which the court will undertake if an ongoing mediation between the parties is unsuccessful.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from the U.S. Department of Justice (DOJ) a criminal subpoena on December 9, 2022, and a civil investigative demand (CID) on February 2, 2023, both seeking information regarding financial and cost accounting and controls that appears focused on the interest rate assumptions the company used to determine our U.S. Government Cost Accounting Standards (CAS) pension expense, which we discuss in Note 7 below. The company is engaging with the government and responding to the requests. We cannot at this point predict the outcome of these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2025, or its annual results of operations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 Government Cost Claims and Contingencies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2025, or its annual results of operations and/or cash flows.</w:t>
      </w:r>
    </w:p>
    <w:p>
      <w:pPr>
        <w:pStyle w:val="TextBody"/>
        <w:bidi w:val="0"/>
        <w:spacing w:lineRule="auto" w:line="288" w:before="0" w:after="100"/>
        <w:jc w:val="left"/>
        <w:rPr/>
      </w:pPr>
      <w:r>
        <w:rPr>
          <w:rFonts w:ascii="Times New Roman;sans-serif" w:hAnsi="Times New Roman;sans-serif"/>
          <w:b w:val="false"/>
          <w:color w:val="000000"/>
          <w:sz w:val="20"/>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In addition, as noted in Note 6 above, the company received from the DOJ a criminal subpoena on December 9, 2022 and a CID on February 2, 2023, both seeking information that appears related to the interest rate assumptions at issue in our discussions with DCMA. The company has responded to requests and expects to continue discussions with the DOJ and DCMA as these matters progress. We cannot at this point predict the outcome of these matters.</w:t>
      </w:r>
      <w:r>
        <w:rPr>
          <w:color w:val="000000"/>
        </w:rPr>
        <w:t xml:space="preserve"> </w:t>
      </w:r>
      <w:r>
        <w:rPr>
          <w:rFonts w:ascii="Times New Roman;sans-serif" w:hAnsi="Times New Roman;sans-serif"/>
          <w:b w:val="false"/>
          <w:color w:val="000000"/>
          <w:sz w:val="20"/>
        </w:rPr>
        <w:t>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March 31, 2025 and December 31, 2024:</w:t>
      </w:r>
    </w:p>
    <w:tbl>
      <w:tblPr>
        <w:tblW w:w="10205" w:type="dxa"/>
        <w:jc w:val="left"/>
        <w:tblInd w:w="0" w:type="dxa"/>
        <w:tblLayout w:type="fixed"/>
        <w:tblCellMar>
          <w:top w:w="28" w:type="dxa"/>
          <w:left w:w="28" w:type="dxa"/>
          <w:bottom w:w="28" w:type="dxa"/>
          <w:right w:w="28" w:type="dxa"/>
        </w:tblCellMar>
      </w:tblPr>
      <w:tblGrid>
        <w:gridCol w:w="590"/>
        <w:gridCol w:w="500"/>
        <w:gridCol w:w="505"/>
        <w:gridCol w:w="109"/>
        <w:gridCol w:w="109"/>
        <w:gridCol w:w="109"/>
        <w:gridCol w:w="395"/>
        <w:gridCol w:w="901"/>
        <w:gridCol w:w="203"/>
        <w:gridCol w:w="109"/>
        <w:gridCol w:w="109"/>
        <w:gridCol w:w="109"/>
        <w:gridCol w:w="1237"/>
        <w:gridCol w:w="2828"/>
        <w:gridCol w:w="645"/>
        <w:gridCol w:w="109"/>
        <w:gridCol w:w="109"/>
        <w:gridCol w:w="109"/>
        <w:gridCol w:w="352"/>
        <w:gridCol w:w="805"/>
        <w:gridCol w:w="263"/>
      </w:tblGrid>
      <w:tr>
        <w:trPr/>
        <w:tc>
          <w:tcPr>
            <w:tcW w:w="5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Accrued Costs</w:t>
            </w:r>
            <w:r>
              <w:rPr>
                <w:rFonts w:ascii="Times New Roman;sans-serif" w:hAnsi="Times New Roman;sans-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Reasonably Possible Future Costs in Excess of Accrued Costs</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Deferred Costs</w:t>
            </w:r>
            <w:r>
              <w:rPr>
                <w:rFonts w:ascii="Times New Roman;sans-serif" w:hAnsi="Times New Roman;sans-serif"/>
                <w:b w:val="false"/>
                <w:color w:val="000000"/>
                <w:sz w:val="13"/>
              </w:rPr>
              <w:t>(3)</w:t>
            </w:r>
          </w:p>
        </w:tc>
      </w:tr>
      <w:tr>
        <w:trPr/>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w:t>
            </w:r>
            <w:r>
              <w:rPr>
                <w:color w:val="000000"/>
              </w:rPr>
              <w:t>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515</w:t>
            </w: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6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As of March 31, 2025, $180 million is recorded in Other current liabilities and $374 million is recorded in Other non-current liabilities.</w:t>
      </w:r>
    </w:p>
    <w:p>
      <w:pPr>
        <w:pStyle w:val="TextBody"/>
        <w:bidi w:val="0"/>
        <w:spacing w:lineRule="auto" w:line="288" w:before="0" w:after="100"/>
        <w:ind w:left="0" w:right="0" w:hanging="18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Estimated remediation costs are not discounted to present value. The reasonably possible future costs in excess of accrued costs do not take into consideration amounts expected to be recoverable through overhead charges on U.S. government contracts.</w:t>
      </w:r>
    </w:p>
    <w:p>
      <w:pPr>
        <w:pStyle w:val="TextBody"/>
        <w:bidi w:val="0"/>
        <w:spacing w:lineRule="auto" w:line="288" w:before="0" w:after="100"/>
        <w:ind w:left="0" w:right="0" w:hanging="18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As of March 31, 2025, $169 million is deferred in Prepaid expenses and other current assets and $346 million is deferred in Other non-current assets. These amounts are evaluated for recoverability on a routine basis.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remediation expenditures associated with our currently identified projects will have a material adverse effect on the company’s unaudited condensed consolidated financial position as of March 31, 2025, or its annual results of operations and/or cash flows.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Arrangements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uses standby letters of credit and guarantees issued by commercial banks and surety bonds issued principally by insurance companies to guarantee the performance on certain obligations. At March 31, 2025, there were $565 million of stand-by letters of credit and guarantees and $277 million of surety bonds outstanding.</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Commercial Paper</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commercial paper program that serves as a source of short-term financing with capacity to issue unsecured commercial paper notes up to $2.5 billion. At March 31, 2025, the company had $1.5 billion of outstanding commercial paper borrowings at a weighted-average interest rate of 4.69%, with original maturities of three months or less from the date of issuance. The outstanding balance of commercial paper borrowings is recorded in Other current liabilities in the unaudited condensed consolidated statements of financial position.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6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March 31, 2025, there were no borrowings outstanding under this facility; however, the amount available for borrowing was reduced by the $1.5 billion of commercial paper borrowings described above.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was in compliance with all covenants under its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8.    RETIREMENT BENEFITS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cost to the company of its pension and other postretirement benefit (OPB) plans is shown in the following table:</w:t>
      </w:r>
    </w:p>
    <w:tbl>
      <w:tblPr>
        <w:tblW w:w="10205" w:type="dxa"/>
        <w:jc w:val="left"/>
        <w:tblInd w:w="0" w:type="dxa"/>
        <w:tblLayout w:type="fixed"/>
        <w:tblCellMar>
          <w:top w:w="28" w:type="dxa"/>
          <w:left w:w="28" w:type="dxa"/>
          <w:bottom w:w="28" w:type="dxa"/>
          <w:right w:w="28" w:type="dxa"/>
        </w:tblCellMar>
      </w:tblPr>
      <w:tblGrid>
        <w:gridCol w:w="1462"/>
        <w:gridCol w:w="1278"/>
        <w:gridCol w:w="1296"/>
        <w:gridCol w:w="109"/>
        <w:gridCol w:w="109"/>
        <w:gridCol w:w="200"/>
        <w:gridCol w:w="200"/>
        <w:gridCol w:w="260"/>
        <w:gridCol w:w="260"/>
        <w:gridCol w:w="261"/>
        <w:gridCol w:w="200"/>
        <w:gridCol w:w="387"/>
        <w:gridCol w:w="798"/>
        <w:gridCol w:w="200"/>
        <w:gridCol w:w="109"/>
        <w:gridCol w:w="109"/>
        <w:gridCol w:w="109"/>
        <w:gridCol w:w="211"/>
        <w:gridCol w:w="538"/>
        <w:gridCol w:w="109"/>
        <w:gridCol w:w="109"/>
        <w:gridCol w:w="109"/>
        <w:gridCol w:w="109"/>
        <w:gridCol w:w="211"/>
        <w:gridCol w:w="328"/>
        <w:gridCol w:w="109"/>
        <w:gridCol w:w="109"/>
        <w:gridCol w:w="109"/>
        <w:gridCol w:w="109"/>
        <w:gridCol w:w="211"/>
        <w:gridCol w:w="328"/>
        <w:gridCol w:w="159"/>
      </w:tblGrid>
      <w:tr>
        <w:trPr/>
        <w:tc>
          <w:tcPr>
            <w:tcW w:w="146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185" w:type="dxa"/>
            <w:gridSpan w:val="18"/>
            <w:tcBorders/>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w:t>
              <w:br/>
              <w:t>Benefits</w:t>
            </w:r>
          </w:p>
        </w:tc>
        <w:tc>
          <w:tcPr>
            <w:tcW w:w="20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OPB</w:t>
            </w:r>
          </w:p>
        </w:tc>
        <w:tc>
          <w:tcPr>
            <w:tcW w:w="2000" w:type="dxa"/>
            <w:gridSpan w:val="12"/>
            <w:tcBorders/>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Employer Contributions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made by the company to its retirement plans are as follows:</w:t>
      </w:r>
    </w:p>
    <w:tbl>
      <w:tblPr>
        <w:tblW w:w="6458" w:type="dxa"/>
        <w:jc w:val="left"/>
        <w:tblInd w:w="0" w:type="dxa"/>
        <w:tblLayout w:type="fixed"/>
        <w:tblCellMar>
          <w:top w:w="28" w:type="dxa"/>
          <w:left w:w="28" w:type="dxa"/>
          <w:bottom w:w="28" w:type="dxa"/>
          <w:right w:w="28" w:type="dxa"/>
        </w:tblCellMar>
      </w:tblPr>
      <w:tblGrid>
        <w:gridCol w:w="924"/>
        <w:gridCol w:w="810"/>
        <w:gridCol w:w="816"/>
        <w:gridCol w:w="109"/>
        <w:gridCol w:w="109"/>
        <w:gridCol w:w="314"/>
        <w:gridCol w:w="314"/>
        <w:gridCol w:w="609"/>
        <w:gridCol w:w="1086"/>
        <w:gridCol w:w="314"/>
        <w:gridCol w:w="109"/>
        <w:gridCol w:w="109"/>
        <w:gridCol w:w="109"/>
        <w:gridCol w:w="211"/>
        <w:gridCol w:w="36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w:t>
            </w: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OPB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3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9.    STOCK COMPENSATION PLANS AND OTHER COMPENSATION ARRANGEMENTS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Awards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tbl>
      <w:tblPr>
        <w:tblW w:w="5618" w:type="dxa"/>
        <w:jc w:val="left"/>
        <w:tblInd w:w="0" w:type="dxa"/>
        <w:tblLayout w:type="fixed"/>
        <w:tblCellMar>
          <w:top w:w="28" w:type="dxa"/>
          <w:left w:w="28" w:type="dxa"/>
          <w:bottom w:w="28" w:type="dxa"/>
          <w:right w:w="28" w:type="dxa"/>
        </w:tblCellMar>
      </w:tblPr>
      <w:tblGrid>
        <w:gridCol w:w="947"/>
        <w:gridCol w:w="827"/>
        <w:gridCol w:w="835"/>
        <w:gridCol w:w="109"/>
        <w:gridCol w:w="109"/>
        <w:gridCol w:w="109"/>
        <w:gridCol w:w="289"/>
        <w:gridCol w:w="659"/>
        <w:gridCol w:w="149"/>
        <w:gridCol w:w="149"/>
        <w:gridCol w:w="149"/>
        <w:gridCol w:w="149"/>
        <w:gridCol w:w="289"/>
        <w:gridCol w:w="638"/>
        <w:gridCol w:w="211"/>
      </w:tblGrid>
      <w:tr>
        <w:trPr/>
        <w:tc>
          <w:tcPr>
            <w:tcW w:w="94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RSRs granted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RPSRs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aggregate fair value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w:t>
            </w:r>
            <w:r>
              <w:rPr>
                <w:color w:val="000000"/>
              </w:rPr>
              <w:t> </w:t>
            </w:r>
          </w:p>
        </w:tc>
        <w:tc>
          <w:tcPr>
            <w:tcW w:w="1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RSRs typically vest on the third anniversary of the grant date, while RPSRs generally vest and pay out based on the achievement of certain performance metrics and market conditions over a three-year period.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Awards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maximum aggregate payout amounts related to cash units (CUs) and cash performance units (CPUs) granted to employees in the periods presented:</w:t>
      </w:r>
    </w:p>
    <w:tbl>
      <w:tblPr>
        <w:tblW w:w="6084" w:type="dxa"/>
        <w:jc w:val="left"/>
        <w:tblInd w:w="0" w:type="dxa"/>
        <w:tblLayout w:type="fixed"/>
        <w:tblCellMar>
          <w:top w:w="28" w:type="dxa"/>
          <w:left w:w="28" w:type="dxa"/>
          <w:bottom w:w="28" w:type="dxa"/>
          <w:right w:w="28" w:type="dxa"/>
        </w:tblCellMar>
      </w:tblPr>
      <w:tblGrid>
        <w:gridCol w:w="1114"/>
        <w:gridCol w:w="976"/>
        <w:gridCol w:w="984"/>
        <w:gridCol w:w="109"/>
        <w:gridCol w:w="109"/>
        <w:gridCol w:w="109"/>
        <w:gridCol w:w="324"/>
        <w:gridCol w:w="577"/>
        <w:gridCol w:w="167"/>
        <w:gridCol w:w="167"/>
        <w:gridCol w:w="167"/>
        <w:gridCol w:w="167"/>
        <w:gridCol w:w="324"/>
        <w:gridCol w:w="554"/>
        <w:gridCol w:w="236"/>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aggregate payout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aggregate payout amount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w:t>
            </w:r>
            <w:r>
              <w:rPr>
                <w:color w:val="000000"/>
              </w:rPr>
              <w:t>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CUs typically vest and settle in cash on the third anniversary of the grant date, while CPUs generally vest and pay out in cash based on the achievement of certain performance metrics over a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sales, operating costs and expenses, and operating income by segment:</w:t>
      </w:r>
    </w:p>
    <w:tbl>
      <w:tblPr>
        <w:tblW w:w="7914" w:type="dxa"/>
        <w:jc w:val="left"/>
        <w:tblInd w:w="0" w:type="dxa"/>
        <w:tblLayout w:type="fixed"/>
        <w:tblCellMar>
          <w:top w:w="28" w:type="dxa"/>
          <w:left w:w="28" w:type="dxa"/>
          <w:bottom w:w="28" w:type="dxa"/>
          <w:right w:w="28" w:type="dxa"/>
        </w:tblCellMar>
      </w:tblPr>
      <w:tblGrid>
        <w:gridCol w:w="1357"/>
        <w:gridCol w:w="1190"/>
        <w:gridCol w:w="1202"/>
        <w:gridCol w:w="109"/>
        <w:gridCol w:w="109"/>
        <w:gridCol w:w="246"/>
        <w:gridCol w:w="246"/>
        <w:gridCol w:w="476"/>
        <w:gridCol w:w="1425"/>
        <w:gridCol w:w="246"/>
        <w:gridCol w:w="109"/>
        <w:gridCol w:w="109"/>
        <w:gridCol w:w="109"/>
        <w:gridCol w:w="211"/>
        <w:gridCol w:w="616"/>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2,814</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2,358</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 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1,730</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2,568</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1,829</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profit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FAS 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w:t>
            </w: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w:t>
            </w:r>
            <w:r>
              <w:rPr>
                <w:color w:val="000000"/>
              </w:rPr>
              <w:t> </w:t>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FAS/CAS Operating Adjustment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Unallocated Corporate Expense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tbl>
      <w:tblPr>
        <w:tblW w:w="7998" w:type="dxa"/>
        <w:jc w:val="left"/>
        <w:tblInd w:w="0" w:type="dxa"/>
        <w:tblLayout w:type="fixed"/>
        <w:tblCellMar>
          <w:top w:w="28" w:type="dxa"/>
          <w:left w:w="28" w:type="dxa"/>
          <w:bottom w:w="28" w:type="dxa"/>
          <w:right w:w="28" w:type="dxa"/>
        </w:tblCellMar>
      </w:tblPr>
      <w:tblGrid>
        <w:gridCol w:w="808"/>
        <w:gridCol w:w="711"/>
        <w:gridCol w:w="715"/>
        <w:gridCol w:w="109"/>
        <w:gridCol w:w="109"/>
        <w:gridCol w:w="207"/>
        <w:gridCol w:w="207"/>
        <w:gridCol w:w="263"/>
        <w:gridCol w:w="263"/>
        <w:gridCol w:w="401"/>
        <w:gridCol w:w="1201"/>
        <w:gridCol w:w="207"/>
        <w:gridCol w:w="203"/>
        <w:gridCol w:w="203"/>
        <w:gridCol w:w="301"/>
        <w:gridCol w:w="109"/>
        <w:gridCol w:w="109"/>
        <w:gridCol w:w="109"/>
        <w:gridCol w:w="211"/>
        <w:gridCol w:w="721"/>
        <w:gridCol w:w="109"/>
        <w:gridCol w:w="202"/>
        <w:gridCol w:w="204"/>
        <w:gridCol w:w="316"/>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by Customer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2797" w:type="dxa"/>
            <w:gridSpan w:val="12"/>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63" w:type="dxa"/>
            <w:gridSpan w:val="6"/>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3"/>
              </w:rPr>
              <w:t>(3)</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government</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478</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2,814</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government</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1,451</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government</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government</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government</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1,286</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w:t>
            </w:r>
            <w:r>
              <w:rPr>
                <w:color w:val="000000"/>
              </w:rPr>
              <w:t> </w:t>
            </w:r>
          </w:p>
        </w:tc>
        <w:tc>
          <w:tcPr>
            <w:tcW w:w="2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pStyle w:val="TextBody"/>
        <w:bidi w:val="0"/>
        <w:spacing w:lineRule="auto" w:line="288" w:before="100" w:after="10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pStyle w:val="TextBody"/>
        <w:bidi w:val="0"/>
        <w:spacing w:lineRule="auto" w:line="288" w:before="100" w:after="100"/>
        <w:ind w:left="0" w:right="0" w:hanging="18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Percentages calculated based on external customer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tbl>
      <w:tblPr>
        <w:tblW w:w="7923" w:type="dxa"/>
        <w:jc w:val="left"/>
        <w:tblInd w:w="0" w:type="dxa"/>
        <w:tblLayout w:type="fixed"/>
        <w:tblCellMar>
          <w:top w:w="28" w:type="dxa"/>
          <w:left w:w="28" w:type="dxa"/>
          <w:bottom w:w="28" w:type="dxa"/>
          <w:right w:w="28" w:type="dxa"/>
        </w:tblCellMar>
      </w:tblPr>
      <w:tblGrid>
        <w:gridCol w:w="809"/>
        <w:gridCol w:w="710"/>
        <w:gridCol w:w="715"/>
        <w:gridCol w:w="109"/>
        <w:gridCol w:w="109"/>
        <w:gridCol w:w="207"/>
        <w:gridCol w:w="207"/>
        <w:gridCol w:w="263"/>
        <w:gridCol w:w="263"/>
        <w:gridCol w:w="401"/>
        <w:gridCol w:w="1201"/>
        <w:gridCol w:w="207"/>
        <w:gridCol w:w="188"/>
        <w:gridCol w:w="188"/>
        <w:gridCol w:w="301"/>
        <w:gridCol w:w="109"/>
        <w:gridCol w:w="109"/>
        <w:gridCol w:w="109"/>
        <w:gridCol w:w="211"/>
        <w:gridCol w:w="721"/>
        <w:gridCol w:w="109"/>
        <w:gridCol w:w="180"/>
        <w:gridCol w:w="181"/>
        <w:gridCol w:w="316"/>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by Contract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2722" w:type="dxa"/>
            <w:gridSpan w:val="12"/>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18" w:type="dxa"/>
            <w:gridSpan w:val="6"/>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2"/>
              </w:rPr>
              <w:t>%</w:t>
            </w:r>
            <w:r>
              <w:rPr>
                <w:rFonts w:ascii="Times New Roman;sans-serif" w:hAnsi="Times New Roman;sans-serif"/>
                <w:b/>
                <w:color w:val="000000"/>
                <w:sz w:val="14"/>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color w:val="000000"/>
                <w:sz w:val="14"/>
              </w:rPr>
              <w:t>(1)</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1,434</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2,814</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795</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1,540</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5,007</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4,461</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w:t>
            </w:r>
            <w:r>
              <w:rPr>
                <w:color w:val="000000"/>
              </w:rPr>
              <w:t> </w:t>
            </w:r>
          </w:p>
        </w:tc>
        <w:tc>
          <w:tcPr>
            <w:tcW w:w="2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Percentages calculated based on external customer sales.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tbl>
      <w:tblPr>
        <w:tblW w:w="8209" w:type="dxa"/>
        <w:jc w:val="left"/>
        <w:tblInd w:w="0" w:type="dxa"/>
        <w:tblLayout w:type="fixed"/>
        <w:tblCellMar>
          <w:top w:w="28" w:type="dxa"/>
          <w:left w:w="28" w:type="dxa"/>
          <w:bottom w:w="28" w:type="dxa"/>
          <w:right w:w="28" w:type="dxa"/>
        </w:tblCellMar>
      </w:tblPr>
      <w:tblGrid>
        <w:gridCol w:w="886"/>
        <w:gridCol w:w="778"/>
        <w:gridCol w:w="781"/>
        <w:gridCol w:w="109"/>
        <w:gridCol w:w="109"/>
        <w:gridCol w:w="207"/>
        <w:gridCol w:w="263"/>
        <w:gridCol w:w="263"/>
        <w:gridCol w:w="207"/>
        <w:gridCol w:w="401"/>
        <w:gridCol w:w="1201"/>
        <w:gridCol w:w="207"/>
        <w:gridCol w:w="203"/>
        <w:gridCol w:w="203"/>
        <w:gridCol w:w="301"/>
        <w:gridCol w:w="109"/>
        <w:gridCol w:w="109"/>
        <w:gridCol w:w="109"/>
        <w:gridCol w:w="211"/>
        <w:gridCol w:w="721"/>
        <w:gridCol w:w="109"/>
        <w:gridCol w:w="202"/>
        <w:gridCol w:w="204"/>
        <w:gridCol w:w="31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by Geographic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2797" w:type="dxa"/>
            <w:gridSpan w:val="1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090" w:type="dxa"/>
            <w:gridSpan w:val="9"/>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2"/>
              </w:rPr>
              <w:t>%</w:t>
            </w:r>
            <w:r>
              <w:rPr>
                <w:rFonts w:ascii="Times New Roman;sans-serif" w:hAnsi="Times New Roman;sans-serif"/>
                <w:b/>
                <w:color w:val="000000"/>
                <w:sz w:val="14"/>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color w:val="000000"/>
                <w:sz w:val="14"/>
              </w:rPr>
              <w:t>(3)</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United States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2,295</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geographic regions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2,814</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United States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1,471</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geographic regions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United States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1,997</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geographic regions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United States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2,419</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geographic regions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United States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8,182</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417</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geographic regions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w:t>
            </w:r>
            <w:r>
              <w:rPr>
                <w:color w:val="000000"/>
              </w:rPr>
              <w:t> </w:t>
            </w:r>
          </w:p>
        </w:tc>
        <w:tc>
          <w:tcPr>
            <w:tcW w:w="2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No country other than the United States represents greater than 10% of total company sales.</w:t>
      </w:r>
      <w:r>
        <w:rPr>
          <w:color w:val="000000"/>
        </w:rPr>
        <w:t xml:space="preserve"> </w:t>
      </w:r>
    </w:p>
    <w:p>
      <w:pPr>
        <w:pStyle w:val="TextBody"/>
        <w:bidi w:val="0"/>
        <w:spacing w:lineRule="auto" w:line="288" w:before="100" w:after="100"/>
        <w:ind w:left="0" w:right="0" w:hanging="18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Other geographic regions are principally comprised of the Middle East.</w:t>
      </w:r>
    </w:p>
    <w:p>
      <w:pPr>
        <w:pStyle w:val="TextBody"/>
        <w:bidi w:val="0"/>
        <w:spacing w:lineRule="auto" w:line="288" w:before="100" w:after="180"/>
        <w:ind w:left="0" w:right="0" w:hanging="18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Percentages calculated based on external customer sales.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Capital Expenditures and Depreciation and Amortization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capital expenditures and depreciation and amortization for each of our reportable segments and for Corporate:</w:t>
      </w:r>
    </w:p>
    <w:tbl>
      <w:tblPr>
        <w:tblW w:w="6882" w:type="dxa"/>
        <w:jc w:val="left"/>
        <w:tblInd w:w="0" w:type="dxa"/>
        <w:tblLayout w:type="fixed"/>
        <w:tblCellMar>
          <w:top w:w="28" w:type="dxa"/>
          <w:left w:w="28" w:type="dxa"/>
          <w:bottom w:w="28" w:type="dxa"/>
          <w:right w:w="28" w:type="dxa"/>
        </w:tblCellMar>
      </w:tblPr>
      <w:tblGrid>
        <w:gridCol w:w="999"/>
        <w:gridCol w:w="874"/>
        <w:gridCol w:w="886"/>
        <w:gridCol w:w="109"/>
        <w:gridCol w:w="109"/>
        <w:gridCol w:w="109"/>
        <w:gridCol w:w="282"/>
        <w:gridCol w:w="282"/>
        <w:gridCol w:w="546"/>
        <w:gridCol w:w="1246"/>
        <w:gridCol w:w="282"/>
        <w:gridCol w:w="109"/>
        <w:gridCol w:w="109"/>
        <w:gridCol w:w="109"/>
        <w:gridCol w:w="211"/>
        <w:gridCol w:w="46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gridSpan w:val="5"/>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w:t>
            </w: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w:t>
            </w: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w:t>
            </w:r>
            <w:r>
              <w:rPr>
                <w:color w:val="000000"/>
              </w:rPr>
              <w:t> </w:t>
            </w:r>
          </w:p>
        </w:tc>
        <w:tc>
          <w:tcPr>
            <w:tcW w:w="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pStyle w:val="TextBody"/>
        <w:bidi w:val="0"/>
        <w:spacing w:lineRule="auto" w:line="288" w:before="100" w:after="100"/>
        <w:jc w:val="left"/>
        <w:rPr/>
      </w:pPr>
      <w:r>
        <w:rPr>
          <w:rFonts w:ascii="Times New Roman;sans-serif" w:hAnsi="Times New Roman;sans-serif"/>
          <w:b/>
          <w:color w:val="000000"/>
          <w:sz w:val="20"/>
        </w:rPr>
        <w:t>Assets</w:t>
        <w:br/>
      </w:r>
      <w:r>
        <w:rPr>
          <w:rFonts w:ascii="Times New Roman;sans-serif" w:hAnsi="Times New Roman;sans-serif"/>
          <w:b w:val="false"/>
          <w:color w:val="000000"/>
          <w:sz w:val="20"/>
        </w:rPr>
        <w:t>Our chief operating decision maker (“CODM”) does not use assets by segment to evaluate segment performance or allocate resources. Therefore, we do not disclose assets by segment.</w:t>
      </w:r>
    </w:p>
    <w:p>
      <w:pPr>
        <w:pStyle w:val="TextBody"/>
        <w:bidi w:val="0"/>
        <w:spacing w:before="100" w:after="18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Shareholders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Northrop Grumman Corporation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Falls Church, Virginia</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Results of Review of Interim Financial Information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have reviewed the accompanying condensed consolidated statement of financial position of Northrop Grumman Corporation and subsidiaries (the “Company”) as of March 31, 2025, and the related condensed consolidated statements of earnings and comprehensive income, cash flows, and changes in shareholders’ equity for the three-month periods ended March 31, 2025 and 2024,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previously audited, in accordance with the standards of the Public Company Accounting Oversight Board (United States) (PCAOB), the consolidated statement of financial position of Northrop Grumman Corporation and subsidiaries as of December 31, 2024, and the related consolidated statements of earnings and comprehensive income, changes in shareholders’ equity, and cash flows for the year then ended (not presented herein); and in our report dated January 29, 2025, we expressed an unqualified opinion on those consolidated financial statements. In our opinion, the information set forth in the accompanying condensed consolidated statement of financial position as of December 31, 2024, is fairly stated, in all material respects, in relation to the audited consolidated statement of financial position from which it has been derived.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Basis for Review Results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80" w:after="283"/>
        <w:jc w:val="left"/>
        <w:rPr/>
      </w:pPr>
      <w:r>
        <w:rPr/>
      </w:r>
    </w:p>
    <w:tbl>
      <w:tblPr>
        <w:tblW w:w="2397" w:type="dxa"/>
        <w:jc w:val="left"/>
        <w:tblInd w:w="0" w:type="dxa"/>
        <w:tblLayout w:type="fixed"/>
        <w:tblCellMar>
          <w:top w:w="28" w:type="dxa"/>
          <w:left w:w="28" w:type="dxa"/>
          <w:bottom w:w="28" w:type="dxa"/>
          <w:right w:w="28" w:type="dxa"/>
        </w:tblCellMar>
      </w:tblPr>
      <w:tblGrid>
        <w:gridCol w:w="124"/>
        <w:gridCol w:w="109"/>
        <w:gridCol w:w="109"/>
        <w:gridCol w:w="602"/>
        <w:gridCol w:w="602"/>
        <w:gridCol w:w="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Deloitte &amp; Touche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McLean, 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21,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60" w:after="1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2024 Annual Report on Form 10-K, which provides additional information on our business, the environment in which we operate and our operating results.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Global Security Environment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conflicts in Ukraine and the Middle East and threats elsewhere, particularly in the Pacific region, have increased global tensions and instability and highlighted security requirements globally, including in Europe, the Middle East and the Pacific region, as well as the U.S. These conflicts have resulted in and may continue to result in increased demand for defense products and services from allies and partner nations, particularly in those areas. For example, we have experienced an increase in demand for certain of our products and services directly and indirectly related to the conflict in Ukraine. We continue to monitor developments in these regions, but have not experienced, and do not anticipate experiencing, significant adverse financial impacts directly from the conflicts in Ukraine or the Middle East.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current global security environment highlights the significant national security threats to the U.S. and its allies, and the need for strong deterrence and robust defense capabilities, and are actively evaluating both opportunities and risks associated with this environment. We believe our capabilities, particularly in space, C4ISR, missile defense, battle management, advanced weapons, strategic deterrence, and survivable aircraft and mission systems should help our customers in the U.S. and globally defend against current and future threats and, as a result, continue to allow for long-term profitable business growth.</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Global Economic Environment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These macroeconomic factors can and have contributed, and could continue to contribute, to increased costs, delays, disruptions and other performance challenges, as well as increased competing demands for limited resources to address such increased costs and other challenges, for our company, our suppliers and partners, and our customers. We continue to work to address challenges caused by the macroeconomic environment on our business. We have seen positive progress in the supply chain as on-time deliveries and quality have improved. In remaining areas of pressure, we are proactively working with our suppliers to help meet our contract commitments.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 overall increase in interest rates in recent years has raised the cost of borrowing for governments, and if rates further increase, it could impact government spending priorities (in the U.S. and allied countries,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particular), including their demand for defense products. Economic tensions and changes in international trade policies, including, for example, the recent widespread tariffs announced by the U.S. on its major trading partners, higher tariffs on imported goods and materials, actions taken in response (such as retaliatory tariffs or other trade protectionist measures or the renegotiation of free trade agreements), could also further impact the global market for defense products, services and solutions. The full impact of these governmental actions on macroeconomic conditions and on our business is uncertain, difficult to predict and depends on a number of factors, including the extent and duration of tariffs, any reversal or temporary suspension of announced tariffs, the availability of exemptions, changes in the amount and scope of tariffs, the imposition of new tariffs and other measures that target countries may take in response to U.S. trade policies, and possible resulting general inflationary pressures in the global economy. We are currently evaluating the potential impact on our business, suppliers and customers, but do not believe that the tariffs in effect at this time will have a material adverse effect on our business.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 Political, Budget and Regulatory Environment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U.S. continues to face an uncertain and evolving political, budget and regulatory environment. In particular, it is difficult to predict the specific course of future defense budgets. Current and future requirements related to the conflicts in Ukraine and the Middle East, threats in the Pacific region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and defense spending levels, the debt ceiling, and the spending caps imposed by the Fiscal Responsibility Act of 2023 (FRA), particularly with respect to discretionary spending, will continue to be a subject of considerable debate, with a potentially significant impact on our programs and the company.</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On March 15, 2025, the Full-Year Continuing Appropriations and Extensions Act, 2025 was enacted to continue funding the government through the remainder of FY 2025. The full-year continuing resolution generally maintains FY 2024 funding levels, but includes an increase of $6 billion in defense spending and a decrease of $13 billion in non-defense spending compared to FY 2024 funding levels. Government operations under the full-year continuing resolution could have potential impacts on our programs and new starts, in particular. However, the full-year continuing resolution also provides the DoD with significant flexibility to allocate and spend funds, including authority to initiate new programs if certain requirements are met.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Presidential Administration (the Administration) has issued numerous executive orders, including orders that direct executive departments and agencies to put in place a regulatory freeze on pending rules, to effectuate the repeal of any regulation that an agency determines is unlawful and to reform the DoD defense acquisition process. Some of the Administration’s executive orders are subject to ongoing court challenges. Implementation of executive orders could adversely affect our business or create a more challenging or costly regulatory, operating and economic environment. For example, on April 9, 2025, the President signed an executive order entitled Modernizing Defense Acquisitions and Spurring Innovation in the Defense Industrial Base. The executive order directs the Secretary of Defense to submit, within 60 days of the issuance of the executive order, a plan for expediting DoD acquisitions that relies on existing authorities. The plan, among other things, should include a first preference for commercial solutions and a general preference for Other Transaction Authority procurements. In addition, the executive order directs the DoD to review all major defense acquisition programs (MDAP). Any program that is more than 15% behind schedule or over cost based on the current Acquisition Program Baseline, unable to meet key performance parameters, or unaligned with the Secretary of Defense’s mission priorities will be considered for potential cancellation. Implementation of this executive order, including changes in DoD priorities or regulations and results of the MDAP review, could lead to contract cancellations, disruptions and/or stop work orders, which could have a material adverse effect on our financial position, results of operations and/or cash flows.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light of the ongoing conflicts and heightened global instability as well as political tensions and related legal challenges, we expect continued uncertainty in the U.S. political, budget and regulatory environment. Initiatives to reduce governmental spending, federal budget and debt ceiling action, and U.S. government policy positions, including trade policy, potential tax reform and DoD policies or priorities, could materially impact defense spending broadly and the company’s programs in particular.</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B-21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the end of the decade. In addition to the five LRIP options, Northrop Grumman and the U.S. Air Force have established not to exceed (NTE) pricing for additional aircraft up to unit 40. The average NTE value for these subsequent lots is above the average unit price of the five LRIP lots, and the NTE lots include an economic price adjustment clause to help protect against certain inflationary pressures. Final terms, quantity, and pricing for these subsequent lots are not fully negotiated.</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we recognized a projected loss of $1.56 billion across the five LRIP options. During the first quarter of 2025, we reviewed our estimated profitability on the program and recognized an additional $477 million loss across the five LRIP options. This additional loss largely relates to higher manufacturing costs primarily resulting from a process change made by the company to enable an accelerated production ramp, as well as increases in the projected cost and quantity of general procurement materials.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first quarter 2025 results reflect our current best estimate of cost to complete the LRIP and NTE aircraft, as well as the outcome of ongoing discussions with our suppliers and our customer. If our estimated cost to complete the aircraft changes or our assumptions regarding contract performance, quantities, supplier negotiations, or funding to mitigate the impact of macroeconomic disruptions are resolved more or less favorably than what we have estimated, our financial position, results of operations and/or cash flows could be materially affected.</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Sentinel Program</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the Sentinel program was certified for continuation by the DoD upon completion of the Nunn-McCurdy breach review. In connection with the certification, the DoD directed that the program be restructured, including plans for infrastructure related to the command and launch segment, which was the main driver of the increased cost estimates for the Production and Deployment phases. We are partnering with our customer to establish a new program baseline as part of the restructuring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we reviewed our estimated profitability on the Sentinel program and made no significant changes. The Sentinel EAC incorporates our best estimate of costs to complete the restructured EMD effort; however, if the outcome is more or less favorable than what we have estimated, our financial position, results of operations and/or cash flows could be materially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OPERATING RESULTS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highlights are presented in the table below:</w:t>
      </w:r>
    </w:p>
    <w:tbl>
      <w:tblPr>
        <w:tblW w:w="9638" w:type="dxa"/>
        <w:jc w:val="left"/>
        <w:tblInd w:w="0" w:type="dxa"/>
        <w:tblLayout w:type="fixed"/>
        <w:tblCellMar>
          <w:top w:w="28" w:type="dxa"/>
          <w:left w:w="28" w:type="dxa"/>
          <w:bottom w:w="28" w:type="dxa"/>
          <w:right w:w="28" w:type="dxa"/>
        </w:tblCellMar>
      </w:tblPr>
      <w:tblGrid>
        <w:gridCol w:w="1368"/>
        <w:gridCol w:w="1204"/>
        <w:gridCol w:w="1208"/>
        <w:gridCol w:w="109"/>
        <w:gridCol w:w="109"/>
        <w:gridCol w:w="109"/>
        <w:gridCol w:w="109"/>
        <w:gridCol w:w="216"/>
        <w:gridCol w:w="216"/>
        <w:gridCol w:w="418"/>
        <w:gridCol w:w="1252"/>
        <w:gridCol w:w="537"/>
        <w:gridCol w:w="109"/>
        <w:gridCol w:w="109"/>
        <w:gridCol w:w="109"/>
        <w:gridCol w:w="211"/>
        <w:gridCol w:w="721"/>
        <w:gridCol w:w="271"/>
        <w:gridCol w:w="109"/>
        <w:gridCol w:w="109"/>
        <w:gridCol w:w="109"/>
        <w:gridCol w:w="218"/>
        <w:gridCol w:w="218"/>
        <w:gridCol w:w="490"/>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253" w:type="dxa"/>
            <w:gridSpan w:val="6"/>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w:t>
            </w: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8,895</w:t>
            </w: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costs and expenses as a %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93.9</w:t>
            </w: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w:t>
            </w:r>
            <w:r>
              <w:rPr>
                <w:color w:val="000000"/>
              </w:rPr>
              <w:t>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6.1</w:t>
            </w: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foreign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16.8</w:t>
            </w: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w:t>
            </w:r>
            <w:r>
              <w:rPr>
                <w:color w:val="000000"/>
              </w:rPr>
              <w:t> </w:t>
            </w:r>
          </w:p>
        </w:tc>
        <w:tc>
          <w:tcPr>
            <w:tcW w:w="5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4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sales decreased $665 million, or 7 percent, driven by lower sales at Space Systems due, in part, to the wind-down of work on certain Space programs, as discussed in our segment operating results below, and lower sales at Aeronautics Systems. These decreases were partially offset by higher sales at Mission Systems and Defense Systems.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 and Margin Rate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operating income decreased $498 million, or 46 percent, primarily due to a $477 million loss provision on the B-21 program at Aeronautics Systems and lower operating income at Space Systems and Mission Systems, partially offset by higher operating income at Defense Systems and a $57 million increase in the FAS/CAS operating adjustment. Operating margin rate declined to 6.1 percent from 10.6 percent primarily due to the B-21 loss provision and a lower operating margin rate at Mission Systems, partially offset by higher operating margin rates at Defense Systems and Space Systems and a $57 million increase in the FAS/CAS operating adjustment.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G&amp;A costs as a percentage of sales of 10.6 percent was comparable with the prior year period.</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See “Segment Operating Results” below for further information by segment. For information regarding product and service operating costs and expenses, see “Product and Service Analysis” below.</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Federal and Foreign Income Taxes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first quarter 2025 ETR increased to 16.8 percent from 16.5 percent in the prior year period. The increase in our ETR was driven by interest expense on unrecognized tax benefits and excess tax benefits for employee share-based compensation, partially offset by research credits.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See Note 4 to the financial statements for additional information.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Earnings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net earnings decreased $463 million, or 49 percent, primarily due to the B-21 loss provision described above as well as a $38 million reduction in the non-operating FAS pension benefit and higher interest expense, partially offset by a $90 million decrease in income tax expense.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diluted earnings per share decreased 47 percent, reflecting a 49 percent decrease in net earnings and a 3 percent reduction in weighted-average diluted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SEGMENT OPERATING RESULTS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aligned in four operating sectors, which also comprise our reportable segments: Aeronautics Systems, Defense Systems, Mission Systems and Space Systems.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July 1, 2024, the company realigned the SDS division, which includes the Sentinel program, from Space Systems to Defense Systems. Effective January 1, 2025, the company realigned the SSAS business unit from Defense Systems to Aeronautics Systems. These realignments are reflected in the financial information contained in this report.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Performance Assessment and Reporting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Segment Operating Income and Margin Rate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 </w:t>
      </w:r>
    </w:p>
    <w:tbl>
      <w:tblPr>
        <w:tblW w:w="10205" w:type="dxa"/>
        <w:jc w:val="left"/>
        <w:tblInd w:w="0" w:type="dxa"/>
        <w:tblLayout w:type="fixed"/>
        <w:tblCellMar>
          <w:top w:w="28" w:type="dxa"/>
          <w:left w:w="28" w:type="dxa"/>
          <w:bottom w:w="28" w:type="dxa"/>
          <w:right w:w="28" w:type="dxa"/>
        </w:tblCellMar>
      </w:tblPr>
      <w:tblGrid>
        <w:gridCol w:w="1689"/>
        <w:gridCol w:w="1453"/>
        <w:gridCol w:w="1447"/>
        <w:gridCol w:w="109"/>
        <w:gridCol w:w="109"/>
        <w:gridCol w:w="109"/>
        <w:gridCol w:w="109"/>
        <w:gridCol w:w="226"/>
        <w:gridCol w:w="226"/>
        <w:gridCol w:w="438"/>
        <w:gridCol w:w="1000"/>
        <w:gridCol w:w="564"/>
        <w:gridCol w:w="109"/>
        <w:gridCol w:w="109"/>
        <w:gridCol w:w="109"/>
        <w:gridCol w:w="211"/>
        <w:gridCol w:w="616"/>
        <w:gridCol w:w="271"/>
        <w:gridCol w:w="109"/>
        <w:gridCol w:w="109"/>
        <w:gridCol w:w="109"/>
        <w:gridCol w:w="240"/>
        <w:gridCol w:w="241"/>
        <w:gridCol w:w="493"/>
      </w:tblGrid>
      <w:tr>
        <w:trPr/>
        <w:tc>
          <w:tcPr>
            <w:tcW w:w="168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301" w:type="dxa"/>
            <w:gridSpan w:val="6"/>
            <w:tcBorders/>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w:t>
            </w:r>
            <w:r>
              <w:rPr>
                <w:color w:val="000000"/>
              </w:rPr>
              <w:t>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6.1</w:t>
            </w: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to 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 pension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w:t>
            </w: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 pension service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FAS/CAS operating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950</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and PP&amp;E step-up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unallocated corporate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w:t>
            </w: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w:t>
            </w: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w:t>
            </w:r>
            <w:r>
              <w:rPr>
                <w:color w:val="000000"/>
              </w:rPr>
              <w:t> </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5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3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6.0</w:t>
            </w:r>
            <w:r>
              <w:rPr>
                <w:color w:val="000000"/>
              </w:rPr>
              <w:t> </w:t>
            </w:r>
          </w:p>
        </w:tc>
        <w:tc>
          <w:tcPr>
            <w:tcW w:w="56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10.9 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segment operating income decreased $536 million, or 49 percent, primarily due to the $477 million B-21 loss provision described above and lower operating income at Space Systems and Mission Systems, partially offset by higher operating income at Defense Systems. Segment operating margin rate decreased to 6.0 percent from 10.9 percent, primarily due to the B-21 loss provision and a lower operating margin rate at Mission Systems, partially offset by higher operating margin rates at Defense Systems and Space Systems.</w:t>
      </w:r>
    </w:p>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FAS/CAS Operating Adjustment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first quarter 2025 FAS/CAS operating adjustment increased primarily due to higher CAS pension expense largely driven by plan asset returns in prior years and changes in certain CAS actuarial assumptions as of December 31, 2024.</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Unallocated Corporate Expense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first quarter 2025 unallocated corporate expense is primarily due to higher deferred state tax expense associated with research and development expenditures and the utilization of state tax credit carryforwards.</w:t>
      </w:r>
    </w:p>
    <w:p>
      <w:pPr>
        <w:pStyle w:val="TextBody"/>
        <w:bidi w:val="0"/>
        <w:spacing w:lineRule="auto" w:line="288" w:before="0" w:after="100"/>
        <w:jc w:val="left"/>
        <w:rPr/>
      </w:pPr>
      <w:r>
        <w:rPr>
          <w:rFonts w:ascii="Times New Roman;sans-serif" w:hAnsi="Times New Roman;sans-serif"/>
          <w:b w:val="false"/>
          <w:i/>
          <w:color w:val="000000"/>
          <w:sz w:val="20"/>
        </w:rPr>
        <w:t>Net EAC Adjustments</w:t>
      </w:r>
      <w:r>
        <w:rPr>
          <w:color w:val="000000"/>
        </w:rPr>
        <w:t xml:space="preserve"> </w:t>
      </w:r>
      <w:r>
        <w:rPr>
          <w:rFonts w:ascii="Times New Roman;sans-serif" w:hAnsi="Times New Roman;sans-serif"/>
          <w:b w:val="false"/>
          <w:color w:val="000000"/>
          <w:sz w:val="20"/>
        </w:rPr>
        <w:t>- We record changes in estimated contract earnings at completion (net EAC adjustments) using the cumulative catch-up method of accounting. Net EAC adjustments can have a significant effect on segment operating income and margin rate.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favorable and unfavorable EAC adjustments are presented in the table below:</w:t>
      </w:r>
    </w:p>
    <w:tbl>
      <w:tblPr>
        <w:tblW w:w="6594" w:type="dxa"/>
        <w:jc w:val="center"/>
        <w:tblInd w:w="0" w:type="dxa"/>
        <w:tblLayout w:type="fixed"/>
        <w:tblCellMar>
          <w:top w:w="28" w:type="dxa"/>
          <w:left w:w="28" w:type="dxa"/>
          <w:bottom w:w="28" w:type="dxa"/>
          <w:right w:w="28" w:type="dxa"/>
        </w:tblCellMar>
      </w:tblPr>
      <w:tblGrid>
        <w:gridCol w:w="935"/>
        <w:gridCol w:w="819"/>
        <w:gridCol w:w="826"/>
        <w:gridCol w:w="109"/>
        <w:gridCol w:w="109"/>
        <w:gridCol w:w="266"/>
        <w:gridCol w:w="266"/>
        <w:gridCol w:w="516"/>
        <w:gridCol w:w="1324"/>
        <w:gridCol w:w="266"/>
        <w:gridCol w:w="109"/>
        <w:gridCol w:w="109"/>
        <w:gridCol w:w="109"/>
        <w:gridCol w:w="211"/>
        <w:gridCol w:w="466"/>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EAC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EAC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EAC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w:t>
            </w:r>
          </w:p>
        </w:tc>
        <w:tc>
          <w:tcPr>
            <w:tcW w:w="2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EAC adjustments by segment are presented in the table below:</w:t>
      </w:r>
    </w:p>
    <w:tbl>
      <w:tblPr>
        <w:tblW w:w="5768" w:type="dxa"/>
        <w:jc w:val="center"/>
        <w:tblInd w:w="0" w:type="dxa"/>
        <w:tblLayout w:type="fixed"/>
        <w:tblCellMar>
          <w:top w:w="28" w:type="dxa"/>
          <w:left w:w="28" w:type="dxa"/>
          <w:bottom w:w="28" w:type="dxa"/>
          <w:right w:w="28" w:type="dxa"/>
        </w:tblCellMar>
      </w:tblPr>
      <w:tblGrid>
        <w:gridCol w:w="674"/>
        <w:gridCol w:w="590"/>
        <w:gridCol w:w="595"/>
        <w:gridCol w:w="109"/>
        <w:gridCol w:w="109"/>
        <w:gridCol w:w="266"/>
        <w:gridCol w:w="266"/>
        <w:gridCol w:w="516"/>
        <w:gridCol w:w="1324"/>
        <w:gridCol w:w="266"/>
        <w:gridCol w:w="109"/>
        <w:gridCol w:w="109"/>
        <w:gridCol w:w="109"/>
        <w:gridCol w:w="211"/>
        <w:gridCol w:w="36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w:t>
            </w: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EAC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w:t>
            </w:r>
          </w:p>
        </w:tc>
        <w:tc>
          <w:tcPr>
            <w:tcW w:w="2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21" w:type="dxa"/>
        <w:jc w:val="left"/>
        <w:tblInd w:w="0" w:type="dxa"/>
        <w:tblLayout w:type="fixed"/>
        <w:tblCellMar>
          <w:top w:w="28" w:type="dxa"/>
          <w:left w:w="28" w:type="dxa"/>
          <w:bottom w:w="28" w:type="dxa"/>
          <w:right w:w="28" w:type="dxa"/>
        </w:tblCellMar>
      </w:tblPr>
      <w:tblGrid>
        <w:gridCol w:w="897"/>
        <w:gridCol w:w="787"/>
        <w:gridCol w:w="790"/>
        <w:gridCol w:w="109"/>
        <w:gridCol w:w="109"/>
        <w:gridCol w:w="109"/>
        <w:gridCol w:w="109"/>
        <w:gridCol w:w="216"/>
        <w:gridCol w:w="216"/>
        <w:gridCol w:w="418"/>
        <w:gridCol w:w="1252"/>
        <w:gridCol w:w="537"/>
        <w:gridCol w:w="109"/>
        <w:gridCol w:w="109"/>
        <w:gridCol w:w="109"/>
        <w:gridCol w:w="211"/>
        <w:gridCol w:w="616"/>
        <w:gridCol w:w="271"/>
        <w:gridCol w:w="109"/>
        <w:gridCol w:w="109"/>
        <w:gridCol w:w="109"/>
        <w:gridCol w:w="165"/>
        <w:gridCol w:w="165"/>
        <w:gridCol w:w="490"/>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20"/>
              </w:rPr>
            </w:pPr>
            <w:r>
              <w:rPr>
                <w:rFonts w:ascii="Times New Roman;sans-serif" w:hAnsi="Times New Roman;sans-serif"/>
                <w:b/>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gridSpan w:val="6"/>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2,814</w:t>
            </w: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r>
        <w:trPr/>
        <w:tc>
          <w:tcPr>
            <w:tcW w:w="24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(6.5)</w:t>
            </w:r>
          </w:p>
        </w:tc>
        <w:tc>
          <w:tcPr>
            <w:tcW w:w="5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10.1 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sales decreased $230 million, or 8 percent, primarily due to lower sales on B-21 and other restricted programs, as well as a decrease in F-35 sustainment volume due, in part, to the timing of materials.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operating income decreased $489 million and operating margin rate decreased to (6.5) percent primarily due to the previously described $477 million loss provision on the LRIP phase of the B-21 program, inclusive of a $226 million unfavorable EAC adjustment on the first and second LRIP lots.</w:t>
      </w:r>
    </w:p>
    <w:tbl>
      <w:tblPr>
        <w:tblW w:w="7657" w:type="dxa"/>
        <w:jc w:val="left"/>
        <w:tblInd w:w="0" w:type="dxa"/>
        <w:tblLayout w:type="fixed"/>
        <w:tblCellMar>
          <w:top w:w="28" w:type="dxa"/>
          <w:left w:w="28" w:type="dxa"/>
          <w:bottom w:w="28" w:type="dxa"/>
          <w:right w:w="28" w:type="dxa"/>
        </w:tblCellMar>
      </w:tblPr>
      <w:tblGrid>
        <w:gridCol w:w="712"/>
        <w:gridCol w:w="625"/>
        <w:gridCol w:w="627"/>
        <w:gridCol w:w="109"/>
        <w:gridCol w:w="109"/>
        <w:gridCol w:w="109"/>
        <w:gridCol w:w="109"/>
        <w:gridCol w:w="216"/>
        <w:gridCol w:w="216"/>
        <w:gridCol w:w="418"/>
        <w:gridCol w:w="1252"/>
        <w:gridCol w:w="537"/>
        <w:gridCol w:w="109"/>
        <w:gridCol w:w="109"/>
        <w:gridCol w:w="109"/>
        <w:gridCol w:w="211"/>
        <w:gridCol w:w="616"/>
        <w:gridCol w:w="271"/>
        <w:gridCol w:w="109"/>
        <w:gridCol w:w="109"/>
        <w:gridCol w:w="109"/>
        <w:gridCol w:w="188"/>
        <w:gridCol w:w="188"/>
        <w:gridCol w:w="49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20"/>
              </w:rPr>
            </w:pPr>
            <w:r>
              <w:rPr>
                <w:rFonts w:ascii="Times New Roman;sans-serif" w:hAnsi="Times New Roman;sans-serif"/>
                <w:b/>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193"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w:t>
            </w: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9.9</w:t>
            </w:r>
            <w:r>
              <w:rPr>
                <w:color w:val="000000"/>
              </w:rPr>
              <w:t> </w:t>
            </w:r>
          </w:p>
        </w:tc>
        <w:tc>
          <w:tcPr>
            <w:tcW w:w="5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9.0 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sales increased $68 million, or 4 percent, primarily due to continued ramp-up on the Sentinel program and higher volume on certain military ammunition programs, partially offset by lower sales on the Stand-in Attack Weapon (SiAW) program.</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operating income increased $23 million, or 15 percent, due to a higher operating margin rate and higher sales. Operating margin rate increased to 9.9 percent from 9.0 percent primarily due to higher net EAC adjustments.</w:t>
      </w:r>
    </w:p>
    <w:tbl>
      <w:tblPr>
        <w:tblW w:w="7611" w:type="dxa"/>
        <w:jc w:val="left"/>
        <w:tblInd w:w="0" w:type="dxa"/>
        <w:tblLayout w:type="fixed"/>
        <w:tblCellMar>
          <w:top w:w="28" w:type="dxa"/>
          <w:left w:w="28" w:type="dxa"/>
          <w:bottom w:w="28" w:type="dxa"/>
          <w:right w:w="28" w:type="dxa"/>
        </w:tblCellMar>
      </w:tblPr>
      <w:tblGrid>
        <w:gridCol w:w="712"/>
        <w:gridCol w:w="625"/>
        <w:gridCol w:w="627"/>
        <w:gridCol w:w="109"/>
        <w:gridCol w:w="109"/>
        <w:gridCol w:w="109"/>
        <w:gridCol w:w="109"/>
        <w:gridCol w:w="216"/>
        <w:gridCol w:w="216"/>
        <w:gridCol w:w="418"/>
        <w:gridCol w:w="1252"/>
        <w:gridCol w:w="537"/>
        <w:gridCol w:w="109"/>
        <w:gridCol w:w="109"/>
        <w:gridCol w:w="109"/>
        <w:gridCol w:w="211"/>
        <w:gridCol w:w="616"/>
        <w:gridCol w:w="271"/>
        <w:gridCol w:w="109"/>
        <w:gridCol w:w="109"/>
        <w:gridCol w:w="109"/>
        <w:gridCol w:w="165"/>
        <w:gridCol w:w="165"/>
        <w:gridCol w:w="49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20"/>
              </w:rPr>
            </w:pPr>
            <w:r>
              <w:rPr>
                <w:rFonts w:ascii="Times New Roman;sans-serif" w:hAnsi="Times New Roman;sans-serif"/>
                <w:b/>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147"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w:t>
            </w: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12.9</w:t>
            </w:r>
            <w:r>
              <w:rPr>
                <w:color w:val="000000"/>
              </w:rPr>
              <w:t> </w:t>
            </w:r>
          </w:p>
        </w:tc>
        <w:tc>
          <w:tcPr>
            <w:tcW w:w="5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14.2 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quarter 2025 sales increased $148 million, or 6 percent, primarily due to higher sales on the Scalable Agile Beam Radar (SABR) program, ramp-up on electronic warfare self-protection and international ground-based radar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programs, and higher volume on marine systems programs. These increases were partially offset by lower volume on restricted advanced microelectronics programs.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operating income decreased $17 million, or 4 percent, due to a lower operating margin rate, which more than offset higher sales. Operating margin rate decreased to 12.9 percent from 14.2 percent, primarily due to investments made by the sector in connection with restricted business opportunities and lower volume on restricted advanced microelectronics programs, which more than offset higher net EAC adjustments.</w:t>
      </w:r>
    </w:p>
    <w:tbl>
      <w:tblPr>
        <w:tblW w:w="7717" w:type="dxa"/>
        <w:jc w:val="left"/>
        <w:tblInd w:w="0" w:type="dxa"/>
        <w:tblLayout w:type="fixed"/>
        <w:tblCellMar>
          <w:top w:w="28" w:type="dxa"/>
          <w:left w:w="28" w:type="dxa"/>
          <w:bottom w:w="28" w:type="dxa"/>
          <w:right w:w="28" w:type="dxa"/>
        </w:tblCellMar>
      </w:tblPr>
      <w:tblGrid>
        <w:gridCol w:w="712"/>
        <w:gridCol w:w="625"/>
        <w:gridCol w:w="627"/>
        <w:gridCol w:w="109"/>
        <w:gridCol w:w="109"/>
        <w:gridCol w:w="109"/>
        <w:gridCol w:w="109"/>
        <w:gridCol w:w="216"/>
        <w:gridCol w:w="216"/>
        <w:gridCol w:w="418"/>
        <w:gridCol w:w="1252"/>
        <w:gridCol w:w="537"/>
        <w:gridCol w:w="109"/>
        <w:gridCol w:w="109"/>
        <w:gridCol w:w="109"/>
        <w:gridCol w:w="211"/>
        <w:gridCol w:w="616"/>
        <w:gridCol w:w="271"/>
        <w:gridCol w:w="109"/>
        <w:gridCol w:w="109"/>
        <w:gridCol w:w="109"/>
        <w:gridCol w:w="218"/>
        <w:gridCol w:w="218"/>
        <w:gridCol w:w="49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20"/>
              </w:rPr>
            </w:pPr>
            <w:r>
              <w:rPr>
                <w:rFonts w:ascii="Times New Roman;sans-serif" w:hAnsi="Times New Roman;sans-serif"/>
                <w:b/>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253"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2,568</w:t>
            </w: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w:t>
            </w: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11.0</w:t>
            </w:r>
            <w:r>
              <w:rPr>
                <w:color w:val="000000"/>
              </w:rPr>
              <w:t> </w:t>
            </w:r>
          </w:p>
        </w:tc>
        <w:tc>
          <w:tcPr>
            <w:tcW w:w="5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10.5 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sales decreased $581 million, or 18 percent, primarily due to wind-down of work on the restricted space and Next Generation Interceptor (NGI) programs, which reduced sales by $228 million, as well as decreases for Commercial Resupply Services (CRS) missions, Space Development Agency (SDA) satellite programs and other restricted space programs.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operating income decreased $47 million, or 14 percent, due to lower sales, partially offset by a higher operating margin rate. Operating margin rate increased to 11.0 percent from 10.5 percent principally due to higher net EAC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PRODUCT AND SERVICE ANALYSIS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product and service sales and operating costs and expenses by segment:</w:t>
      </w:r>
    </w:p>
    <w:tbl>
      <w:tblPr>
        <w:tblW w:w="10205" w:type="dxa"/>
        <w:jc w:val="left"/>
        <w:tblInd w:w="0" w:type="dxa"/>
        <w:tblLayout w:type="fixed"/>
        <w:tblCellMar>
          <w:top w:w="28" w:type="dxa"/>
          <w:left w:w="28" w:type="dxa"/>
          <w:bottom w:w="28" w:type="dxa"/>
          <w:right w:w="28" w:type="dxa"/>
        </w:tblCellMar>
      </w:tblPr>
      <w:tblGrid>
        <w:gridCol w:w="731"/>
        <w:gridCol w:w="638"/>
        <w:gridCol w:w="646"/>
        <w:gridCol w:w="109"/>
        <w:gridCol w:w="109"/>
        <w:gridCol w:w="197"/>
        <w:gridCol w:w="263"/>
        <w:gridCol w:w="263"/>
        <w:gridCol w:w="382"/>
        <w:gridCol w:w="1144"/>
        <w:gridCol w:w="197"/>
        <w:gridCol w:w="499"/>
        <w:gridCol w:w="1496"/>
        <w:gridCol w:w="261"/>
        <w:gridCol w:w="211"/>
        <w:gridCol w:w="721"/>
        <w:gridCol w:w="109"/>
        <w:gridCol w:w="478"/>
        <w:gridCol w:w="1397"/>
        <w:gridCol w:w="354"/>
      </w:tblGrid>
      <w:tr>
        <w:trPr/>
        <w:tc>
          <w:tcPr>
            <w:tcW w:w="7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5526" w:type="dxa"/>
            <w:gridSpan w:val="9"/>
            <w:tcBorders/>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0" w:type="dxa"/>
            <w:gridSpan w:val="6"/>
            <w:tcBorders/>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Sales</w:t>
            </w:r>
          </w:p>
        </w:tc>
        <w:tc>
          <w:tcPr>
            <w:tcW w:w="2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w:t>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2,358</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601</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Aeronautics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2,814</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2,997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1,405</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eliminations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Defense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1,626</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1,730</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511</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Mission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2,807</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2,446</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2,064</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1,829</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Space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2,568</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2,285</w:t>
            </w: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Totals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7,521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7,179</w:t>
            </w: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1,947</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1,721</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Total Segment</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w:t>
            </w:r>
            <w:r>
              <w:rPr>
                <w:color w:val="000000"/>
              </w:rPr>
              <w:t> </w:t>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8,900</w:t>
            </w:r>
            <w:r>
              <w:rPr>
                <w:color w:val="000000"/>
              </w:rPr>
              <w:t> </w:t>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9,029 </w:t>
            </w:r>
          </w:p>
        </w:tc>
        <w:tc>
          <w:tcPr>
            <w:tcW w:w="3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 reconciliation of segment operating income to total operating income is included in “Segment Operating Results.”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 Sales and Costs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product sales decreased $581 million, or 7 percent, primarily due to the previously disclosed wind-down of work on the restricted space and NGI programs and lower sales for CRS missions, SDA satellite programs and other restricted programs at Space Systems, as well as lower sales on B-21 and other restricted programs at Aeronautics Systems. These decreases were partially offset by ramp-up on Sentinel and higher volume on certain military ammunition programs at Defense Systems as well as higher sales on the SABR program at Mission Systems.</w:t>
      </w:r>
    </w:p>
    <w:p>
      <w:pPr>
        <w:pStyle w:val="TextBody"/>
        <w:bidi w:val="0"/>
        <w:spacing w:lineRule="auto" w:line="256"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product costs decreased $60 million, or 1 percent. The percentage decline in product costs was lower than the percentage decline in product sales largely due to the $477 million B-21 loss provision at Aeronautics Systems.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Service Sales and Costs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service sales decreased $84 million, or 4 percent, primarily due to lower restricted sales at Aeronautics Systems, as well as lower volume on the KC-30 program and completion of certain training programs at Defense Systems.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service costs decreased $69 million, or 4 percent, consistent with the lower service sales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Backlog consisted of the following as of March 31, 2025 and December 31, 2024:</w:t>
      </w:r>
    </w:p>
    <w:tbl>
      <w:tblPr>
        <w:tblW w:w="9947" w:type="dxa"/>
        <w:jc w:val="left"/>
        <w:tblInd w:w="0" w:type="dxa"/>
        <w:tblLayout w:type="fixed"/>
        <w:tblCellMar>
          <w:top w:w="28" w:type="dxa"/>
          <w:left w:w="28" w:type="dxa"/>
          <w:bottom w:w="28" w:type="dxa"/>
          <w:right w:w="28" w:type="dxa"/>
        </w:tblCellMar>
      </w:tblPr>
      <w:tblGrid>
        <w:gridCol w:w="652"/>
        <w:gridCol w:w="571"/>
        <w:gridCol w:w="576"/>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340"/>
        <w:gridCol w:w="1164"/>
        <w:gridCol w:w="176"/>
        <w:gridCol w:w="109"/>
        <w:gridCol w:w="109"/>
        <w:gridCol w:w="109"/>
        <w:gridCol w:w="321"/>
        <w:gridCol w:w="321"/>
        <w:gridCol w:w="1023"/>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Change in 2025</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w:t>
            </w:r>
            <w:r>
              <w:rPr>
                <w:color w:val="000000"/>
              </w:rPr>
              <w:t>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backlog</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39,942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52,855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92,797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91,468 </w:t>
            </w:r>
          </w:p>
        </w:tc>
        <w:tc>
          <w:tcPr>
            <w:tcW w:w="1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net awards totaled $10.8 billion, and backlog totaled $92.8 billion. Significant first quarter new awards include $4.6 billion for restricted programs (primarily at Space Systems, Aeronautics Systems and Mission Systems), $1.1 billion for F-35 programs (primarily at Mission Systems and Aeronautics Systems), $0.5 billion for the Integrated Battle Command System (IBCS) program, $0.3 billion for Triton, and $0.3 billion for E-2.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had $1.7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2025, we renewed our one-year $500 million uncommitted credit facility. At March 31, 2025, there were no borrowings outstanding under these credit facilities; however, as of March 31, 2025, we had $1.5 billion in commercial paper outstanding, which reduced the amount available for borrowing under our unsecured credit facility.</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IRC Section 174</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2022, the Tax Cuts and Jobs Act of 2017 (“TCJA”) eliminated the option to deduct research and development expenditures in the current year and requires taxpayers to amortize them over five years pursuant to IRC Section 174. Our 2024 cash from operations was reduced by approximately $350 million for federal estimated tax payments we made related to Section 174. In the future, Congress may consider legislation that would defer the amortization requirement to later years, possibly with retroactive effect. In the meantime, we expect to continue to make additional federal tax payments based on the current Section 174 tax law, which we estimate will reduce our 2025 cash from operations by approximately $230 million. The impact of Section 174 on our cash from operations depends on the amount of research and development expenditures incurred by the company and whether the IRS issues guidance on the provision which differs from our current interpretation, among other things.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 Measures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cash position, we consider various cash flow measures in capital deployment decision-making, including cash provided by operating activities and free cash flow, a non-GAAP measure described in more detail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Cash Flow</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key components of cash used in operating activities: </w:t>
      </w:r>
    </w:p>
    <w:tbl>
      <w:tblPr>
        <w:tblW w:w="8680"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09"/>
        <w:gridCol w:w="234"/>
        <w:gridCol w:w="234"/>
        <w:gridCol w:w="453"/>
        <w:gridCol w:w="1484"/>
        <w:gridCol w:w="234"/>
        <w:gridCol w:w="109"/>
        <w:gridCol w:w="109"/>
        <w:gridCol w:w="109"/>
        <w:gridCol w:w="211"/>
        <w:gridCol w:w="541"/>
        <w:gridCol w:w="109"/>
        <w:gridCol w:w="109"/>
        <w:gridCol w:w="109"/>
        <w:gridCol w:w="109"/>
        <w:gridCol w:w="269"/>
        <w:gridCol w:w="271"/>
        <w:gridCol w:w="490"/>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357" w:type="dxa"/>
            <w:gridSpan w:val="6"/>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B-21 loss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items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OPB 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trade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(2,734)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(1,565)</w:t>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w:t>
            </w:r>
          </w:p>
        </w:tc>
        <w:tc>
          <w:tcPr>
            <w:tcW w:w="4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depreciation and amortization, stock based compensation expense, deferred income taxes and net periodic pension and OPB income.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net cash from operating activities decreased $859 million as compared with the same period in 2024 primarily due to changes in trade working capital largely driven by a comparative increase in vendor payments as well as the timing of billings and collections. The net use of cash during the first quarter is consistent with the company’s historical timing of operating cash flows, which are generally more heavily weighted towards the second half of the year.</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Free Cash Flow</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reconciled in the table below, is a non-GAAP measure defined as net cash provided by or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net cash used in operating activities to free cash flow:</w:t>
      </w:r>
    </w:p>
    <w:tbl>
      <w:tblPr>
        <w:tblW w:w="8680" w:type="dxa"/>
        <w:jc w:val="left"/>
        <w:tblInd w:w="0" w:type="dxa"/>
        <w:tblLayout w:type="fixed"/>
        <w:tblCellMar>
          <w:top w:w="28" w:type="dxa"/>
          <w:left w:w="28" w:type="dxa"/>
          <w:bottom w:w="28" w:type="dxa"/>
          <w:right w:w="28" w:type="dxa"/>
        </w:tblCellMar>
      </w:tblPr>
      <w:tblGrid>
        <w:gridCol w:w="1108"/>
        <w:gridCol w:w="972"/>
        <w:gridCol w:w="980"/>
        <w:gridCol w:w="109"/>
        <w:gridCol w:w="109"/>
        <w:gridCol w:w="109"/>
        <w:gridCol w:w="109"/>
        <w:gridCol w:w="234"/>
        <w:gridCol w:w="234"/>
        <w:gridCol w:w="453"/>
        <w:gridCol w:w="1484"/>
        <w:gridCol w:w="234"/>
        <w:gridCol w:w="109"/>
        <w:gridCol w:w="109"/>
        <w:gridCol w:w="109"/>
        <w:gridCol w:w="211"/>
        <w:gridCol w:w="541"/>
        <w:gridCol w:w="109"/>
        <w:gridCol w:w="109"/>
        <w:gridCol w:w="109"/>
        <w:gridCol w:w="109"/>
        <w:gridCol w:w="269"/>
        <w:gridCol w:w="271"/>
        <w:gridCol w:w="490"/>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357" w:type="dxa"/>
            <w:gridSpan w:val="6"/>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(1,565)</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6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8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(1,821)</w:t>
            </w:r>
          </w:p>
        </w:tc>
        <w:tc>
          <w:tcPr>
            <w:tcW w:w="23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w:t>
            </w:r>
          </w:p>
        </w:tc>
        <w:tc>
          <w:tcPr>
            <w:tcW w:w="49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free cash flow decreased $845 million, or 87 percent, as compared with the same period in 2024 principally due to a decrease in net cash from operating activities.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Investing Cash Flow</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net cash used in investing activities decreased $17 million, or 6 percent, as compared with the same period in 2024 principally due to lower capital expenditures.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Financing Cash Flow</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net cash used in financing activities was $851 million compared to net cash provided by financing activities of $927 million in the prior year period. This change is primarily due to a $2.5 billion net decrease in cash from long-term debt and commercial paper financing, partially offset by a $710 million decrease in share repurchases.</w:t>
      </w:r>
    </w:p>
    <w:p>
      <w:pPr>
        <w:pStyle w:val="TextBody"/>
        <w:bidi w:val="0"/>
        <w:spacing w:lineRule="auto" w:line="288" w:before="0" w:after="100"/>
        <w:jc w:val="left"/>
        <w:rPr/>
      </w:pPr>
      <w:r>
        <w:rPr>
          <w:rFonts w:ascii="Times New Roman;sans-serif" w:hAnsi="Times New Roman;sans-serif"/>
          <w:b w:val="false"/>
          <w:i/>
          <w:color w:val="000000"/>
          <w:sz w:val="20"/>
        </w:rPr>
        <w:t xml:space="preserve">Credit Facilities, Commercial Paper and Financial Arrangements - </w:t>
      </w:r>
      <w:r>
        <w:rPr>
          <w:rFonts w:ascii="Times New Roman;sans-serif" w:hAnsi="Times New Roman;sans-serif"/>
          <w:b w:val="false"/>
          <w:color w:val="000000"/>
          <w:sz w:val="20"/>
        </w:rPr>
        <w:t>See Note 7 to the financial statements for further information on our credit facilities, commercial paper and our use of standby letters of credit and guarantees.</w:t>
      </w:r>
    </w:p>
    <w:p>
      <w:pPr>
        <w:pStyle w:val="TextBody"/>
        <w:bidi w:val="0"/>
        <w:spacing w:lineRule="auto" w:line="288" w:before="0" w:after="100"/>
        <w:jc w:val="left"/>
        <w:rPr/>
      </w:pPr>
      <w:r>
        <w:rPr>
          <w:rFonts w:ascii="Times New Roman;sans-serif" w:hAnsi="Times New Roman;sans-serif"/>
          <w:b w:val="false"/>
          <w:i/>
          <w:color w:val="000000"/>
          <w:sz w:val="20"/>
        </w:rPr>
        <w:t>Share Repurchases</w:t>
      </w:r>
      <w:r>
        <w:rPr>
          <w:color w:val="000000"/>
        </w:rPr>
        <w:t xml:space="preserve"> </w:t>
      </w:r>
      <w:r>
        <w:rPr>
          <w:rFonts w:ascii="Times New Roman;sans-serif" w:hAnsi="Times New Roman;sans-serif"/>
          <w:b w:val="false"/>
          <w:color w:val="000000"/>
          <w:sz w:val="20"/>
        </w:rPr>
        <w:t>- See Note 2 to the financial statements for further information on our share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80"/>
        <w:jc w:val="left"/>
        <w:rPr/>
      </w:pP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See Note 5 to the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discussed in our 2024 Annual Report on Form 10-K.</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ACCOUNTING STANDARDS UPDATES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financial statements for further information on accounting standards updates.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AND PROJECTIONS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2024 Annual Report on Form 10-K and from time to time in our other filings with the SEC. They include: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Industry and Economic Risks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our dependence on the U.S. government for a substantial portion of our business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significant delays or reductions in payments as a result of or related to a breach of the debt ceiling</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to management’s judgments and assumptions in estimating and/or projecting contract revenue and performance which may be inaccurate</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increased competition within our markets and bid protests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continued pressures from macroeconomic trends, including on costs, schedules, performance and ability to meet expectations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Legal and Regulatory Risks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investigations, claims, disputes, enforcement actions, litigation (including criminal, civil and administrative) and/or other legal proceedings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changes in procurement and other laws, SEC, DoD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globally</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the improper conduct of employees, agents, subcontractors, suppliers, business partners or joint ventures in which we participate, including the impact on our reputation and our ability to do business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environmental matters, including climate change, unforeseen environmental costs and government and third-party claims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unanticipated changes in our tax provisions or exposure to additional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Business and Operational Risks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cyber and other security threats or disruptions faced by us, our customers or our suppliers and other partners, and changes in related regulations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the performance and viability of our subcontractors and suppliers and the availability and pricing of raw materials, chemicals, parts and components, particularly with inflationary pressures, increased costs, shortages in labor and financial resources, supply chain disruptions, and extended material lead times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our ability to attract and retain a qualified and talented workforce with the necessary security clearances to meet our performance obligations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our exposure to additional risks as a result of our international business, including risks related to global security, geopolitical and economic factors, misconduct, suppliers, laws and regulations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natural disasters, epidemics, pandemics and similar outbreaks and other significant disruptions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our ability to innovate, develop new products and technologies, progress and benefit from digital transformation and maintain technologies to meet the needs of our customers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products and services we provide related to hazardous and high risk operations, including the production and use of such products, which subject us to various environmental, regulatory, financial, reputational and other risks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our ability appropriately to protect and exploit intellectual property rights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Other Risk Factors</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the adequacy and availability of, and ability to obtain, insurance coverage, customer indemnifications or other liability protections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changes in business conditions that could impact business investments and/or recorded goodwill or the value of other long-lived assets, and other potential future liabilities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5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risks from those discussed in our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2025,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changes occurred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have provided information about certain legal proceedings in which we are involved in Notes 6 and 7 to the financial statements.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2024 Annual Report on Form 10-K.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risk factors please see the section entitled “Risk Factors” in our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repurchases of common stock during the three months ended March 31, 2025.</w:t>
      </w:r>
    </w:p>
    <w:tbl>
      <w:tblPr>
        <w:tblW w:w="10146" w:type="dxa"/>
        <w:jc w:val="left"/>
        <w:tblInd w:w="0" w:type="dxa"/>
        <w:tblLayout w:type="fixed"/>
        <w:tblCellMar>
          <w:top w:w="28" w:type="dxa"/>
          <w:left w:w="28" w:type="dxa"/>
          <w:bottom w:w="28" w:type="dxa"/>
          <w:right w:w="28" w:type="dxa"/>
        </w:tblCellMar>
      </w:tblPr>
      <w:tblGrid>
        <w:gridCol w:w="1137"/>
        <w:gridCol w:w="1001"/>
        <w:gridCol w:w="1011"/>
        <w:gridCol w:w="512"/>
        <w:gridCol w:w="464"/>
        <w:gridCol w:w="436"/>
        <w:gridCol w:w="109"/>
        <w:gridCol w:w="109"/>
        <w:gridCol w:w="109"/>
        <w:gridCol w:w="267"/>
        <w:gridCol w:w="914"/>
        <w:gridCol w:w="140"/>
        <w:gridCol w:w="109"/>
        <w:gridCol w:w="109"/>
        <w:gridCol w:w="109"/>
        <w:gridCol w:w="497"/>
        <w:gridCol w:w="479"/>
        <w:gridCol w:w="481"/>
        <w:gridCol w:w="109"/>
        <w:gridCol w:w="109"/>
        <w:gridCol w:w="109"/>
        <w:gridCol w:w="273"/>
        <w:gridCol w:w="273"/>
        <w:gridCol w:w="273"/>
        <w:gridCol w:w="308"/>
        <w:gridCol w:w="308"/>
        <w:gridCol w:w="391"/>
      </w:tblGrid>
      <w:tr>
        <w:trPr/>
        <w:tc>
          <w:tcPr>
            <w:tcW w:w="113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Price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Paid per</w:t>
            </w:r>
          </w:p>
          <w:p>
            <w:pPr>
              <w:pStyle w:val="TableContents"/>
              <w:bidi w:val="0"/>
              <w:spacing w:lineRule="auto" w:line="240" w:before="0" w:after="0"/>
              <w:jc w:val="center"/>
              <w:rPr/>
            </w:pPr>
            <w:r>
              <w:rPr>
                <w:rFonts w:ascii="Times New Roman;sans-serif" w:hAnsi="Times New Roman;sans-serif"/>
                <w:b/>
                <w:color w:val="000000"/>
                <w:sz w:val="20"/>
              </w:rPr>
              <w:t>Share</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 Shares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Purchased as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of Publicly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Announced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Plans 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 Value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that May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Yet Be Purchased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under the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Plans or Programs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in millions)</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24,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2025 - February 21, 2025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391,063 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391,063 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2025 - March 28,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435,717 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435,717 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1,015,734 </w:t>
            </w:r>
          </w:p>
        </w:tc>
        <w:tc>
          <w:tcPr>
            <w:tcW w:w="43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470.62 </w:t>
            </w:r>
          </w:p>
        </w:tc>
        <w:tc>
          <w:tcPr>
            <w:tcW w:w="14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1,015,734 </w:t>
            </w:r>
          </w:p>
        </w:tc>
        <w:tc>
          <w:tcPr>
            <w:tcW w:w="4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39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Excludes commissions paid and other costs of execution, including taxes.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2 to the financial statements for further information on our share repurchase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pPr>
      <w:r>
        <w:rPr>
          <w:rFonts w:ascii="Times New Roman;sans-serif" w:hAnsi="Times New Roman;sans-serif"/>
          <w:b w:val="false"/>
          <w:color w:val="000000"/>
          <w:sz w:val="20"/>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March 31, 2025.</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4"/>
        <w:gridCol w:w="520"/>
        <w:gridCol w:w="529"/>
        <w:gridCol w:w="526"/>
        <w:gridCol w:w="526"/>
        <w:gridCol w:w="527"/>
        <w:gridCol w:w="342"/>
        <w:gridCol w:w="342"/>
        <w:gridCol w:w="343"/>
        <w:gridCol w:w="1254"/>
        <w:gridCol w:w="1254"/>
        <w:gridCol w:w="1257"/>
        <w:gridCol w:w="584"/>
        <w:gridCol w:w="584"/>
        <w:gridCol w:w="833"/>
      </w:tblGrid>
      <w:tr>
        <w:trPr/>
        <w:tc>
          <w:tcPr>
            <w:tcW w:w="78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br/>
              <w:t>(Title)</w:t>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Date of Adoption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Expiration Date of Trading Arrangement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Purchased or Sold</w:t>
            </w:r>
          </w:p>
        </w:tc>
      </w:tr>
      <w:tr>
        <w:trPr/>
        <w:tc>
          <w:tcPr>
            <w:tcW w:w="1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Kathy J. Warden</w:t>
            </w:r>
          </w:p>
        </w:tc>
        <w:tc>
          <w:tcPr>
            <w:tcW w:w="1579"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102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3765"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January 30, 2026 or such earlier date upon the completion of all trades under the plan or the occurrence of such other termination events as specified in the plan. </w:t>
            </w:r>
          </w:p>
        </w:tc>
        <w:tc>
          <w:tcPr>
            <w:tcW w:w="200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11,250 shares of common stock</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 Chief Executive Officer and President)</w:t>
            </w:r>
          </w:p>
        </w:tc>
        <w:tc>
          <w:tcPr>
            <w:tcW w:w="1579"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02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765"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200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J. Fleming</w:t>
            </w:r>
          </w:p>
        </w:tc>
        <w:tc>
          <w:tcPr>
            <w:tcW w:w="1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2025</w:t>
            </w:r>
          </w:p>
        </w:tc>
        <w:tc>
          <w:tcPr>
            <w:tcW w:w="376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December 31, 2025 or such earlier date upon the completion of all trades under the plan or the occurrence of such other termination events as specified in the plan. </w:t>
            </w:r>
          </w:p>
        </w:tc>
        <w:tc>
          <w:tcPr>
            <w:tcW w:w="20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 of 3,500 shares of common stock </w:t>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Vice President and President, Space Systems) </w:t>
            </w:r>
          </w:p>
        </w:tc>
        <w:tc>
          <w:tcPr>
            <w:tcW w:w="1579" w:type="dxa"/>
            <w:gridSpan w:val="3"/>
            <w:vMerge w:val="continue"/>
            <w:tcBorders/>
            <w:tcMar>
              <w:top w:w="0" w:type="dxa"/>
              <w:left w:w="0" w:type="dxa"/>
              <w:bottom w:w="0" w:type="dxa"/>
              <w:right w:w="0" w:type="dxa"/>
            </w:tcMar>
            <w:vAlign w:val="center"/>
          </w:tcPr>
          <w:p>
            <w:pPr>
              <w:pStyle w:val="Normal"/>
              <w:bidi w:val="0"/>
              <w:jc w:val="left"/>
              <w:rPr/>
            </w:pPr>
            <w:r>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765" w:type="dxa"/>
            <w:gridSpan w:val="3"/>
            <w:vMerge w:val="continue"/>
            <w:tcBorders/>
            <w:tcMar>
              <w:top w:w="0" w:type="dxa"/>
              <w:left w:w="0" w:type="dxa"/>
              <w:bottom w:w="0" w:type="dxa"/>
              <w:right w:w="0" w:type="dxa"/>
            </w:tcMar>
            <w:vAlign w:val="center"/>
          </w:tcPr>
          <w:p>
            <w:pPr>
              <w:pStyle w:val="Normal"/>
              <w:bidi w:val="0"/>
              <w:jc w:val="left"/>
              <w:rPr/>
            </w:pPr>
            <w:r>
              <w:rPr/>
            </w:r>
          </w:p>
        </w:tc>
        <w:tc>
          <w:tcPr>
            <w:tcW w:w="20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Thomas H. Jones </w:t>
            </w:r>
          </w:p>
        </w:tc>
        <w:tc>
          <w:tcPr>
            <w:tcW w:w="15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10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76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February 11, 2026 or such earlier date upon the completion of all trades under the plan or the occurrence of such other termination events as specified in the plan. </w:t>
            </w:r>
          </w:p>
        </w:tc>
        <w:tc>
          <w:tcPr>
            <w:tcW w:w="200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 xml:space="preserve">Gift of 616 shares of common stock </w:t>
              <w:br/>
            </w:r>
            <w:r>
              <w:rPr>
                <w:rFonts w:ascii="Times New Roman;sans-serif" w:hAnsi="Times New Roman;sans-serif"/>
                <w:b w:val="false"/>
                <w:sz w:val="20"/>
              </w:rPr>
              <w:br/>
            </w:r>
            <w:r>
              <w:rPr>
                <w:rFonts w:ascii="Times New Roman;sans-serif" w:hAnsi="Times New Roman;sans-serif"/>
                <w:b w:val="false"/>
                <w:color w:val="000000"/>
                <w:sz w:val="20"/>
              </w:rPr>
              <w:t xml:space="preserve">Sale of 2,187 shares of common stock </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President, Aeronautics Systems)</w:t>
            </w:r>
          </w:p>
        </w:tc>
        <w:tc>
          <w:tcPr>
            <w:tcW w:w="15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76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00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Roshan S. Roeder</w:t>
            </w:r>
          </w:p>
        </w:tc>
        <w:tc>
          <w:tcPr>
            <w:tcW w:w="1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11, 2025</w:t>
            </w:r>
          </w:p>
        </w:tc>
        <w:tc>
          <w:tcPr>
            <w:tcW w:w="376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February 4, 2026 or such earlier date upon the completion of all trades under the plan or the occurrence of such other termination events as specified in the plan. </w:t>
            </w:r>
          </w:p>
        </w:tc>
        <w:tc>
          <w:tcPr>
            <w:tcW w:w="20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20"/>
              </w:rPr>
              <w:t xml:space="preserve">Sale of 991.8 shares of common stock </w:t>
              <w:br/>
            </w:r>
            <w:r>
              <w:rPr>
                <w:rFonts w:ascii="Times New Roman;sans-serif" w:hAnsi="Times New Roman;sans-serif"/>
                <w:b w:val="false"/>
                <w:sz w:val="20"/>
              </w:rPr>
              <w:br/>
            </w:r>
            <w:r>
              <w:rPr>
                <w:rFonts w:ascii="Times New Roman;sans-serif" w:hAnsi="Times New Roman;sans-serif"/>
                <w:b w:val="false"/>
                <w:color w:val="000000"/>
                <w:sz w:val="20"/>
              </w:rPr>
              <w:t>Sale of shares to be received upon payout of 2023 RSRs</w:t>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President, Mission Systems)</w:t>
            </w:r>
          </w:p>
        </w:tc>
        <w:tc>
          <w:tcPr>
            <w:tcW w:w="1579" w:type="dxa"/>
            <w:gridSpan w:val="3"/>
            <w:vMerge w:val="continue"/>
            <w:tcBorders/>
            <w:tcMar>
              <w:top w:w="0" w:type="dxa"/>
              <w:left w:w="0" w:type="dxa"/>
              <w:bottom w:w="0" w:type="dxa"/>
              <w:right w:w="0" w:type="dxa"/>
            </w:tcMar>
            <w:vAlign w:val="center"/>
          </w:tcPr>
          <w:p>
            <w:pPr>
              <w:pStyle w:val="Normal"/>
              <w:bidi w:val="0"/>
              <w:jc w:val="left"/>
              <w:rPr/>
            </w:pPr>
            <w:r>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765" w:type="dxa"/>
            <w:gridSpan w:val="3"/>
            <w:vMerge w:val="continue"/>
            <w:tcBorders/>
            <w:tcMar>
              <w:top w:w="0" w:type="dxa"/>
              <w:left w:w="0" w:type="dxa"/>
              <w:bottom w:w="0" w:type="dxa"/>
              <w:right w:w="0" w:type="dxa"/>
            </w:tcMar>
            <w:vAlign w:val="center"/>
          </w:tcPr>
          <w:p>
            <w:pPr>
              <w:pStyle w:val="Normal"/>
              <w:bidi w:val="0"/>
              <w:jc w:val="left"/>
              <w:rPr/>
            </w:pPr>
            <w:r>
              <w:rPr/>
            </w:r>
          </w:p>
        </w:tc>
        <w:tc>
          <w:tcPr>
            <w:tcW w:w="20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Kathryn G. Simpson </w:t>
            </w:r>
          </w:p>
        </w:tc>
        <w:tc>
          <w:tcPr>
            <w:tcW w:w="1579"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1027"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765"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March 6, 2026 or such earlier date upon the completion of all trades under the plan or the occurrence of such other termination events as specified in the plan. </w:t>
            </w:r>
          </w:p>
        </w:tc>
        <w:tc>
          <w:tcPr>
            <w:tcW w:w="2001" w:type="dxa"/>
            <w:gridSpan w:val="3"/>
            <w:vMerge w:val="restart"/>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 of 779 shares of common stock </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0"/>
              </w:rPr>
              <w:t>Sale of shares to be received upon payout of 2023 RPSRs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and RSRs</w:t>
            </w:r>
          </w:p>
        </w:tc>
      </w:tr>
      <w:tr>
        <w:trPr/>
        <w:tc>
          <w:tcPr>
            <w:tcW w:w="183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Vice President and General Counsel) </w:t>
            </w:r>
          </w:p>
        </w:tc>
        <w:tc>
          <w:tcPr>
            <w:tcW w:w="1579"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1027"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3765"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c>
          <w:tcPr>
            <w:tcW w:w="2001" w:type="dxa"/>
            <w:gridSpan w:val="3"/>
            <w:vMerge w:val="continue"/>
            <w:tcBorders>
              <w:bottom w:val="single" w:sz="8" w:space="0" w:color="000000"/>
            </w:tcBorders>
            <w:shd w:fill="CCEEFF" w:val="clear"/>
            <w:tcMar>
              <w:top w:w="0" w:type="dxa"/>
              <w:left w:w="0" w:type="dxa"/>
              <w:bottom w:w="30" w:type="dxa"/>
              <w:right w:w="0" w:type="dxa"/>
            </w:tcMar>
            <w:vAlign w:val="center"/>
          </w:tcPr>
          <w:p>
            <w:pPr>
              <w:pStyle w:val="Normal"/>
              <w:bidi w:val="0"/>
              <w:jc w:val="left"/>
              <w:rPr/>
            </w:pPr>
            <w:r>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The aggregate number of shares to be sold will depend, in part, on future company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0"/>
        <w:gridCol w:w="220"/>
        <w:gridCol w:w="221"/>
        <w:gridCol w:w="3002"/>
        <w:gridCol w:w="2694"/>
        <w:gridCol w:w="3818"/>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101.htm">
              <w:r>
                <w:rPr>
                  <w:rStyle w:val="InternetLink"/>
                  <w:rFonts w:ascii="Times New Roman;sans-serif" w:hAnsi="Times New Roman;sans-serif"/>
                  <w:b w:val="false"/>
                  <w:color w:val="000080"/>
                  <w:sz w:val="20"/>
                  <w:u w:val="single"/>
                </w:rPr>
                <w:t>202</w:t>
              </w:r>
            </w:hyperlink>
            <w:hyperlink w:anchor="noc-03312025xex101.htm">
              <w:r>
                <w:rPr>
                  <w:rStyle w:val="InternetLink"/>
                  <w:rFonts w:ascii="Times New Roman;sans-serif" w:hAnsi="Times New Roman;sans-serif"/>
                  <w:b w:val="false"/>
                  <w:color w:val="000080"/>
                  <w:sz w:val="20"/>
                  <w:u w:val="single"/>
                </w:rPr>
                <w:t>5</w:t>
              </w:r>
            </w:hyperlink>
            <w:hyperlink w:anchor="noc-03312025xex101.htm">
              <w:r>
                <w:rPr>
                  <w:rStyle w:val="InternetLink"/>
                  <w:rFonts w:ascii="Times New Roman;sans-serif" w:hAnsi="Times New Roman;sans-serif"/>
                  <w:b w:val="false"/>
                  <w:color w:val="000080"/>
                  <w:sz w:val="20"/>
                  <w:u w:val="single"/>
                </w:rPr>
                <w:t xml:space="preserve"> Restricted Stock Rights Grant Agreement Specifying Terms and Conditions Applicable to 202</w:t>
              </w:r>
            </w:hyperlink>
            <w:hyperlink w:anchor="noc-03312025xex101.htm">
              <w:r>
                <w:rPr>
                  <w:rStyle w:val="InternetLink"/>
                  <w:rFonts w:ascii="Times New Roman;sans-serif" w:hAnsi="Times New Roman;sans-serif"/>
                  <w:b w:val="false"/>
                  <w:color w:val="000080"/>
                  <w:sz w:val="20"/>
                  <w:u w:val="single"/>
                </w:rPr>
                <w:t>5</w:t>
              </w:r>
            </w:hyperlink>
            <w:hyperlink w:anchor="noc-03312025xex101.htm">
              <w:r>
                <w:rPr>
                  <w:rStyle w:val="InternetLink"/>
                  <w:rFonts w:ascii="Times New Roman;sans-serif" w:hAnsi="Times New Roman;sans-serif"/>
                  <w:b w:val="false"/>
                  <w:color w:val="000080"/>
                  <w:sz w:val="20"/>
                  <w:u w:val="single"/>
                </w:rPr>
                <w:t xml:space="preserve"> Restricted Stock Rights Granted under the 20</w:t>
              </w:r>
            </w:hyperlink>
            <w:hyperlink w:anchor="noc-03312025xex101.htm">
              <w:r>
                <w:rPr>
                  <w:rStyle w:val="InternetLink"/>
                  <w:rFonts w:ascii="Times New Roman;sans-serif" w:hAnsi="Times New Roman;sans-serif"/>
                  <w:b w:val="false"/>
                  <w:color w:val="000080"/>
                  <w:sz w:val="20"/>
                  <w:u w:val="single"/>
                </w:rPr>
                <w:t>24</w:t>
              </w:r>
            </w:hyperlink>
            <w:hyperlink w:anchor="noc-03312025xex101.htm">
              <w:r>
                <w:rPr>
                  <w:rStyle w:val="InternetLink"/>
                  <w:rFonts w:ascii="Times New Roman;sans-serif" w:hAnsi="Times New Roman;sans-serif"/>
                  <w:b w:val="false"/>
                  <w:color w:val="000080"/>
                  <w:sz w:val="20"/>
                  <w:u w:val="single"/>
                </w:rPr>
                <w:t xml:space="preserve"> Long-Term Incentive Stock Plan</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102.htm">
              <w:r>
                <w:rPr>
                  <w:rStyle w:val="InternetLink"/>
                  <w:rFonts w:ascii="Times New Roman;sans-serif" w:hAnsi="Times New Roman;sans-serif"/>
                  <w:b w:val="false"/>
                  <w:color w:val="000080"/>
                  <w:sz w:val="20"/>
                  <w:u w:val="single"/>
                </w:rPr>
                <w:t>202</w:t>
              </w:r>
            </w:hyperlink>
            <w:hyperlink w:anchor="noc-03312025xex102.htm">
              <w:r>
                <w:rPr>
                  <w:rStyle w:val="InternetLink"/>
                  <w:rFonts w:ascii="Times New Roman;sans-serif" w:hAnsi="Times New Roman;sans-serif"/>
                  <w:b w:val="false"/>
                  <w:color w:val="000080"/>
                  <w:sz w:val="20"/>
                  <w:u w:val="single"/>
                </w:rPr>
                <w:t>5</w:t>
              </w:r>
            </w:hyperlink>
            <w:hyperlink w:anchor="noc-03312025xex102.htm">
              <w:r>
                <w:rPr>
                  <w:rStyle w:val="InternetLink"/>
                  <w:rFonts w:ascii="Times New Roman;sans-serif" w:hAnsi="Times New Roman;sans-serif"/>
                  <w:b w:val="false"/>
                  <w:color w:val="000080"/>
                  <w:sz w:val="20"/>
                  <w:u w:val="single"/>
                </w:rPr>
                <w:t xml:space="preserve"> Restricted Performance Stock Rights Grant Agreement Specifying Terms and Conditions Applicable to 202</w:t>
              </w:r>
            </w:hyperlink>
            <w:hyperlink w:anchor="noc-03312025xex102.htm">
              <w:r>
                <w:rPr>
                  <w:rStyle w:val="InternetLink"/>
                  <w:rFonts w:ascii="Times New Roman;sans-serif" w:hAnsi="Times New Roman;sans-serif"/>
                  <w:b w:val="false"/>
                  <w:color w:val="000080"/>
                  <w:sz w:val="20"/>
                  <w:u w:val="single"/>
                </w:rPr>
                <w:t>5</w:t>
              </w:r>
            </w:hyperlink>
            <w:hyperlink w:anchor="noc-03312025xex102.htm">
              <w:r>
                <w:rPr>
                  <w:rStyle w:val="InternetLink"/>
                  <w:rFonts w:ascii="Times New Roman;sans-serif" w:hAnsi="Times New Roman;sans-serif"/>
                  <w:b w:val="false"/>
                  <w:color w:val="000080"/>
                  <w:sz w:val="20"/>
                  <w:u w:val="single"/>
                </w:rPr>
                <w:t xml:space="preserve"> Restricted Performance Stock Rights Granted under the 20</w:t>
              </w:r>
            </w:hyperlink>
            <w:hyperlink w:anchor="noc-03312025xex102.htm">
              <w:r>
                <w:rPr>
                  <w:rStyle w:val="InternetLink"/>
                  <w:rFonts w:ascii="Times New Roman;sans-serif" w:hAnsi="Times New Roman;sans-serif"/>
                  <w:b w:val="false"/>
                  <w:color w:val="000080"/>
                  <w:sz w:val="20"/>
                  <w:u w:val="single"/>
                </w:rPr>
                <w:t>2</w:t>
              </w:r>
            </w:hyperlink>
            <w:hyperlink w:anchor="noc-03312025xex102.htm">
              <w:r>
                <w:rPr>
                  <w:rStyle w:val="InternetLink"/>
                  <w:rFonts w:ascii="Times New Roman;sans-serif" w:hAnsi="Times New Roman;sans-serif"/>
                  <w:b w:val="false"/>
                  <w:color w:val="000080"/>
                  <w:sz w:val="20"/>
                  <w:u w:val="single"/>
                </w:rPr>
                <w:t>4</w:t>
              </w:r>
            </w:hyperlink>
            <w:hyperlink w:anchor="noc-03312025xex102.htm">
              <w:r>
                <w:rPr>
                  <w:rStyle w:val="InternetLink"/>
                  <w:rFonts w:ascii="Times New Roman;sans-serif" w:hAnsi="Times New Roman;sans-serif"/>
                  <w:b w:val="false"/>
                  <w:color w:val="000080"/>
                  <w:sz w:val="20"/>
                  <w:u w:val="single"/>
                </w:rPr>
                <w:t xml:space="preserve"> Long-Term Incentive Stock Plan</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103.htm">
              <w:r>
                <w:rPr>
                  <w:rStyle w:val="InternetLink"/>
                  <w:rFonts w:ascii="Times New Roman;sans-serif" w:hAnsi="Times New Roman;sans-serif"/>
                  <w:b w:val="false"/>
                  <w:color w:val="000080"/>
                  <w:sz w:val="20"/>
                  <w:u w:val="single"/>
                </w:rPr>
                <w:t xml:space="preserve">Severance Plan for Elected and </w:t>
              </w:r>
            </w:hyperlink>
            <w:hyperlink w:anchor="noc-03312025xex103.htm">
              <w:r>
                <w:rPr>
                  <w:rStyle w:val="InternetLink"/>
                  <w:rFonts w:ascii="Times New Roman;sans-serif" w:hAnsi="Times New Roman;sans-serif"/>
                  <w:b w:val="false"/>
                  <w:color w:val="000080"/>
                  <w:sz w:val="20"/>
                  <w:u w:val="single"/>
                </w:rPr>
                <w:t xml:space="preserve">Appointed Officers of Northrop Grumman Corporation, as amended and </w:t>
              </w:r>
            </w:hyperlink>
            <w:hyperlink w:anchor="noc-03312025xex103.htm">
              <w:r>
                <w:rPr>
                  <w:rStyle w:val="InternetLink"/>
                  <w:rFonts w:ascii="Times New Roman;sans-serif" w:hAnsi="Times New Roman;sans-serif"/>
                  <w:b w:val="false"/>
                  <w:color w:val="000080"/>
                  <w:sz w:val="20"/>
                  <w:u w:val="single"/>
                </w:rPr>
                <w:t>restated effective F</w:t>
              </w:r>
            </w:hyperlink>
            <w:hyperlink w:anchor="noc-03312025xex103.htm">
              <w:r>
                <w:rPr>
                  <w:rStyle w:val="InternetLink"/>
                  <w:rFonts w:ascii="Times New Roman;sans-serif" w:hAnsi="Times New Roman;sans-serif"/>
                  <w:b w:val="false"/>
                  <w:color w:val="000080"/>
                  <w:sz w:val="20"/>
                  <w:u w:val="single"/>
                </w:rPr>
                <w:t xml:space="preserve">ebruary </w:t>
              </w:r>
            </w:hyperlink>
            <w:hyperlink w:anchor="noc-03312025xex103.htm">
              <w:r>
                <w:rPr>
                  <w:rStyle w:val="InternetLink"/>
                  <w:rFonts w:ascii="Times New Roman;sans-serif" w:hAnsi="Times New Roman;sans-serif"/>
                  <w:b w:val="false"/>
                  <w:color w:val="000080"/>
                  <w:sz w:val="20"/>
                  <w:u w:val="single"/>
                </w:rPr>
                <w:t xml:space="preserve">18, 2025 </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104.htm">
              <w:r>
                <w:rPr>
                  <w:rStyle w:val="InternetLink"/>
                  <w:rFonts w:ascii="Times New Roman;sans-serif" w:hAnsi="Times New Roman;sans-serif"/>
                  <w:b w:val="false"/>
                  <w:color w:val="000080"/>
                  <w:sz w:val="20"/>
                  <w:u w:val="single"/>
                </w:rPr>
                <w:t>G</w:t>
              </w:r>
            </w:hyperlink>
            <w:hyperlink w:anchor="noc-03312025xex104.htm">
              <w:r>
                <w:rPr>
                  <w:rStyle w:val="InternetLink"/>
                  <w:rFonts w:ascii="Times New Roman;sans-serif" w:hAnsi="Times New Roman;sans-serif"/>
                  <w:b w:val="false"/>
                  <w:color w:val="000080"/>
                  <w:sz w:val="20"/>
                  <w:u w:val="single"/>
                </w:rPr>
                <w:t>ro</w:t>
              </w:r>
            </w:hyperlink>
            <w:hyperlink w:anchor="noc-03312025xex104.htm">
              <w:r>
                <w:rPr>
                  <w:rStyle w:val="InternetLink"/>
                  <w:rFonts w:ascii="Times New Roman;sans-serif" w:hAnsi="Times New Roman;sans-serif"/>
                  <w:b w:val="false"/>
                  <w:color w:val="000080"/>
                  <w:sz w:val="20"/>
                  <w:u w:val="single"/>
                </w:rPr>
                <w:t>up Personal Excess Liability Policy, effective as of January 1, 2025</w:t>
              </w:r>
            </w:hyperlink>
            <w:r>
              <w:rPr>
                <w:color w:val="000000"/>
              </w:rPr>
              <w:t xml:space="preserve"> </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15.htm">
              <w:r>
                <w:rPr>
                  <w:rStyle w:val="InternetLink"/>
                  <w:rFonts w:ascii="Times New Roman;sans-serif" w:hAnsi="Times New Roman;sans-serif"/>
                  <w:b w:val="false"/>
                  <w:color w:val="0000FF"/>
                  <w:sz w:val="20"/>
                  <w:u w:val="single"/>
                </w:rPr>
                <w:t>Letter from Independent Registered Public Accounting Firm</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311.htm">
              <w:r>
                <w:rPr>
                  <w:rStyle w:val="InternetLink"/>
                  <w:rFonts w:ascii="Times New Roman;sans-serif" w:hAnsi="Times New Roman;sans-serif"/>
                  <w:b w:val="false"/>
                  <w:color w:val="0000FF"/>
                  <w:sz w:val="20"/>
                  <w:u w:val="single"/>
                </w:rPr>
                <w:t>Certification of Kathy J. Warden pursuant to Section 302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312.htm">
              <w:r>
                <w:rPr>
                  <w:rStyle w:val="InternetLink"/>
                  <w:rFonts w:ascii="Times New Roman;sans-serif" w:hAnsi="Times New Roman;sans-serif"/>
                  <w:b w:val="false"/>
                  <w:color w:val="0000FF"/>
                  <w:sz w:val="20"/>
                  <w:u w:val="single"/>
                </w:rPr>
                <w:t>Certification of Kenneth B. Crews pursuant to Section 302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321.htm">
              <w:r>
                <w:rPr>
                  <w:rStyle w:val="InternetLink"/>
                  <w:rFonts w:ascii="Times New Roman;sans-serif" w:hAnsi="Times New Roman;sans-serif"/>
                  <w:b w:val="false"/>
                  <w:color w:val="0000FF"/>
                  <w:sz w:val="20"/>
                  <w:u w:val="single"/>
                </w:rPr>
                <w:t>Certification of Kathy J. Warden pursuant to Section 906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3312025xex322.htm">
              <w:r>
                <w:rPr>
                  <w:rStyle w:val="InternetLink"/>
                  <w:rFonts w:ascii="Times New Roman;sans-serif" w:hAnsi="Times New Roman;sans-serif"/>
                  <w:b w:val="false"/>
                  <w:color w:val="0000FF"/>
                  <w:sz w:val="20"/>
                  <w:u w:val="single"/>
                </w:rPr>
                <w:t>Certification of Kenneth B. Crews pursuant to Section 906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9514" w:type="dxa"/>
            <w:gridSpan w:val="3"/>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Northrop Grumman Corporation Quarterly Report on Form 10-Q for the quarter ended March 31, 2025, formatted as inline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(vi) Notes to Condensed Consolidated Financial Statements, and (vii) Other Information. The instance document does not appear in the Interactive Data File because its XBRL tags are embedded within the Inline XBRL document.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20c7e6580f147fab2155f156e01bedb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NORTHROP GRUMMAN CORPORATION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00"/>
        <w:jc w:val="left"/>
        <w:rPr/>
      </w:pPr>
      <w:r>
        <w:rPr/>
      </w:r>
    </w:p>
    <w:tbl>
      <w:tblPr>
        <w:tblW w:w="5812" w:type="dxa"/>
        <w:jc w:val="right"/>
        <w:tblInd w:w="0" w:type="dxa"/>
        <w:tblLayout w:type="fixed"/>
        <w:tblCellMar>
          <w:top w:w="28" w:type="dxa"/>
          <w:left w:w="28" w:type="dxa"/>
          <w:bottom w:w="28" w:type="dxa"/>
          <w:right w:w="28" w:type="dxa"/>
        </w:tblCellMar>
      </w:tblPr>
      <w:tblGrid>
        <w:gridCol w:w="438"/>
        <w:gridCol w:w="385"/>
        <w:gridCol w:w="385"/>
        <w:gridCol w:w="385"/>
        <w:gridCol w:w="385"/>
        <w:gridCol w:w="385"/>
        <w:gridCol w:w="1004"/>
        <w:gridCol w:w="1004"/>
        <w:gridCol w:w="1441"/>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58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NORTHROP GRUMMAN CORPORATION</w:t>
              <w:br/>
              <w:t>(Registrant)</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p>
            <w:pPr>
              <w:pStyle w:val="TableContents"/>
              <w:bidi w:val="0"/>
              <w:spacing w:lineRule="auto" w:line="240" w:before="0" w:after="0"/>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Michael A. Hardesty</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A. Hardesty</w:t>
              <w:br/>
              <w:t>Corporate Vice President, Controller and</w:t>
              <w:br/>
              <w:t>Chief Accounting Officer</w:t>
              <w:br/>
              <w:t>(Principal Accounting Officer)</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NORTHROP GRUMMAN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2025 RESTRICTED STOCK RIGHTS GRANT AGREEMENT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2025 Restricted Stock Rights Grant Agreement (“Agreement”) applies to certain “Restricted Stock Rights” (“RSRs”) granted by Northrop Grumman Corporation (the “Company”) in 2025 under its 2024 Long-Term Incentive Stock Plan. If you were granted an RSR award by the Company in 2025,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2025 RSR award under the Plan, and you are subject to this Agreement upon accepting your grant. If you were granted an RSR award, you are referred to as the “Grantee” with respect to your award. Capitalized terms are generally defined in Section 12 below if not otherwise defined herein.</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0"/>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46"/>
        <w:jc w:val="left"/>
        <w:rPr/>
      </w:pPr>
      <w:r>
        <w:rPr>
          <w:rFonts w:ascii="Times New Roman;sans-serif" w:hAnsi="Times New Roman;sans-serif"/>
          <w:b/>
          <w:color w:val="000000"/>
          <w:sz w:val="20"/>
        </w:rPr>
        <w:t>1.</w:t>
      </w:r>
      <w:r>
        <w:rPr>
          <w:rFonts w:ascii="Times New Roman;sans-serif" w:hAnsi="Times New Roman;sans-serif"/>
          <w:b/>
          <w:color w:val="000000"/>
          <w:sz w:val="20"/>
          <w:u w:val="single"/>
        </w:rPr>
        <w:t>Vesting; Issuance of Shares</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pStyle w:val="TextBody"/>
        <w:bidi w:val="0"/>
        <w:spacing w:lineRule="auto" w:line="288" w:before="0" w:after="200"/>
        <w:ind w:left="0" w:right="0" w:firstLine="450"/>
        <w:jc w:val="left"/>
        <w:rPr/>
      </w:pPr>
      <w:r>
        <w:rPr>
          <w:rFonts w:ascii="Times New Roman;sans-serif" w:hAnsi="Times New Roman;sans-serif"/>
          <w:b/>
          <w:color w:val="000000"/>
          <w:sz w:val="20"/>
        </w:rPr>
        <w:t xml:space="preserve">1.1 </w:t>
      </w:r>
      <w:r>
        <w:rPr>
          <w:rFonts w:ascii="Times New Roman;sans-serif" w:hAnsi="Times New Roman;sans-serif"/>
          <w:b/>
          <w:i/>
          <w:color w:val="000000"/>
          <w:sz w:val="20"/>
        </w:rPr>
        <w:t>Payment of RSRs</w:t>
      </w:r>
      <w:r>
        <w:rPr>
          <w:rFonts w:ascii="Times New Roman;sans-serif" w:hAnsi="Times New Roman;sans-serif"/>
          <w:b w:val="false"/>
          <w:color w:val="000000"/>
          <w:sz w:val="20"/>
        </w:rPr>
        <w:t xml:space="preserve">. Except as otherwise provided below, the 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 </w:t>
      </w:r>
    </w:p>
    <w:p>
      <w:pPr>
        <w:pStyle w:val="TextBody"/>
        <w:bidi w:val="0"/>
        <w:spacing w:lineRule="auto" w:line="288" w:before="0" w:after="200"/>
        <w:ind w:left="0" w:right="0" w:firstLine="450"/>
        <w:jc w:val="left"/>
        <w:rPr/>
      </w:pPr>
      <w:r>
        <w:rPr>
          <w:rFonts w:ascii="Times New Roman;sans-serif" w:hAnsi="Times New Roman;sans-serif"/>
          <w:b/>
          <w:color w:val="000000"/>
          <w:sz w:val="20"/>
        </w:rPr>
        <w:t xml:space="preserve">1.2 </w:t>
      </w:r>
      <w:r>
        <w:rPr>
          <w:rFonts w:ascii="Times New Roman;sans-serif" w:hAnsi="Times New Roman;sans-serif"/>
          <w:b/>
          <w:i/>
          <w:color w:val="000000"/>
          <w:sz w:val="20"/>
        </w:rPr>
        <w:t>Dividend Equivalents</w:t>
      </w:r>
      <w:r>
        <w:rPr>
          <w:rFonts w:ascii="Times New Roman;sans-serif" w:hAnsi="Times New Roman;sans-serif"/>
          <w:b w:val="false"/>
          <w:color w:val="000000"/>
          <w:sz w:val="20"/>
        </w:rPr>
        <w:t xml:space="preserve">. The Grantee shall be entitled to payment 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date the Vested RSRs are paid (without interest or other adjustments to reflect the time value of money). Dividend Equivalents (if any) will be paid at the same time as the Vested RSRs to which they relate are paid. Dividend Equivalents will be paid in cash.</w:t>
      </w:r>
    </w:p>
    <w:p>
      <w:pPr>
        <w:pStyle w:val="TextBody"/>
        <w:bidi w:val="0"/>
        <w:spacing w:lineRule="auto" w:line="288" w:before="0" w:after="200"/>
        <w:ind w:left="0" w:right="0" w:hanging="446"/>
        <w:jc w:val="left"/>
        <w:rPr/>
      </w:pPr>
      <w:r>
        <w:rPr>
          <w:rFonts w:ascii="Times New Roman;sans-serif" w:hAnsi="Times New Roman;sans-serif"/>
          <w:b/>
          <w:color w:val="000000"/>
          <w:sz w:val="20"/>
        </w:rPr>
        <w:t>2.</w:t>
      </w:r>
      <w:r>
        <w:rPr>
          <w:rFonts w:ascii="Times New Roman;sans-serif" w:hAnsi="Times New Roman;sans-serif"/>
          <w:b/>
          <w:color w:val="000000"/>
          <w:sz w:val="20"/>
          <w:u w:val="single"/>
        </w:rPr>
        <w:t>Early Termination of Award; Termination of Employment</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pPr>
      <w:r>
        <w:rPr>
          <w:rFonts w:ascii="Times New Roman;sans-serif" w:hAnsi="Times New Roman;sans-serif"/>
          <w:b/>
          <w:color w:val="000000"/>
          <w:sz w:val="20"/>
        </w:rPr>
        <w:t>2.1    </w:t>
      </w:r>
      <w:r>
        <w:rPr>
          <w:rFonts w:ascii="Times New Roman;sans-serif" w:hAnsi="Times New Roman;sans-serif"/>
          <w:b/>
          <w:i/>
          <w:color w:val="000000"/>
          <w:sz w:val="20"/>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RSRs (and related Dividend Equivalents) subject 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pStyle w:val="TextBody"/>
        <w:bidi w:val="0"/>
        <w:spacing w:lineRule="auto" w:line="288" w:before="0" w:after="200"/>
        <w:ind w:left="0" w:right="0" w:firstLine="450"/>
        <w:jc w:val="left"/>
        <w:rPr/>
      </w:pPr>
      <w:r>
        <w:rPr>
          <w:rFonts w:ascii="Times New Roman;sans-serif" w:hAnsi="Times New Roman;sans-serif"/>
          <w:b/>
          <w:color w:val="000000"/>
          <w:sz w:val="20"/>
        </w:rPr>
        <w:t>2.2    </w:t>
      </w:r>
      <w:r>
        <w:rPr>
          <w:rFonts w:ascii="Times New Roman;sans-serif" w:hAnsi="Times New Roman;sans-serif"/>
          <w:b/>
          <w:i/>
          <w:color w:val="000000"/>
          <w:sz w:val="20"/>
        </w:rPr>
        <w:t>Leave of Absence</w:t>
      </w:r>
      <w:r>
        <w:rPr>
          <w:rFonts w:ascii="Times New Roman;sans-serif" w:hAnsi="Times New Roman;sans-serif"/>
          <w:b w:val="false"/>
          <w:color w:val="000000"/>
          <w:sz w:val="20"/>
        </w:rPr>
        <w:t>. Unless the Committee otherwise provides (at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pPr>
                            <w:r>
                              <w:rPr>
                                <w:rFonts w:ascii="Times New Roman;sans-serif" w:hAnsi="Times New Roman;sans-serif"/>
                                <w:b w:val="false"/>
                                <w:color w:val="000000"/>
                                <w:sz w:val="16"/>
                              </w:rPr>
                              <w:t>ELT - RSR 2025</w:t>
                            </w:r>
                            <w:r>
                              <w:rPr>
                                <w:color w:val="000000"/>
                              </w:rPr>
                              <w:t>    </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pPr>
                      <w:r>
                        <w:rPr>
                          <w:rFonts w:ascii="Times New Roman;sans-serif" w:hAnsi="Times New Roman;sans-serif"/>
                          <w:b w:val="false"/>
                          <w:color w:val="000000"/>
                          <w:sz w:val="16"/>
                        </w:rPr>
                        <w:t>ELT - RSR 2025</w:t>
                      </w:r>
                      <w:r>
                        <w:rPr>
                          <w:color w:val="000000"/>
                        </w:rPr>
                        <w:t>    </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00"/>
        <w:ind w:left="0" w:right="0" w:firstLine="450"/>
        <w:jc w:val="left"/>
        <w:rPr/>
      </w:pPr>
      <w:r>
        <w:rPr>
          <w:rFonts w:ascii="Times New Roman;sans-serif" w:hAnsi="Times New Roman;sans-serif"/>
          <w:b/>
          <w:color w:val="000000"/>
          <w:sz w:val="20"/>
        </w:rPr>
        <w:t>2.3    </w:t>
      </w:r>
      <w:r>
        <w:rPr>
          <w:rFonts w:ascii="Times New Roman;sans-serif" w:hAnsi="Times New Roman;sans-serif"/>
          <w:b/>
          <w:i/>
          <w:color w:val="000000"/>
          <w:sz w:val="20"/>
        </w:rPr>
        <w:t>Salary Continuation</w:t>
      </w:r>
      <w:r>
        <w:rPr>
          <w:rFonts w:ascii="Times New Roman;sans-serif" w:hAnsi="Times New Roman;sans-serif"/>
          <w:b w:val="false"/>
          <w:color w:val="000000"/>
          <w:sz w:val="20"/>
        </w:rPr>
        <w:t>. Subject to Section 2.2 above, the term “employment”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pStyle w:val="TextBody"/>
        <w:bidi w:val="0"/>
        <w:spacing w:lineRule="auto" w:line="288" w:before="0" w:after="200"/>
        <w:ind w:left="0" w:right="0" w:firstLine="450"/>
        <w:jc w:val="left"/>
        <w:rPr/>
      </w:pPr>
      <w:r>
        <w:rPr>
          <w:rFonts w:ascii="Times New Roman;sans-serif" w:hAnsi="Times New Roman;sans-serif"/>
          <w:b/>
          <w:color w:val="000000"/>
          <w:sz w:val="20"/>
        </w:rPr>
        <w:t>2.4    </w:t>
      </w:r>
      <w:r>
        <w:rPr>
          <w:rFonts w:ascii="Times New Roman;sans-serif" w:hAnsi="Times New Roman;sans-serif"/>
          <w:b/>
          <w:i/>
          <w:color w:val="000000"/>
          <w:sz w:val="20"/>
        </w:rPr>
        <w:t>Sale or Spinoff of Subsidiary or Business Unit</w:t>
      </w:r>
      <w:r>
        <w:rPr>
          <w:rFonts w:ascii="Times New Roman;sans-serif" w:hAnsi="Times New Roman;sans-serif"/>
          <w:b w:val="false"/>
          <w:color w:val="000000"/>
          <w:sz w:val="20"/>
        </w:rPr>
        <w:t>. For 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pStyle w:val="TextBody"/>
        <w:bidi w:val="0"/>
        <w:spacing w:lineRule="auto" w:line="288" w:before="0" w:after="200"/>
        <w:ind w:left="0" w:right="0" w:firstLine="450"/>
        <w:jc w:val="left"/>
        <w:rPr/>
      </w:pPr>
      <w:r>
        <w:rPr>
          <w:rFonts w:ascii="Times New Roman;sans-serif" w:hAnsi="Times New Roman;sans-serif"/>
          <w:b/>
          <w:color w:val="000000"/>
          <w:sz w:val="20"/>
        </w:rPr>
        <w:t>2.5    </w:t>
      </w:r>
      <w:r>
        <w:rPr>
          <w:rFonts w:ascii="Times New Roman;sans-serif" w:hAnsi="Times New Roman;sans-serif"/>
          <w:b/>
          <w:i/>
          <w:color w:val="000000"/>
          <w:sz w:val="20"/>
        </w:rPr>
        <w:t>Continuance of Employment Required</w:t>
      </w:r>
      <w:r>
        <w:rPr>
          <w:rFonts w:ascii="Times New Roman;sans-serif" w:hAnsi="Times New Roman;sans-serif"/>
          <w:b w:val="false"/>
          <w:color w:val="000000"/>
          <w:sz w:val="20"/>
        </w:rPr>
        <w:t>. Except as expressly 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pStyle w:val="TextBody"/>
        <w:bidi w:val="0"/>
        <w:spacing w:lineRule="auto" w:line="288" w:before="0" w:after="200"/>
        <w:ind w:left="0" w:right="0" w:firstLine="450"/>
        <w:jc w:val="left"/>
        <w:rPr/>
      </w:pPr>
      <w:r>
        <w:rPr>
          <w:rFonts w:ascii="Times New Roman;sans-serif" w:hAnsi="Times New Roman;sans-serif"/>
          <w:b/>
          <w:color w:val="000000"/>
          <w:sz w:val="20"/>
        </w:rPr>
        <w:t>2.6    </w:t>
      </w:r>
      <w:r>
        <w:rPr>
          <w:rFonts w:ascii="Times New Roman;sans-serif" w:hAnsi="Times New Roman;sans-serif"/>
          <w:b/>
          <w:i/>
          <w:color w:val="000000"/>
          <w:sz w:val="20"/>
        </w:rPr>
        <w:t>Death or Disability</w:t>
      </w:r>
      <w:r>
        <w:rPr>
          <w:rFonts w:ascii="Times New Roman;sans-serif" w:hAnsi="Times New Roman;sans-serif"/>
          <w:b w:val="false"/>
          <w:color w:val="000000"/>
          <w:sz w:val="20"/>
        </w:rPr>
        <w:t xml:space="preserve">. If the Grantee dies or incurs a Disability 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 </w:t>
      </w:r>
    </w:p>
    <w:p>
      <w:pPr>
        <w:pStyle w:val="TextBody"/>
        <w:bidi w:val="0"/>
        <w:spacing w:lineRule="auto" w:line="288" w:before="0" w:after="200"/>
        <w:ind w:left="0" w:right="0" w:firstLine="450"/>
        <w:jc w:val="left"/>
        <w:rPr/>
      </w:pPr>
      <w:r>
        <w:rPr>
          <w:rFonts w:ascii="Times New Roman;sans-serif" w:hAnsi="Times New Roman;sans-serif"/>
          <w:b/>
          <w:color w:val="000000"/>
          <w:sz w:val="20"/>
        </w:rPr>
        <w:t>2.7</w:t>
      </w:r>
      <w:r>
        <w:rPr>
          <w:color w:val="000000"/>
        </w:rPr>
        <w:t xml:space="preserve"> </w:t>
      </w:r>
      <w:r>
        <w:rPr>
          <w:rFonts w:ascii="Times New Roman;sans-serif" w:hAnsi="Times New Roman;sans-serif"/>
          <w:b/>
          <w:i/>
          <w:color w:val="000000"/>
          <w:sz w:val="20"/>
        </w:rPr>
        <w:t>Termination of Employment Due to Retirement</w:t>
      </w:r>
      <w:r>
        <w:rPr>
          <w:rFonts w:ascii="Times New Roman;sans-serif" w:hAnsi="Times New Roman;sans-serif"/>
          <w:b w:val="false"/>
          <w:color w:val="000000"/>
          <w:sz w:val="20"/>
        </w:rPr>
        <w:t>. If the Grantee 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following provisions of this paragraph, RSRs (and related Dividend Equivalents) vesting under this Section shall be paid within 60 days following the Grantee’s Separation from Service. However, in the case of a Governmental Service Retirement by the Grantee, payment of the vested RSRs (and related Dividend Equivalents) will be made within 10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promptly after, and in all events within thirty (30) days after, the first to occur of) (a) the date which is six (6) months and one day after the Grantee’s Separation from Service, or (b) the date of the Grantee’s death. The provisions of the preceding sentence shall only apply if, and to the extent, required to avoid the imputation of any tax, penalty or interest pursuant to Section 409A of the Code.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Early Retirement, Normal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 </w:t>
      </w:r>
    </w:p>
    <w:p>
      <w:pPr>
        <w:pStyle w:val="TextBody"/>
        <w:bidi w:val="0"/>
        <w:spacing w:lineRule="auto" w:line="288" w:before="0" w:after="200"/>
        <w:ind w:left="0" w:right="0" w:hanging="446"/>
        <w:jc w:val="left"/>
        <w:rPr/>
      </w:pPr>
      <w:r>
        <w:rPr>
          <w:rFonts w:ascii="Times New Roman;sans-serif" w:hAnsi="Times New Roman;sans-serif"/>
          <w:b/>
          <w:color w:val="000000"/>
          <w:sz w:val="20"/>
        </w:rPr>
        <w:t>3.</w:t>
      </w:r>
      <w:r>
        <w:rPr>
          <w:rFonts w:ascii="Times New Roman;sans-serif" w:hAnsi="Times New Roman;sans-serif"/>
          <w:b/>
          <w:color w:val="000000"/>
          <w:sz w:val="20"/>
          <w:u w:val="single"/>
        </w:rPr>
        <w:t>Non-Transferability and Other Restrictions</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pPr>
      <w:r>
        <w:rPr>
          <w:rFonts w:ascii="Times New Roman;sans-serif" w:hAnsi="Times New Roman;sans-serif"/>
          <w:b/>
          <w:color w:val="000000"/>
          <w:sz w:val="20"/>
        </w:rPr>
        <w:t>3.1    </w:t>
      </w:r>
      <w:r>
        <w:rPr>
          <w:rFonts w:ascii="Times New Roman;sans-serif" w:hAnsi="Times New Roman;sans-serif"/>
          <w:b/>
          <w:i/>
          <w:color w:val="000000"/>
          <w:sz w:val="20"/>
        </w:rPr>
        <w:t>Non-Transferability</w:t>
      </w:r>
      <w:r>
        <w:rPr>
          <w:rFonts w:ascii="Times New Roman;sans-serif" w:hAnsi="Times New Roman;sans-serif"/>
          <w:b w:val="false"/>
          <w:color w:val="000000"/>
          <w:sz w:val="20"/>
        </w:rPr>
        <w:t>. The award, as well as the RSRs (and 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pStyle w:val="TextBody"/>
        <w:bidi w:val="0"/>
        <w:spacing w:lineRule="auto" w:line="288" w:before="0" w:after="200"/>
        <w:ind w:left="0" w:right="0" w:firstLine="450"/>
        <w:jc w:val="left"/>
        <w:rPr/>
      </w:pPr>
      <w:r>
        <w:rPr>
          <w:rFonts w:ascii="Times New Roman;sans-serif" w:hAnsi="Times New Roman;sans-serif"/>
          <w:b/>
          <w:color w:val="000000"/>
          <w:sz w:val="20"/>
        </w:rPr>
        <w:t>3.2    </w:t>
      </w:r>
      <w:r>
        <w:rPr>
          <w:rFonts w:ascii="Times New Roman;sans-serif" w:hAnsi="Times New Roman;sans-serif"/>
          <w:b/>
          <w:i/>
          <w:color w:val="000000"/>
          <w:sz w:val="20"/>
        </w:rPr>
        <w:t>Forfeiture or Recoupment of Awards</w:t>
      </w:r>
      <w:r>
        <w:rPr>
          <w:rFonts w:ascii="Times New Roman;sans-serif" w:hAnsi="Times New Roman;sans-serif"/>
          <w:b w:val="false"/>
          <w:color w:val="000000"/>
          <w:sz w:val="20"/>
        </w:rPr>
        <w:t>. If, prior to payment 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2023 and as in effect from time to time (“Recoupment Policy.”). Any payments or issuances of shares with respect to the award are subject to recoupment pursuant to the Recoupment Policy ,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pStyle w:val="TextBody"/>
        <w:bidi w:val="0"/>
        <w:spacing w:lineRule="auto" w:line="288" w:before="0" w:after="200"/>
        <w:jc w:val="left"/>
        <w:rPr/>
      </w:pPr>
      <w:r>
        <w:rPr>
          <w:rFonts w:ascii="Times New Roman;sans-serif" w:hAnsi="Times New Roman;sans-serif"/>
          <w:b/>
          <w:color w:val="000000"/>
          <w:sz w:val="20"/>
        </w:rPr>
        <w:t>4.</w:t>
      </w:r>
      <w:r>
        <w:rPr>
          <w:rFonts w:ascii="Times New Roman;sans-serif" w:hAnsi="Times New Roman;sans-serif"/>
          <w:b/>
          <w:color w:val="000000"/>
          <w:sz w:val="20"/>
          <w:u w:val="single"/>
        </w:rPr>
        <w:t>Post-Employment Conduct</w:t>
      </w:r>
      <w:r>
        <w:rPr>
          <w:rFonts w:ascii="Times New Roman;sans-serif" w:hAnsi="Times New Roman;sans-serif"/>
          <w:b w:val="false"/>
          <w:color w:val="000000"/>
          <w:sz w:val="20"/>
        </w:rPr>
        <w:t>.</w:t>
      </w:r>
    </w:p>
    <w:p>
      <w:pPr>
        <w:pStyle w:val="TextBody"/>
        <w:bidi w:val="0"/>
        <w:spacing w:lineRule="auto" w:line="288" w:before="117" w:after="283"/>
        <w:ind w:left="0" w:right="0" w:firstLine="450"/>
        <w:jc w:val="left"/>
        <w:rPr/>
      </w:pPr>
      <w:r>
        <w:rPr>
          <w:rFonts w:ascii="Times New Roman;sans-serif" w:hAnsi="Times New Roman;sans-serif"/>
          <w:b/>
          <w:color w:val="000000"/>
          <w:sz w:val="20"/>
        </w:rPr>
        <w:t>4.1</w:t>
      </w:r>
      <w:r>
        <w:rPr>
          <w:rFonts w:ascii="Times New Roman;sans-serif" w:hAnsi="Times New Roman;sans-serif"/>
          <w:b/>
          <w:i/>
          <w:color w:val="000000"/>
          <w:sz w:val="20"/>
        </w:rPr>
        <w:t>Executive Leadership Team Contribution.</w:t>
      </w:r>
      <w:r>
        <w:rPr>
          <w:color w:val="000000"/>
        </w:rPr>
        <w:t xml:space="preserve"> </w:t>
      </w:r>
      <w:r>
        <w:rPr>
          <w:rFonts w:ascii="Times New Roman;sans-serif" w:hAnsi="Times New Roman;sans-serif"/>
          <w:b w:val="false"/>
          <w:color w:val="000000"/>
          <w:sz w:val="20"/>
        </w:rPr>
        <w:t xml:space="preserve">You acknowledge 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17"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4.2</w:t>
      </w:r>
      <w:r>
        <w:rPr>
          <w:rFonts w:ascii="Times New Roman;sans-serif" w:hAnsi="Times New Roman;sans-serif"/>
          <w:b/>
          <w:i/>
          <w:color w:val="000000"/>
          <w:sz w:val="20"/>
        </w:rPr>
        <w:t>Non-Competition</w:t>
      </w:r>
      <w:r>
        <w:rPr>
          <w:rFonts w:ascii="Times New Roman;sans-serif" w:hAnsi="Times New Roman;sans-serif"/>
          <w:b w:val="false"/>
          <w:color w:val="000000"/>
          <w:sz w:val="20"/>
        </w:rPr>
        <w:t>. For a period of twelve (12) months from the 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4.3</w:t>
      </w:r>
      <w:r>
        <w:rPr>
          <w:rFonts w:ascii="Times New Roman;sans-serif" w:hAnsi="Times New Roman;sans-serif"/>
          <w:b/>
          <w:i/>
          <w:color w:val="000000"/>
          <w:sz w:val="20"/>
        </w:rPr>
        <w:t>Non-Solicitation of Customers</w:t>
      </w:r>
      <w:r>
        <w:rPr>
          <w:rFonts w:ascii="Times New Roman;sans-serif" w:hAnsi="Times New Roman;sans-serif"/>
          <w:b/>
          <w:color w:val="000000"/>
          <w:sz w:val="20"/>
        </w:rPr>
        <w:t xml:space="preserve">. </w:t>
      </w:r>
      <w:r>
        <w:rPr>
          <w:rFonts w:ascii="Times New Roman;sans-serif" w:hAnsi="Times New Roman;sans-serif"/>
          <w:b w:val="false"/>
          <w:color w:val="000000"/>
          <w:sz w:val="20"/>
        </w:rPr>
        <w:t>For a period of eighteen (18) 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4.4</w:t>
      </w:r>
      <w:r>
        <w:rPr>
          <w:rFonts w:ascii="Times New Roman;sans-serif" w:hAnsi="Times New Roman;sans-serif"/>
          <w:b/>
          <w:i/>
          <w:color w:val="000000"/>
          <w:sz w:val="20"/>
        </w:rPr>
        <w:t>Non-Solicitation of Employees</w:t>
      </w:r>
      <w:r>
        <w:rPr>
          <w:rFonts w:ascii="Times New Roman;sans-serif" w:hAnsi="Times New Roman;sans-serif"/>
          <w:b/>
          <w:color w:val="000000"/>
          <w:sz w:val="20"/>
        </w:rPr>
        <w:t xml:space="preserve">. </w:t>
      </w:r>
      <w:r>
        <w:rPr>
          <w:rFonts w:ascii="Times New Roman;sans-serif" w:hAnsi="Times New Roman;sans-serif"/>
          <w:b w:val="false"/>
          <w:color w:val="000000"/>
          <w:sz w:val="20"/>
        </w:rPr>
        <w:t>For a period of twenty-four (24) 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4.5</w:t>
      </w:r>
      <w:r>
        <w:rPr>
          <w:rFonts w:ascii="Times New Roman;sans-serif" w:hAnsi="Times New Roman;sans-serif"/>
          <w:b/>
          <w:i/>
          <w:color w:val="000000"/>
          <w:sz w:val="20"/>
        </w:rPr>
        <w:t>Non-Disparagement.</w:t>
      </w:r>
      <w:r>
        <w:rPr>
          <w:color w:val="000000"/>
        </w:rPr>
        <w:t xml:space="preserve"> </w:t>
      </w:r>
      <w:r>
        <w:rPr>
          <w:rFonts w:ascii="Times New Roman;sans-serif" w:hAnsi="Times New Roman;sans-serif"/>
          <w:b w:val="false"/>
          <w:color w:val="000000"/>
          <w:sz w:val="20"/>
        </w:rPr>
        <w:t xml:space="preserve">You will not issue or communicate any 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investigation, or as otherwise provided by law. </w:t>
      </w:r>
    </w:p>
    <w:p>
      <w:pPr>
        <w:pStyle w:val="TextBody"/>
        <w:bidi w:val="0"/>
        <w:spacing w:lineRule="auto" w:line="288" w:before="0" w:after="0"/>
        <w:ind w:left="0" w:right="0" w:firstLine="450"/>
        <w:jc w:val="left"/>
        <w:rPr/>
      </w:pPr>
      <w:r>
        <w:rPr>
          <w:rFonts w:ascii="Times New Roman;sans-serif" w:hAnsi="Times New Roman;sans-serif"/>
          <w:b/>
          <w:color w:val="000000"/>
          <w:sz w:val="20"/>
        </w:rPr>
        <w:t>4.6</w:t>
      </w:r>
      <w:r>
        <w:rPr>
          <w:rFonts w:ascii="Times New Roman;sans-serif" w:hAnsi="Times New Roman;sans-serif"/>
          <w:b/>
          <w:i/>
          <w:color w:val="000000"/>
          <w:sz w:val="20"/>
        </w:rPr>
        <w:t>Exceptions.</w:t>
      </w:r>
      <w:r>
        <w:rPr>
          <w:color w:val="000000"/>
        </w:rPr>
        <w:t xml:space="preserve"> </w:t>
      </w:r>
      <w:r>
        <w:rPr>
          <w:rFonts w:ascii="Times New Roman;sans-serif" w:hAnsi="Times New Roman;sans-serif"/>
          <w:b w:val="false"/>
          <w:color w:val="000000"/>
          <w:sz w:val="20"/>
        </w:rPr>
        <w:t>You may request an exception to the covenants in Sections 4.2, 4.3, or 4.4 by making a written request to the Company’s Chief Human Resources Officer, with such exceptions being considered at the sole discretion of the Company and communicated in writing to you.</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4.7</w:t>
      </w:r>
      <w:r>
        <w:rPr>
          <w:rFonts w:ascii="Times New Roman;sans-serif" w:hAnsi="Times New Roman;sans-serif"/>
          <w:b/>
          <w:i/>
          <w:color w:val="000000"/>
          <w:sz w:val="20"/>
        </w:rPr>
        <w:t>Reasonableness.</w:t>
      </w:r>
      <w:r>
        <w:rPr>
          <w:color w:val="000000"/>
        </w:rPr>
        <w:t xml:space="preserve"> </w:t>
      </w:r>
      <w:r>
        <w:rPr>
          <w:rFonts w:ascii="Times New Roman;sans-serif" w:hAnsi="Times New Roman;sans-serif"/>
          <w:b w:val="false"/>
          <w:color w:val="000000"/>
          <w:sz w:val="20"/>
        </w:rPr>
        <w:t>You agree that the restrictions set forth in 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4.8</w:t>
      </w:r>
      <w:r>
        <w:rPr>
          <w:rFonts w:ascii="Times New Roman;sans-serif" w:hAnsi="Times New Roman;sans-serif"/>
          <w:b/>
          <w:i/>
          <w:color w:val="000000"/>
          <w:sz w:val="20"/>
        </w:rPr>
        <w:t>Remedies</w:t>
      </w:r>
      <w:r>
        <w:rPr>
          <w:rFonts w:ascii="Times New Roman;sans-serif" w:hAnsi="Times New Roman;sans-serif"/>
          <w:b w:val="false"/>
          <w:color w:val="000000"/>
          <w:sz w:val="20"/>
        </w:rPr>
        <w:t>. If you violate any provision in Section 4.2, 4.3, 4.4 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pStyle w:val="TextBody"/>
        <w:bidi w:val="0"/>
        <w:spacing w:before="0" w:after="0"/>
        <w:jc w:val="left"/>
        <w:rPr/>
      </w:pPr>
      <w:r>
        <w:rPr/>
      </w:r>
    </w:p>
    <w:p>
      <w:pPr>
        <w:pStyle w:val="TextBody"/>
        <w:bidi w:val="0"/>
        <w:spacing w:lineRule="auto" w:line="288" w:before="0" w:after="200"/>
        <w:ind w:left="0" w:right="0" w:hanging="450"/>
        <w:jc w:val="left"/>
        <w:rPr/>
      </w:pPr>
      <w:r>
        <w:rPr>
          <w:rFonts w:ascii="Times New Roman;sans-serif" w:hAnsi="Times New Roman;sans-serif"/>
          <w:b/>
          <w:color w:val="000000"/>
          <w:sz w:val="20"/>
        </w:rPr>
        <w:t>5.</w:t>
      </w:r>
      <w:r>
        <w:rPr>
          <w:rFonts w:ascii="Times New Roman;sans-serif" w:hAnsi="Times New Roman;sans-serif"/>
          <w:b/>
          <w:color w:val="000000"/>
          <w:sz w:val="20"/>
          <w:u w:val="single"/>
        </w:rPr>
        <w:t>Compliance with Laws; No Stockholder Rights Prior to Issuance</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pStyle w:val="TextBody"/>
        <w:bidi w:val="0"/>
        <w:spacing w:lineRule="auto" w:line="288" w:before="0" w:after="200"/>
        <w:ind w:left="0" w:right="0" w:hanging="446"/>
        <w:jc w:val="left"/>
        <w:rPr/>
      </w:pPr>
      <w:r>
        <w:rPr>
          <w:rFonts w:ascii="Times New Roman;sans-serif" w:hAnsi="Times New Roman;sans-serif"/>
          <w:b/>
          <w:color w:val="000000"/>
          <w:sz w:val="20"/>
        </w:rPr>
        <w:t>6.</w:t>
      </w:r>
      <w:r>
        <w:rPr>
          <w:rFonts w:ascii="Times New Roman;sans-serif" w:hAnsi="Times New Roman;sans-serif"/>
          <w:b/>
          <w:color w:val="000000"/>
          <w:sz w:val="20"/>
          <w:u w:val="single"/>
        </w:rPr>
        <w:t>Adjustments; Change in Control</w:t>
      </w:r>
      <w:r>
        <w:rPr>
          <w:rFonts w:ascii="Times New Roman;sans-serif" w:hAnsi="Times New Roman;sans-serif"/>
          <w:b w:val="false"/>
          <w:color w:val="000000"/>
          <w:sz w:val="20"/>
        </w:rPr>
        <w:t>.</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6.1.</w:t>
      </w:r>
      <w:r>
        <w:rPr>
          <w:rFonts w:ascii="Times New Roman;sans-serif" w:hAnsi="Times New Roman;sans-serif"/>
          <w:b/>
          <w:i/>
          <w:color w:val="000000"/>
          <w:sz w:val="20"/>
        </w:rPr>
        <w:t>Adjustments</w:t>
      </w:r>
      <w:r>
        <w:rPr>
          <w:rFonts w:ascii="Times New Roman;sans-serif" w:hAnsi="Times New Roman;sans-serif"/>
          <w:b w:val="false"/>
          <w:color w:val="000000"/>
          <w:sz w:val="20"/>
        </w:rPr>
        <w:t>. The RSRs, Dividend Equivalents, and the shares subject to the award are subject to adjustment upon the occurrence of events such as stock splits, stock dividends and other changes in capitalization in accordance with Section 6(a) of the Plan.</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6.2.</w:t>
      </w:r>
      <w:r>
        <w:rPr>
          <w:rFonts w:ascii="Times New Roman;sans-serif" w:hAnsi="Times New Roman;sans-serif"/>
          <w:b/>
          <w:i/>
          <w:color w:val="000000"/>
          <w:sz w:val="20"/>
        </w:rPr>
        <w:t>Possible Acceleration on Change in Control</w:t>
      </w:r>
      <w:r>
        <w:rPr>
          <w:rFonts w:ascii="Times New Roman;sans-serif" w:hAnsi="Times New Roman;sans-serif"/>
          <w:b w:val="false"/>
          <w:color w:val="000000"/>
          <w:sz w:val="20"/>
        </w:rPr>
        <w:t>. 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 </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any RSRs (and related Dividend Equivalents) that vest under this Section will be made at the time provided for in Section 2.7 as though the termination of the Grantee’s employment was due to a Normal Retirement.</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6.3.</w:t>
      </w:r>
      <w:r>
        <w:rPr>
          <w:rFonts w:ascii="Times New Roman;sans-serif" w:hAnsi="Times New Roman;sans-serif"/>
          <w:b/>
          <w:i/>
          <w:color w:val="000000"/>
          <w:sz w:val="20"/>
        </w:rPr>
        <w:t>Automatic Acceleration; Early Termination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If the Company undergoes a Change in Control triggered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pStyle w:val="TextBody"/>
        <w:bidi w:val="0"/>
        <w:spacing w:lineRule="auto" w:line="288" w:before="0" w:after="200"/>
        <w:ind w:left="0" w:right="0" w:hanging="446"/>
        <w:jc w:val="left"/>
        <w:rPr/>
      </w:pPr>
      <w:r>
        <w:rPr>
          <w:rFonts w:ascii="Times New Roman;sans-serif" w:hAnsi="Times New Roman;sans-serif"/>
          <w:b/>
          <w:color w:val="000000"/>
          <w:sz w:val="20"/>
        </w:rPr>
        <w:t>7.</w:t>
      </w:r>
      <w:r>
        <w:rPr>
          <w:rFonts w:ascii="Times New Roman;sans-serif" w:hAnsi="Times New Roman;sans-serif"/>
          <w:b/>
          <w:color w:val="000000"/>
          <w:sz w:val="20"/>
          <w:u w:val="single"/>
        </w:rPr>
        <w:t>Tax Matters</w:t>
      </w:r>
      <w:r>
        <w:rPr>
          <w:rFonts w:ascii="Times New Roman;sans-serif" w:hAnsi="Times New Roman;sans-serif"/>
          <w:b w:val="false"/>
          <w:color w:val="000000"/>
          <w:sz w:val="20"/>
        </w:rPr>
        <w:t>.</w:t>
      </w:r>
    </w:p>
    <w:p>
      <w:pPr>
        <w:pStyle w:val="TextBody"/>
        <w:bidi w:val="0"/>
        <w:spacing w:lineRule="auto" w:line="288" w:before="0" w:after="200"/>
        <w:ind w:left="0" w:right="0" w:firstLine="360"/>
        <w:jc w:val="left"/>
        <w:rPr/>
      </w:pPr>
      <w:r>
        <w:rPr>
          <w:rFonts w:ascii="Times New Roman;sans-serif" w:hAnsi="Times New Roman;sans-serif"/>
          <w:b/>
          <w:color w:val="000000"/>
          <w:sz w:val="20"/>
        </w:rPr>
        <w:t>7.1.</w:t>
      </w:r>
      <w:r>
        <w:rPr>
          <w:rFonts w:ascii="Times New Roman;sans-serif" w:hAnsi="Times New Roman;sans-serif"/>
          <w:b/>
          <w:i/>
          <w:color w:val="000000"/>
          <w:sz w:val="20"/>
        </w:rPr>
        <w:t>Tax Withholding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Company or the subsidiary which 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Value) by the amount necessary to satisfy such statutory minimum withholding obligations).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7.2.</w:t>
      </w:r>
      <w:r>
        <w:rPr>
          <w:rFonts w:ascii="Times New Roman;sans-serif" w:hAnsi="Times New Roman;sans-serif"/>
          <w:b/>
          <w:i/>
          <w:color w:val="000000"/>
          <w:sz w:val="20"/>
        </w:rPr>
        <w:t>Transfer Taxes</w:t>
      </w:r>
      <w:r>
        <w:rPr>
          <w:rFonts w:ascii="Times New Roman;sans-serif" w:hAnsi="Times New Roman;sans-serif"/>
          <w:b w:val="false"/>
          <w:color w:val="000000"/>
          <w:sz w:val="20"/>
        </w:rPr>
        <w:t>. The Company will pay all federal and state transfer taxes, if any, and other fees and expenses in connection with the issuance of shares in connection with the vesting of the RSRs.</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7.3.</w:t>
      </w:r>
      <w:r>
        <w:rPr>
          <w:rFonts w:ascii="Times New Roman;sans-serif" w:hAnsi="Times New Roman;sans-serif"/>
          <w:b/>
          <w:i/>
          <w:color w:val="000000"/>
          <w:sz w:val="20"/>
        </w:rPr>
        <w:t>Compliance with Code</w:t>
      </w:r>
      <w:r>
        <w:rPr>
          <w:rFonts w:ascii="Times New Roman;sans-serif" w:hAnsi="Times New Roman;sans-serif"/>
          <w:b w:val="false"/>
          <w:color w:val="000000"/>
          <w:sz w:val="20"/>
        </w:rPr>
        <w:t>. The Committee shall administer and construe the award in a manner designed to comply with the Code and to avoid adverse tax consequences under Code Section 409A.</w:t>
      </w: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7.4.</w:t>
      </w:r>
      <w:r>
        <w:rPr>
          <w:rFonts w:ascii="Times New Roman;sans-serif" w:hAnsi="Times New Roman;sans-serif"/>
          <w:b/>
          <w:i/>
          <w:color w:val="000000"/>
          <w:sz w:val="20"/>
        </w:rPr>
        <w:t>Unfunded Arrangement</w:t>
      </w:r>
      <w:r>
        <w:rPr>
          <w:rFonts w:ascii="Times New Roman;sans-serif" w:hAnsi="Times New Roman;sans-serif"/>
          <w:b w:val="false"/>
          <w:color w:val="000000"/>
          <w:sz w:val="20"/>
        </w:rPr>
        <w:t>. The right of the Grantee to 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pStyle w:val="TextBody"/>
        <w:bidi w:val="0"/>
        <w:spacing w:lineRule="auto" w:line="288" w:before="0" w:after="200"/>
        <w:ind w:left="0" w:right="0" w:firstLine="360"/>
        <w:jc w:val="left"/>
        <w:rPr/>
      </w:pPr>
      <w:r>
        <w:rPr>
          <w:rFonts w:ascii="Times New Roman;sans-serif" w:hAnsi="Times New Roman;sans-serif"/>
          <w:b/>
          <w:i/>
          <w:color w:val="000000"/>
          <w:sz w:val="20"/>
        </w:rPr>
        <w:t>1.5</w:t>
      </w:r>
      <w:r>
        <w:rPr>
          <w:rFonts w:ascii="Times New Roman;sans-serif" w:hAnsi="Times New Roman;sans-serif"/>
          <w:b/>
          <w:i/>
          <w:color w:val="000000"/>
          <w:sz w:val="20"/>
        </w:rPr>
        <w:t>Code Section 280G</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Notwithstanding any other provision of 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 </w:t>
      </w:r>
    </w:p>
    <w:p>
      <w:pPr>
        <w:pStyle w:val="TextBody"/>
        <w:bidi w:val="0"/>
        <w:spacing w:lineRule="auto" w:line="288" w:before="0" w:after="200"/>
        <w:jc w:val="left"/>
        <w:rPr/>
      </w:pPr>
      <w:r>
        <w:rPr>
          <w:rFonts w:ascii="Times New Roman;sans-serif" w:hAnsi="Times New Roman;sans-serif"/>
          <w:b/>
          <w:color w:val="000000"/>
          <w:sz w:val="20"/>
        </w:rPr>
        <w:t>8.</w:t>
      </w:r>
      <w:r>
        <w:rPr>
          <w:rFonts w:ascii="Times New Roman;sans-serif" w:hAnsi="Times New Roman;sans-serif"/>
          <w:b/>
          <w:color w:val="000000"/>
          <w:sz w:val="20"/>
          <w:u w:val="single"/>
        </w:rPr>
        <w:t>Choice of Law; Venue; Arbitration</w:t>
      </w:r>
      <w:r>
        <w:rPr>
          <w:rFonts w:ascii="Times New Roman;sans-serif" w:hAnsi="Times New Roman;sans-serif"/>
          <w:b/>
          <w:color w:val="000000"/>
          <w:sz w:val="20"/>
        </w:rPr>
        <w:t xml:space="preserve">.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 accordance with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pStyle w:val="TextBody"/>
        <w:bidi w:val="0"/>
        <w:spacing w:lineRule="auto" w:line="288" w:before="0" w:after="200"/>
        <w:ind w:left="0" w:right="0" w:hanging="360"/>
        <w:jc w:val="left"/>
        <w:rPr/>
      </w:pPr>
      <w:r>
        <w:rPr>
          <w:rFonts w:ascii="Times New Roman;sans-serif" w:hAnsi="Times New Roman;sans-serif"/>
          <w:b/>
          <w:color w:val="000000"/>
          <w:sz w:val="20"/>
        </w:rPr>
        <w:t>9.</w:t>
      </w:r>
      <w:r>
        <w:rPr>
          <w:rFonts w:ascii="Times New Roman;sans-serif" w:hAnsi="Times New Roman;sans-serif"/>
          <w:b/>
          <w:color w:val="000000"/>
          <w:sz w:val="20"/>
          <w:u w:val="single"/>
        </w:rPr>
        <w:t>Committee Authority</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pStyle w:val="TextBody"/>
        <w:bidi w:val="0"/>
        <w:spacing w:lineRule="auto" w:line="288" w:before="0" w:after="200"/>
        <w:ind w:left="0" w:right="0" w:hanging="446"/>
        <w:jc w:val="left"/>
        <w:rPr/>
      </w:pPr>
      <w:r>
        <w:rPr>
          <w:rFonts w:ascii="Times New Roman;sans-serif" w:hAnsi="Times New Roman;sans-serif"/>
          <w:b/>
          <w:color w:val="000000"/>
          <w:sz w:val="20"/>
        </w:rPr>
        <w:t>10.</w:t>
      </w:r>
      <w:r>
        <w:rPr>
          <w:rFonts w:ascii="Times New Roman;sans-serif" w:hAnsi="Times New Roman;sans-serif"/>
          <w:b/>
          <w:color w:val="000000"/>
          <w:sz w:val="20"/>
          <w:u w:val="single"/>
        </w:rPr>
        <w:t>Plan; Amendment</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00"/>
        <w:ind w:left="0" w:right="0" w:hanging="360"/>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Required Holding Period</w:t>
      </w:r>
      <w:r>
        <w:rPr>
          <w:rFonts w:ascii="Times New Roman;sans-serif" w:hAnsi="Times New Roman;sans-serif"/>
          <w:b/>
          <w:color w:val="000000"/>
          <w:sz w:val="20"/>
        </w:rPr>
        <w:t>.</w:t>
      </w:r>
    </w:p>
    <w:p>
      <w:pPr>
        <w:pStyle w:val="TextBody"/>
        <w:bidi w:val="0"/>
        <w:spacing w:lineRule="auto" w:line="288" w:before="0" w:after="200"/>
        <w:jc w:val="left"/>
        <w:rPr/>
      </w:pPr>
      <w:r>
        <w:rPr>
          <w:color w:val="000000"/>
        </w:rPr>
        <w:t>    </w:t>
      </w:r>
      <w:r>
        <w:rPr>
          <w:rFonts w:ascii="Times New Roman;sans-serif" w:hAnsi="Times New Roman;sans-serif"/>
          <w:b w:val="false"/>
          <w:color w:val="000000"/>
          <w:sz w:val="20"/>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pStyle w:val="TextBody"/>
        <w:bidi w:val="0"/>
        <w:spacing w:lineRule="auto" w:line="288" w:before="0" w:after="200"/>
        <w:ind w:left="0" w:right="0" w:hanging="446"/>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Whenever used in this Agreement, the following terms shall have the meanings set forth below and, when the meaning is intended, the initial letter of the word is capitalized:</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the occurrence of either or both of the following:</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The Grantee’s conviction for committing an act of fraud, embezzlement, theft, or other act constituting a felony (other than traffic related offenses, as a result of vicarious liability, or as a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result of good faith actions as an officer of the Company); or</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is used as defined in the Plan.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United States Internal Revenue Code of 1986, as amended.</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the Company’s Compensation and Human Capital Committee or any successor committee appointed by the Board to administer the Plan.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Company’s common stock.</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Disability</w:t>
      </w:r>
      <w:r>
        <w:rPr>
          <w:color w:val="000000"/>
        </w:rPr>
        <w:t xml:space="preserve">” </w:t>
      </w:r>
      <w:r>
        <w:rPr>
          <w:rFonts w:ascii="Times New Roman;sans-serif" w:hAnsi="Times New Roman;sans-serif"/>
          <w:b w:val="false"/>
          <w:color w:val="000000"/>
          <w:sz w:val="20"/>
        </w:rPr>
        <w:t>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Early Retirement</w:t>
      </w:r>
      <w:r>
        <w:rPr>
          <w:color w:val="000000"/>
        </w:rPr>
        <w:t xml:space="preserve">” </w:t>
      </w:r>
      <w:r>
        <w:rPr>
          <w:rFonts w:ascii="Times New Roman;sans-serif" w:hAnsi="Times New Roman;sans-serif"/>
          <w:b w:val="false"/>
          <w:color w:val="000000"/>
          <w:sz w:val="20"/>
        </w:rPr>
        <w:t>means that the Grantee’s employment terminates in any of the following circumstances, and other than a termination of employment that constitutes a Normal Retirement or occurs in connection with a termination by the Company or a subsidiary for Cause:</w:t>
      </w:r>
    </w:p>
    <w:p>
      <w:pPr>
        <w:pStyle w:val="TextBody"/>
        <w:bidi w:val="0"/>
        <w:spacing w:lineRule="auto" w:line="288" w:before="0" w:after="200"/>
        <w:ind w:left="0" w:right="0" w:hanging="36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a termination of employment after the Grantee has attained age 55 with at least 10 years of service.</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a termination of employment by the Company or a subsidiary as part of a reduction in force and, at the time of such termination, the Grantee has attained age 53 with at least 10 years of service.</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    a termination of employment by the Company or a subsidiary as part of a reduction in force and, at the time of such termination, the sum of the Grantee’s age and years of service is at least 75.</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is used as defined in the Plan; provided, however, the Committee in determining such Fair Market Value for purposes of the award may utilize such other exchange, market, or listing as it deems appropriate.</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Good Reason</w:t>
      </w:r>
      <w:r>
        <w:rPr>
          <w:color w:val="000000"/>
        </w:rPr>
        <w:t xml:space="preserve">” </w:t>
      </w:r>
      <w:r>
        <w:rPr>
          <w:rFonts w:ascii="Times New Roman;sans-serif" w:hAnsi="Times New Roman;sans-serif"/>
          <w:b w:val="false"/>
          <w:color w:val="000000"/>
          <w:sz w:val="20"/>
        </w:rPr>
        <w:t>means, without the Grantee’s express written consent, the occurrence of any one or more of the following:</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 </w:t>
      </w:r>
    </w:p>
    <w:p>
      <w:pPr>
        <w:pStyle w:val="TextBody"/>
        <w:bidi w:val="0"/>
        <w:spacing w:lineRule="auto" w:line="288" w:before="0" w:after="200"/>
        <w:ind w:left="0" w:right="0" w:hanging="360"/>
        <w:jc w:val="left"/>
        <w:rPr>
          <w:color w:val="000000"/>
        </w:rPr>
      </w:pPr>
      <w:r>
        <w:rPr>
          <w:color w:val="000000"/>
        </w:rPr>
        <w:t>    </w:t>
      </w:r>
      <w:r>
        <w:rPr>
          <w:rFonts w:ascii="Times New Roman;sans-serif" w:hAnsi="Times New Roman;sans-serif"/>
          <w:b w:val="false"/>
          <w:color w:val="000000"/>
          <w:sz w:val="20"/>
        </w:rPr>
        <w:t xml:space="preserve">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Grantee immediately prior to the commencement of the Protected Period do not have the title of vice-president. </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A material reduction by the Company in the Grantee’s annualized rate of base salary as in effect at the start of the Protected Period, or as the same shall be increased from time to time. </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 </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 </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    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 </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Grantee’s right to terminate employment for Good Reason shall not be affected by the Grantee’s incapacity due to physical or mental illness. The Grantee’s continued employment shall not constitute a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consent to, or a waiver of rights with respect to, any circumstances constituting Good Reason herein.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Governmental Service Retirement</w:t>
      </w:r>
      <w:r>
        <w:rPr>
          <w:color w:val="000000"/>
        </w:rPr>
        <w:t xml:space="preserve">” </w:t>
      </w:r>
      <w:r>
        <w:rPr>
          <w:rFonts w:ascii="Times New Roman;sans-serif" w:hAnsi="Times New Roman;sans-serif"/>
          <w:b w:val="false"/>
          <w:color w:val="000000"/>
          <w:sz w:val="20"/>
        </w:rPr>
        <w:t>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pStyle w:val="TextBody"/>
        <w:bidi w:val="0"/>
        <w:spacing w:lineRule="auto" w:line="288" w:before="0" w:after="240"/>
        <w:ind w:left="0" w:right="0" w:firstLine="450"/>
        <w:jc w:val="left"/>
        <w:rPr/>
      </w:pPr>
      <w:r>
        <w:rPr>
          <w:color w:val="000000"/>
        </w:rPr>
        <w:t>“</w:t>
      </w:r>
      <w:r>
        <w:rPr>
          <w:rFonts w:ascii="Times New Roman;sans-serif" w:hAnsi="Times New Roman;sans-serif"/>
          <w:b/>
          <w:color w:val="000000"/>
          <w:sz w:val="20"/>
        </w:rPr>
        <w:t>Key Employee</w:t>
      </w:r>
      <w:r>
        <w:rPr>
          <w:color w:val="000000"/>
        </w:rPr>
        <w:t xml:space="preserve">” </w:t>
      </w:r>
      <w:r>
        <w:rPr>
          <w:rFonts w:ascii="Times New Roman;sans-serif" w:hAnsi="Times New Roman;sans-serif"/>
          <w:b w:val="false"/>
          <w:color w:val="000000"/>
          <w:sz w:val="20"/>
        </w:rPr>
        <w:t>means an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Normal Retirement</w:t>
      </w:r>
      <w:r>
        <w:rPr>
          <w:color w:val="000000"/>
        </w:rPr>
        <w:t xml:space="preserve">” </w:t>
      </w:r>
      <w:r>
        <w:rPr>
          <w:rFonts w:ascii="Times New Roman;sans-serif" w:hAnsi="Times New Roman;sans-serif"/>
          <w:b w:val="false"/>
          <w:color w:val="000000"/>
          <w:sz w:val="20"/>
        </w:rPr>
        <w:t>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Parent</w:t>
      </w:r>
      <w:r>
        <w:rPr>
          <w:color w:val="000000"/>
        </w:rPr>
        <w:t xml:space="preserve">” </w:t>
      </w:r>
      <w:r>
        <w:rPr>
          <w:rFonts w:ascii="Times New Roman;sans-serif" w:hAnsi="Times New Roman;sans-serif"/>
          <w:b w:val="false"/>
          <w:color w:val="000000"/>
          <w:sz w:val="20"/>
        </w:rPr>
        <w:t>is used as defined in the Plan.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the Northrop Grumman 2024 Long-Term Incentive Stock Plan, as it may be amended form time to time.</w:t>
      </w:r>
    </w:p>
    <w:p>
      <w:pPr>
        <w:pStyle w:val="TextBody"/>
        <w:bidi w:val="0"/>
        <w:spacing w:lineRule="auto" w:line="288" w:before="0" w:after="200"/>
        <w:ind w:left="0" w:right="0" w:firstLine="450"/>
        <w:jc w:val="left"/>
        <w:rPr/>
      </w:pPr>
      <w:r>
        <w:rPr>
          <w:rFonts w:ascii="Times New Roman;sans-serif" w:hAnsi="Times New Roman;sans-serif"/>
          <w:b w:val="false"/>
          <w:color w:val="000000"/>
          <w:sz w:val="20"/>
        </w:rPr>
        <w:t>The “</w:t>
      </w:r>
      <w:r>
        <w:rPr>
          <w:rFonts w:ascii="Times New Roman;sans-serif" w:hAnsi="Times New Roman;sans-serif"/>
          <w:b/>
          <w:color w:val="000000"/>
          <w:sz w:val="20"/>
        </w:rPr>
        <w:t>Protected Period</w:t>
      </w:r>
      <w:r>
        <w:rPr>
          <w:color w:val="000000"/>
        </w:rPr>
        <w:t xml:space="preserve">” </w:t>
      </w:r>
      <w:r>
        <w:rPr>
          <w:rFonts w:ascii="Times New Roman;sans-serif" w:hAnsi="Times New Roman;sans-serif"/>
          <w:b w:val="false"/>
          <w:color w:val="000000"/>
          <w:sz w:val="20"/>
        </w:rPr>
        <w:t>corresponding to a Change in Control of the Company shall be a period of time determined in accordance with the following:</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of the Change in Control; provided that in no case will the Protected Period commence earlier than the date that is six (6) months prior to the Change in Control.</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    In the case of any Change in Control not described in clause (i) or (ii) above, the Protected Period shall commence on the date that is six (6) months prior to the Change in Control and shall continue through and including the date of the Change in Control.</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Separation from Service</w:t>
      </w:r>
      <w:r>
        <w:rPr>
          <w:color w:val="000000"/>
        </w:rPr>
        <w:t xml:space="preserve">” </w:t>
      </w:r>
      <w:r>
        <w:rPr>
          <w:rFonts w:ascii="Times New Roman;sans-serif" w:hAnsi="Times New Roman;sans-serif"/>
          <w:b w:val="false"/>
          <w:color w:val="000000"/>
          <w:sz w:val="20"/>
        </w:rPr>
        <w:t>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Successor</w:t>
      </w:r>
      <w:r>
        <w:rPr>
          <w:color w:val="000000"/>
        </w:rPr>
        <w:t xml:space="preserve">” </w:t>
      </w:r>
      <w:r>
        <w:rPr>
          <w:rFonts w:ascii="Times New Roman;sans-serif" w:hAnsi="Times New Roman;sans-serif"/>
          <w:b w:val="false"/>
          <w:color w:val="000000"/>
          <w:sz w:val="20"/>
        </w:rPr>
        <w:t>means the person acquiring a Grantee’s rights to a grant under the Plan by will or by the laws of descent or distribution.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10.2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36"/>
        </w:rPr>
        <w:t>NORTHROP GRUMMAN CORPORATION</w:t>
        <w:br/>
      </w:r>
      <w:r>
        <w:rPr>
          <w:rFonts w:ascii="Times New Roman;sans-serif" w:hAnsi="Times New Roman;sans-serif"/>
          <w:b/>
          <w:color w:val="000000"/>
          <w:sz w:val="24"/>
        </w:rPr>
        <w:br/>
        <w:t>2025 RESTRICTED PERFORMANCE STOCK RIGHTS GRANT AGREEMENT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2025 Restricted Performance Stock Rights Grant Agreement (“Agreement”) applies to certain “Restricted Performance Stock Rights” (“RPSRs”) granted by Northrop Grumman Corporation (the “Company”) in 2025 under its 2024 Long-Term Incentive Stock Plan. If you were granted an RPSR award by the Company in 2025,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2025 RPSR award under the Plan, and you are subject to this Agreement upon accepting your grant. If you were granted an RPSR award, you are referred to as the “Grantee” with respect to your award. Capitalized terms are generally defined in Section 12 below if not otherwise defined herein.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RPSR represents a right to receive one share of the Company’s Common Stock, or cash of equivalent value as provided herein subject to vesting as provided herein. The performance period applicable to your award is January 1, 2025 to December 31, 2027 (the “Performance Period”). The 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pStyle w:val="TextBody"/>
        <w:bidi w:val="0"/>
        <w:spacing w:lineRule="auto" w:line="288" w:before="0" w:after="200"/>
        <w:ind w:left="0" w:right="0" w:hanging="360"/>
        <w:jc w:val="left"/>
        <w:rPr/>
      </w:pPr>
      <w:r>
        <w:rPr>
          <w:rFonts w:ascii="Times New Roman;sans-serif" w:hAnsi="Times New Roman;sans-serif"/>
          <w:b/>
          <w:color w:val="000000"/>
          <w:sz w:val="20"/>
          <w:u w:val="single"/>
        </w:rPr>
        <w:t>1.Vesting; Payment of RPSRs</w:t>
      </w:r>
      <w:r>
        <w:rPr>
          <w:rFonts w:ascii="Times New Roman;sans-serif" w:hAnsi="Times New Roman;sans-serif"/>
          <w:b w:val="false"/>
          <w:color w:val="000000"/>
          <w:sz w:val="20"/>
        </w:rPr>
        <w:t>.</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RPSRs are subject to the vesting and payment provisions established by the Committee with respect to the Performance Period. RPSRs (and any Dividend Equivalents (as defined below)) that vest based on such provisions will be paid as provided below. </w:t>
      </w:r>
    </w:p>
    <w:p>
      <w:pPr>
        <w:pStyle w:val="TextBody"/>
        <w:bidi w:val="0"/>
        <w:spacing w:lineRule="auto" w:line="288" w:before="0" w:after="200"/>
        <w:ind w:left="0" w:right="0" w:firstLine="360"/>
        <w:jc w:val="left"/>
        <w:rPr/>
      </w:pPr>
      <w:r>
        <w:rPr>
          <w:rFonts w:ascii="Times New Roman;sans-serif" w:hAnsi="Times New Roman;sans-serif"/>
          <w:b/>
          <w:color w:val="000000"/>
          <w:sz w:val="20"/>
        </w:rPr>
        <w:t>1.1.</w:t>
      </w:r>
      <w:r>
        <w:rPr>
          <w:rFonts w:ascii="Times New Roman;sans-serif" w:hAnsi="Times New Roman;sans-serif"/>
          <w:b/>
          <w:i/>
          <w:color w:val="000000"/>
          <w:sz w:val="20"/>
        </w:rPr>
        <w:t>Performance-Based Vesting of RPSRs</w:t>
      </w:r>
      <w:r>
        <w:rPr>
          <w:rFonts w:ascii="Times New Roman;sans-serif" w:hAnsi="Times New Roman;sans-serif"/>
          <w:b w:val="false"/>
          <w:color w:val="000000"/>
          <w:sz w:val="20"/>
        </w:rPr>
        <w:t>. Subject to Sections 2, 3, 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pStyle w:val="TextBody"/>
        <w:bidi w:val="0"/>
        <w:spacing w:lineRule="auto" w:line="288" w:before="0" w:after="200"/>
        <w:ind w:left="0" w:right="0" w:firstLine="360"/>
        <w:jc w:val="left"/>
        <w:rPr/>
      </w:pPr>
      <w:r>
        <w:rPr>
          <w:rFonts w:ascii="Times New Roman;sans-serif" w:hAnsi="Times New Roman;sans-serif"/>
          <w:b/>
          <w:color w:val="000000"/>
          <w:sz w:val="20"/>
        </w:rPr>
        <w:t>1.2.</w:t>
      </w:r>
      <w:r>
        <w:rPr>
          <w:rFonts w:ascii="Times New Roman;sans-serif" w:hAnsi="Times New Roman;sans-serif"/>
          <w:b/>
          <w:i/>
          <w:color w:val="000000"/>
          <w:sz w:val="20"/>
        </w:rPr>
        <w:t>Payment of RPSRs</w:t>
      </w:r>
      <w:r>
        <w:rPr>
          <w:rFonts w:ascii="Times New Roman;sans-serif" w:hAnsi="Times New Roman;sans-serif"/>
          <w:b w:val="false"/>
          <w:color w:val="000000"/>
          <w:sz w:val="20"/>
        </w:rPr>
        <w:t xml:space="preserve">. The number of RPSRs payable at the conclusion of the Performance Period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(“Vested RPSRs”) shall be determined by multiplying 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pStyle w:val="TextBody"/>
        <w:bidi w:val="0"/>
        <w:spacing w:lineRule="auto" w:line="288" w:before="0" w:after="200"/>
        <w:ind w:left="0" w:right="0" w:firstLine="360"/>
        <w:jc w:val="left"/>
        <w:rPr/>
      </w:pPr>
      <w:r>
        <w:rPr>
          <w:rFonts w:ascii="Times New Roman;sans-serif" w:hAnsi="Times New Roman;sans-serif"/>
          <w:b/>
          <w:color w:val="000000"/>
          <w:sz w:val="20"/>
        </w:rPr>
        <w:t>1.3.</w:t>
      </w:r>
      <w:r>
        <w:rPr>
          <w:rFonts w:ascii="Times New Roman;sans-serif" w:hAnsi="Times New Roman;sans-serif"/>
          <w:b/>
          <w:i/>
          <w:color w:val="000000"/>
          <w:sz w:val="20"/>
        </w:rPr>
        <w:t>Dividend Equivalents</w:t>
      </w:r>
      <w:r>
        <w:rPr>
          <w:rFonts w:ascii="Times New Roman;sans-serif" w:hAnsi="Times New Roman;sans-serif"/>
          <w:b w:val="false"/>
          <w:color w:val="000000"/>
          <w:sz w:val="20"/>
        </w:rPr>
        <w:t xml:space="preserve">. The Grantee shall be entitled to payment 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1040"/>
                <wp:effectExtent l="0" t="0" r="0" b="0"/>
                <wp:wrapNone/>
                <wp:docPr id="48" name="Frame4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pPr>
                            <w:r>
                              <w:rPr>
                                <w:rFonts w:ascii="Times New Roman;sans-serif" w:hAnsi="Times New Roman;sans-serif"/>
                                <w:b w:val="false"/>
                                <w:color w:val="000000"/>
                                <w:sz w:val="18"/>
                              </w:rPr>
                              <w:t>ELT - RPSR 2025</w:t>
                            </w:r>
                            <w:r>
                              <w:rPr>
                                <w:color w:val="000000"/>
                              </w:rPr>
                              <w:t>    </w:t>
                            </w: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pPr>
                      <w:r>
                        <w:rPr>
                          <w:rFonts w:ascii="Times New Roman;sans-serif" w:hAnsi="Times New Roman;sans-serif"/>
                          <w:b w:val="false"/>
                          <w:color w:val="000000"/>
                          <w:sz w:val="18"/>
                        </w:rPr>
                        <w:t>ELT - RPSR 2025</w:t>
                      </w:r>
                      <w:r>
                        <w:rPr>
                          <w:color w:val="000000"/>
                        </w:rPr>
                        <w:t>    </w:t>
                      </w: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RPSRs (or the RPSRs that vest and become payable pursuant to Section 2 or 6) are paid, without interest or other adjustments to reflect the time value of money. For these purposes, any Vested RPSRs or RPSRs that vest and become payable pursuant 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pStyle w:val="TextBody"/>
        <w:bidi w:val="0"/>
        <w:spacing w:lineRule="auto" w:line="288" w:before="0" w:after="20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u w:val="single"/>
        </w:rPr>
        <w:t>Early Termination of Award; Termination of Employment</w:t>
      </w:r>
      <w:r>
        <w:rPr>
          <w:rFonts w:ascii="Times New Roman;sans-serif" w:hAnsi="Times New Roman;sans-serif"/>
          <w:b w:val="false"/>
          <w:color w:val="000000"/>
          <w:sz w:val="20"/>
        </w:rPr>
        <w:t>.</w:t>
      </w:r>
    </w:p>
    <w:p>
      <w:pPr>
        <w:pStyle w:val="TextBody"/>
        <w:bidi w:val="0"/>
        <w:spacing w:lineRule="auto" w:line="288" w:before="0" w:after="200"/>
        <w:ind w:left="0" w:right="0" w:firstLine="360"/>
        <w:jc w:val="left"/>
        <w:rPr/>
      </w:pPr>
      <w:r>
        <w:rPr>
          <w:rFonts w:ascii="Times New Roman;sans-serif" w:hAnsi="Times New Roman;sans-serif"/>
          <w:b/>
          <w:color w:val="000000"/>
          <w:sz w:val="20"/>
        </w:rPr>
        <w:t>2.1</w:t>
      </w:r>
      <w:r>
        <w:rPr>
          <w:rFonts w:ascii="Times New Roman;sans-serif" w:hAnsi="Times New Roman;sans-serif"/>
          <w:b/>
          <w:i/>
          <w:color w:val="000000"/>
          <w:sz w:val="20"/>
        </w:rPr>
        <w:t>General</w:t>
      </w:r>
      <w:r>
        <w:rPr>
          <w:rFonts w:ascii="Times New Roman;sans-serif" w:hAnsi="Times New Roman;sans-serif"/>
          <w:b/>
          <w:color w:val="000000"/>
          <w:sz w:val="20"/>
        </w:rPr>
        <w:t xml:space="preserve">. </w:t>
      </w:r>
      <w:r>
        <w:rPr>
          <w:rFonts w:ascii="Times New Roman;sans-serif" w:hAnsi="Times New Roman;sans-serif"/>
          <w:b w:val="false"/>
          <w:color w:val="000000"/>
          <w:sz w:val="20"/>
        </w:rPr>
        <w:t>The RPSRs (and related Dividend Equivalents) 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pStyle w:val="TextBody"/>
        <w:bidi w:val="0"/>
        <w:spacing w:lineRule="auto" w:line="288" w:before="0" w:after="200"/>
        <w:ind w:left="0" w:right="0" w:firstLine="360"/>
        <w:jc w:val="left"/>
        <w:rPr/>
      </w:pPr>
      <w:r>
        <w:rPr>
          <w:rFonts w:ascii="Times New Roman;sans-serif" w:hAnsi="Times New Roman;sans-serif"/>
          <w:b/>
          <w:color w:val="000000"/>
          <w:sz w:val="20"/>
        </w:rPr>
        <w:t>2.2</w:t>
      </w:r>
      <w:r>
        <w:rPr>
          <w:rFonts w:ascii="Times New Roman;sans-serif" w:hAnsi="Times New Roman;sans-serif"/>
          <w:b/>
          <w:i/>
          <w:color w:val="000000"/>
          <w:sz w:val="20"/>
        </w:rPr>
        <w:t>Termination of Employment Due to Retirement, Death or Disability</w:t>
      </w:r>
      <w:r>
        <w:rPr>
          <w:rFonts w:ascii="Times New Roman;sans-serif" w:hAnsi="Times New Roman;sans-serif"/>
          <w:b w:val="false"/>
          <w:color w:val="000000"/>
          <w:sz w:val="20"/>
        </w:rPr>
        <w:t xml:space="preserve">. The number of RPSRs (and related Dividend Equivalents) subject to the award shall vest on a prorated basis as provided herein if the Grantee’s employment by the Company and its subsidiaries terminates due to the Grantee’s Early Retirement, death, or Disability </w:t>
      </w:r>
      <w:r>
        <w:rPr>
          <w:rFonts w:ascii="Times New Roman;sans-serif" w:hAnsi="Times New Roman;sans-serif"/>
          <w:b w:val="false"/>
          <w:color w:val="000000"/>
          <w:sz w:val="20"/>
          <w:u w:val="single"/>
        </w:rPr>
        <w:t>and</w:t>
      </w:r>
      <w:r>
        <w:rPr>
          <w:rFonts w:ascii="Times New Roman;sans-serif" w:hAnsi="Times New Roman;sans-serif"/>
          <w:b w:val="false"/>
          <w:color w:val="000000"/>
          <w:sz w:val="20"/>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w:t>
      </w:r>
      <w:r>
        <w:rPr>
          <w:color w:val="000000"/>
        </w:rPr>
        <w:t xml:space="preserve"> </w:t>
      </w:r>
      <w:r>
        <w:rPr>
          <w:rFonts w:ascii="Times New Roman;sans-serif" w:hAnsi="Times New Roman;sans-serif"/>
          <w:b w:val="false"/>
          <w:color w:val="000000"/>
          <w:sz w:val="20"/>
        </w:rPr>
        <w:t>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 for the full Performance Period.</w:t>
      </w:r>
      <w:r>
        <w:rPr>
          <w:color w:val="000000"/>
        </w:rPr>
        <w:t xml:space="preserve"> </w:t>
      </w:r>
      <w:r>
        <w:rPr>
          <w:rFonts w:ascii="Times New Roman;sans-serif" w:hAnsi="Times New Roman;sans-serif"/>
          <w:b w:val="false"/>
          <w:color w:val="000000"/>
          <w:sz w:val="20"/>
        </w:rPr>
        <w:t>Any RPSRs (and related Dividend 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pStyle w:val="TextBody"/>
        <w:bidi w:val="0"/>
        <w:spacing w:lineRule="auto" w:line="288" w:before="0" w:after="240"/>
        <w:jc w:val="left"/>
        <w:rPr/>
      </w:pPr>
      <w:r>
        <w:rPr>
          <w:color w:val="000000"/>
        </w:rPr>
        <w:t>    </w:t>
      </w:r>
      <w:r>
        <w:rPr>
          <w:rFonts w:ascii="Times New Roman;sans-serif" w:hAnsi="Times New Roman;sans-serif"/>
          <w:b w:val="false"/>
          <w:i/>
          <w:color w:val="000000"/>
          <w:sz w:val="20"/>
        </w:rPr>
        <w:t>Death or Disability</w:t>
      </w:r>
      <w:r>
        <w:rPr>
          <w:rFonts w:ascii="Times New Roman;sans-serif" w:hAnsi="Times New Roman;sans-serif"/>
          <w:b w:val="false"/>
          <w:color w:val="000000"/>
          <w:sz w:val="20"/>
        </w:rPr>
        <w:t xml:space="preserve">. In the case of death or Disability (a) the Earnout Percentage of the Grantee’s Prorated RPSRs (and related Dividend Equivalents) will be deemed to be 100% (target), regardless of actual performance, and (b) payment of the Prorated RPSRs (and related Dividend Equivalents) that vest pursuant to this Section 2.2 will be made within 60 days of the Grantee’s death or Disability, but in no event later than March 15 of the year following the date of the death or Disability. </w:t>
      </w:r>
    </w:p>
    <w:p>
      <w:pPr>
        <w:pStyle w:val="TextBody"/>
        <w:bidi w:val="0"/>
        <w:spacing w:lineRule="auto" w:line="288" w:before="0" w:after="240"/>
        <w:jc w:val="left"/>
        <w:rPr/>
      </w:pPr>
      <w:r>
        <w:rPr>
          <w:color w:val="000000"/>
        </w:rPr>
        <w:t>    </w:t>
      </w:r>
      <w:r>
        <w:rPr>
          <w:rFonts w:ascii="Times New Roman;sans-serif" w:hAnsi="Times New Roman;sans-serif"/>
          <w:b w:val="false"/>
          <w:i/>
          <w:color w:val="000000"/>
          <w:sz w:val="20"/>
        </w:rPr>
        <w:t>Retirement in General</w:t>
      </w:r>
      <w:r>
        <w:rPr>
          <w:rFonts w:ascii="Times New Roman;sans-serif" w:hAnsi="Times New Roman;sans-serif"/>
          <w:b w:val="false"/>
          <w:color w:val="000000"/>
          <w:sz w:val="20"/>
        </w:rPr>
        <w:t xml:space="preserve">. Subject to the following provisions of this Section 2.2, in the case of Retirement, the Earnout Percentage will be used to calculate the Grantee’s Vested RPSRs, and payment of the Vested RPSRs (and related Dividend Equivalents) will be made in accordance with Section 1.2 above. </w: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0"/>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pStyle w:val="TextBody"/>
        <w:bidi w:val="0"/>
        <w:spacing w:lineRule="auto" w:line="288" w:before="0" w:after="240"/>
        <w:jc w:val="left"/>
        <w:rPr/>
      </w:pPr>
      <w:r>
        <w:rPr>
          <w:color w:val="000000"/>
        </w:rPr>
        <w:t>    </w:t>
      </w:r>
      <w:r>
        <w:rPr>
          <w:rFonts w:ascii="Times New Roman;sans-serif" w:hAnsi="Times New Roman;sans-serif"/>
          <w:b w:val="false"/>
          <w:i/>
          <w:color w:val="000000"/>
          <w:sz w:val="20"/>
        </w:rPr>
        <w:t>Retirement Due to Government Service.</w:t>
      </w:r>
      <w:r>
        <w:rPr>
          <w:color w:val="000000"/>
        </w:rPr>
        <w:t xml:space="preserve"> </w:t>
      </w:r>
      <w:r>
        <w:rPr>
          <w:rFonts w:ascii="Times New Roman;sans-serif" w:hAnsi="Times New Roman;sans-serif"/>
          <w:b w:val="false"/>
          <w:color w:val="000000"/>
          <w:sz w:val="20"/>
        </w:rPr>
        <w:t xml:space="preserve">In the case of a Governmental 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than one year before the Grantee’s Retirement), (b) the Earnout Percentage of the Grantee’s Prorated RPSRs (and related Dividend Equivalents) will be determined based on actual performance for that short Performance Period, and (c) payment of the Prorated RPSRs that become Vested RPSRs (and Dividend Equivalents thereon) will be made within 20 days after Retirement. </w:t>
      </w:r>
    </w:p>
    <w:p>
      <w:pPr>
        <w:pStyle w:val="TextBody"/>
        <w:bidi w:val="0"/>
        <w:spacing w:lineRule="auto" w:line="288" w:before="0" w:after="200"/>
        <w:ind w:left="0" w:right="0" w:firstLine="450"/>
        <w:jc w:val="left"/>
        <w:rPr/>
      </w:pPr>
      <w:r>
        <w:rPr>
          <w:rFonts w:ascii="Times New Roman;sans-serif" w:hAnsi="Times New Roman;sans-serif"/>
          <w:b/>
          <w:color w:val="000000"/>
          <w:sz w:val="20"/>
        </w:rPr>
        <w:t>2.3</w:t>
      </w:r>
      <w:r>
        <w:rPr>
          <w:rFonts w:ascii="Times New Roman;sans-serif" w:hAnsi="Times New Roman;sans-serif"/>
          <w:b/>
          <w:i/>
          <w:color w:val="000000"/>
          <w:sz w:val="20"/>
        </w:rPr>
        <w:t>Other Terminations of Employment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Subject to Section 6.2, 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pStyle w:val="TextBody"/>
        <w:bidi w:val="0"/>
        <w:spacing w:lineRule="auto" w:line="288" w:before="0" w:after="200"/>
        <w:ind w:left="0" w:right="0" w:firstLine="450"/>
        <w:jc w:val="left"/>
        <w:rPr/>
      </w:pPr>
      <w:r>
        <w:rPr>
          <w:rFonts w:ascii="Times New Roman;sans-serif" w:hAnsi="Times New Roman;sans-serif"/>
          <w:b/>
          <w:color w:val="000000"/>
          <w:sz w:val="20"/>
        </w:rPr>
        <w:t>2.4</w:t>
      </w:r>
      <w:r>
        <w:rPr>
          <w:rFonts w:ascii="Times New Roman;sans-serif" w:hAnsi="Times New Roman;sans-serif"/>
          <w:b/>
          <w:i/>
          <w:color w:val="000000"/>
          <w:sz w:val="20"/>
        </w:rPr>
        <w:t>Leave of Absence</w:t>
      </w:r>
      <w:r>
        <w:rPr>
          <w:rFonts w:ascii="Times New Roman;sans-serif" w:hAnsi="Times New Roman;sans-serif"/>
          <w:b w:val="false"/>
          <w:color w:val="000000"/>
          <w:sz w:val="20"/>
        </w:rPr>
        <w:t>. Unless the Committee otherwise provides (at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pStyle w:val="TextBody"/>
        <w:bidi w:val="0"/>
        <w:spacing w:lineRule="auto" w:line="288" w:before="0" w:after="200"/>
        <w:ind w:left="0" w:right="0" w:firstLine="450"/>
        <w:jc w:val="left"/>
        <w:rPr/>
      </w:pPr>
      <w:r>
        <w:rPr>
          <w:rFonts w:ascii="Times New Roman;sans-serif" w:hAnsi="Times New Roman;sans-serif"/>
          <w:b/>
          <w:color w:val="000000"/>
          <w:sz w:val="20"/>
        </w:rPr>
        <w:t>2.5</w:t>
      </w:r>
      <w:r>
        <w:rPr>
          <w:rFonts w:ascii="Times New Roman;sans-serif" w:hAnsi="Times New Roman;sans-serif"/>
          <w:b/>
          <w:i/>
          <w:color w:val="000000"/>
          <w:sz w:val="20"/>
        </w:rPr>
        <w:t>Salary Continuation</w:t>
      </w:r>
      <w:r>
        <w:rPr>
          <w:rFonts w:ascii="Times New Roman;sans-serif" w:hAnsi="Times New Roman;sans-serif"/>
          <w:b w:val="false"/>
          <w:color w:val="000000"/>
          <w:sz w:val="20"/>
        </w:rPr>
        <w:t>. Subject to Section 2.4 above, the term “employment”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pStyle w:val="TextBody"/>
        <w:bidi w:val="0"/>
        <w:spacing w:lineRule="auto" w:line="288" w:before="0" w:after="200"/>
        <w:ind w:left="0" w:right="0" w:firstLine="450"/>
        <w:jc w:val="left"/>
        <w:rPr/>
      </w:pPr>
      <w:r>
        <w:rPr>
          <w:rFonts w:ascii="Times New Roman;sans-serif" w:hAnsi="Times New Roman;sans-serif"/>
          <w:b/>
          <w:color w:val="000000"/>
          <w:sz w:val="20"/>
        </w:rPr>
        <w:t>2.6</w:t>
      </w:r>
      <w:r>
        <w:rPr>
          <w:rFonts w:ascii="Times New Roman;sans-serif" w:hAnsi="Times New Roman;sans-serif"/>
          <w:b/>
          <w:i/>
          <w:color w:val="000000"/>
          <w:sz w:val="20"/>
        </w:rPr>
        <w:t>Sale or Spinoff of Subsidiary or Business Unit</w:t>
      </w:r>
      <w:r>
        <w:rPr>
          <w:rFonts w:ascii="Times New Roman;sans-serif" w:hAnsi="Times New Roman;sans-serif"/>
          <w:b w:val="false"/>
          <w:color w:val="000000"/>
          <w:sz w:val="20"/>
        </w:rPr>
        <w:t xml:space="preserve">. For purposes 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entity or business (or its successor or a parent company) does not assume the award in connection with such transaction. In the event of such a termination of employment, the termination shall be deemed to be a Retirement treated as provided for in Section 2.2 (subject to Section 6).</w:t>
      </w:r>
    </w:p>
    <w:p>
      <w:pPr>
        <w:pStyle w:val="TextBody"/>
        <w:bidi w:val="0"/>
        <w:spacing w:lineRule="auto" w:line="288" w:before="0" w:after="200"/>
        <w:ind w:left="0" w:right="0" w:firstLine="450"/>
        <w:jc w:val="left"/>
        <w:rPr/>
      </w:pPr>
      <w:r>
        <w:rPr>
          <w:rFonts w:ascii="Times New Roman;sans-serif" w:hAnsi="Times New Roman;sans-serif"/>
          <w:b/>
          <w:color w:val="000000"/>
          <w:sz w:val="20"/>
        </w:rPr>
        <w:t>2.7</w:t>
      </w:r>
      <w:r>
        <w:rPr>
          <w:rFonts w:ascii="Times New Roman;sans-serif" w:hAnsi="Times New Roman;sans-serif"/>
          <w:b/>
          <w:i/>
          <w:color w:val="000000"/>
          <w:sz w:val="20"/>
        </w:rPr>
        <w:t>Continuance of Employment Required</w:t>
      </w:r>
      <w:r>
        <w:rPr>
          <w:rFonts w:ascii="Times New Roman;sans-serif" w:hAnsi="Times New Roman;sans-serif"/>
          <w:b w:val="false"/>
          <w:color w:val="000000"/>
          <w:sz w:val="20"/>
        </w:rPr>
        <w:t>. Except as expressly 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 Grantee’s status (if the Grantee is otherwise an at-will</w:t>
      </w:r>
      <w:r>
        <w:rPr>
          <w:color w:val="000000"/>
        </w:rPr>
        <w:t xml:space="preserve"> </w:t>
      </w:r>
      <w:r>
        <w:rPr>
          <w:rFonts w:ascii="Times New Roman;sans-serif" w:hAnsi="Times New Roman;sans-serif"/>
          <w:b w:val="false"/>
          <w:color w:val="000000"/>
          <w:sz w:val="20"/>
        </w:rPr>
        <w:t>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pStyle w:val="TextBody"/>
        <w:bidi w:val="0"/>
        <w:spacing w:lineRule="auto" w:line="288" w:before="0" w:after="200"/>
        <w:ind w:left="0" w:right="0" w:firstLine="450"/>
        <w:jc w:val="left"/>
        <w:rPr/>
      </w:pPr>
      <w:r>
        <w:rPr>
          <w:rFonts w:ascii="Times New Roman;sans-serif" w:hAnsi="Times New Roman;sans-serif"/>
          <w:b/>
          <w:color w:val="000000"/>
          <w:sz w:val="20"/>
        </w:rPr>
        <w:t>2.8</w:t>
      </w:r>
      <w:r>
        <w:rPr>
          <w:rFonts w:ascii="Times New Roman;sans-serif" w:hAnsi="Times New Roman;sans-serif"/>
          <w:b/>
          <w:i/>
          <w:color w:val="000000"/>
          <w:sz w:val="20"/>
        </w:rPr>
        <w:t>Death</w:t>
      </w:r>
      <w:r>
        <w:rPr>
          <w:rFonts w:ascii="Times New Roman;sans-serif" w:hAnsi="Times New Roman;sans-serif"/>
          <w:b w:val="false"/>
          <w:color w:val="000000"/>
          <w:sz w:val="20"/>
        </w:rPr>
        <w:t>. In the event of the Grantee’s death subsequent to the 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pStyle w:val="TextBody"/>
        <w:bidi w:val="0"/>
        <w:spacing w:lineRule="auto" w:line="288" w:before="0" w:after="200"/>
        <w:jc w:val="left"/>
        <w:rPr/>
      </w:pPr>
      <w:r>
        <w:rPr>
          <w:rFonts w:ascii="Times New Roman;sans-serif" w:hAnsi="Times New Roman;sans-serif"/>
          <w:b/>
          <w:color w:val="000000"/>
          <w:sz w:val="20"/>
        </w:rPr>
        <w:t>2.</w:t>
      </w:r>
      <w:r>
        <w:rPr>
          <w:rFonts w:ascii="Times New Roman;sans-serif" w:hAnsi="Times New Roman;sans-serif"/>
          <w:b/>
          <w:color w:val="000000"/>
          <w:sz w:val="20"/>
          <w:u w:val="single"/>
        </w:rPr>
        <w:t>Non-Transferability and Other Restrictions</w:t>
      </w:r>
      <w:r>
        <w:rPr>
          <w:rFonts w:ascii="Times New Roman;sans-serif" w:hAnsi="Times New Roman;sans-serif"/>
          <w:b w:val="false"/>
          <w:color w:val="000000"/>
          <w:sz w:val="20"/>
        </w:rPr>
        <w:t>.</w:t>
      </w:r>
    </w:p>
    <w:p>
      <w:pPr>
        <w:pStyle w:val="TextBody"/>
        <w:bidi w:val="0"/>
        <w:spacing w:lineRule="auto" w:line="288" w:before="0" w:after="240"/>
        <w:ind w:left="0" w:right="0" w:firstLine="450"/>
        <w:jc w:val="left"/>
        <w:rPr/>
      </w:pPr>
      <w:r>
        <w:rPr>
          <w:rFonts w:ascii="Times New Roman;sans-serif" w:hAnsi="Times New Roman;sans-serif"/>
          <w:b/>
          <w:color w:val="000000"/>
          <w:sz w:val="20"/>
        </w:rPr>
        <w:t>3.1</w:t>
      </w:r>
      <w:r>
        <w:rPr>
          <w:rFonts w:ascii="Times New Roman;sans-serif" w:hAnsi="Times New Roman;sans-serif"/>
          <w:b/>
          <w:i/>
          <w:color w:val="000000"/>
          <w:sz w:val="20"/>
        </w:rPr>
        <w:t>Non-Transferability</w:t>
      </w:r>
      <w:r>
        <w:rPr>
          <w:rFonts w:ascii="Times New Roman;sans-serif" w:hAnsi="Times New Roman;sans-serif"/>
          <w:b w:val="false"/>
          <w:color w:val="000000"/>
          <w:sz w:val="20"/>
        </w:rPr>
        <w:t>. The award, as well as the RPSRs (and 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50"/>
        <w:jc w:val="left"/>
        <w:rPr/>
      </w:pPr>
      <w:r>
        <w:rPr>
          <w:rFonts w:ascii="Times New Roman;sans-serif" w:hAnsi="Times New Roman;sans-serif"/>
          <w:b/>
          <w:color w:val="000000"/>
          <w:sz w:val="20"/>
        </w:rPr>
        <w:t>3.2</w:t>
      </w:r>
      <w:r>
        <w:rPr>
          <w:rFonts w:ascii="Times New Roman;sans-serif" w:hAnsi="Times New Roman;sans-serif"/>
          <w:b/>
          <w:i/>
          <w:color w:val="000000"/>
          <w:sz w:val="20"/>
        </w:rPr>
        <w:t>Forfeiture or Recoupment of Awards</w:t>
      </w:r>
      <w:r>
        <w:rPr>
          <w:rFonts w:ascii="Times New Roman;sans-serif" w:hAnsi="Times New Roman;sans-serif"/>
          <w:b w:val="false"/>
          <w:color w:val="000000"/>
          <w:sz w:val="20"/>
        </w:rPr>
        <w:t>. If, prior to payment 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2023 and as in effect from time to time (“Recoupment Policy”). Any payments or issuances of shares with respect to the award are subject to recoupment pursuant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pStyle w:val="TextBody"/>
        <w:bidi w:val="0"/>
        <w:spacing w:lineRule="auto" w:line="288" w:before="0" w:after="200"/>
        <w:jc w:val="left"/>
        <w:rPr/>
      </w:pPr>
      <w:r>
        <w:rPr>
          <w:rFonts w:ascii="Times New Roman;sans-serif" w:hAnsi="Times New Roman;sans-serif"/>
          <w:b/>
          <w:color w:val="000000"/>
          <w:sz w:val="20"/>
        </w:rPr>
        <w:t>4.</w:t>
      </w:r>
      <w:r>
        <w:rPr>
          <w:rFonts w:ascii="Times New Roman;sans-serif" w:hAnsi="Times New Roman;sans-serif"/>
          <w:b/>
          <w:color w:val="000000"/>
          <w:sz w:val="20"/>
          <w:u w:val="single"/>
        </w:rPr>
        <w:t>Post-Employment Conduct</w:t>
      </w:r>
      <w:r>
        <w:rPr>
          <w:rFonts w:ascii="Times New Roman;sans-serif" w:hAnsi="Times New Roman;sans-serif"/>
          <w:b w:val="false"/>
          <w:color w:val="000000"/>
          <w:sz w:val="20"/>
        </w:rPr>
        <w:t>.</w:t>
      </w:r>
    </w:p>
    <w:p>
      <w:pPr>
        <w:pStyle w:val="TextBody"/>
        <w:bidi w:val="0"/>
        <w:spacing w:lineRule="auto" w:line="288" w:before="117" w:after="283"/>
        <w:ind w:left="0" w:right="0" w:firstLine="450"/>
        <w:jc w:val="left"/>
        <w:rPr/>
      </w:pPr>
      <w:r>
        <w:rPr>
          <w:rFonts w:ascii="Times New Roman;sans-serif" w:hAnsi="Times New Roman;sans-serif"/>
          <w:b/>
          <w:color w:val="000000"/>
          <w:sz w:val="20"/>
        </w:rPr>
        <w:t>4.1</w:t>
      </w:r>
      <w:r>
        <w:rPr>
          <w:rFonts w:ascii="Times New Roman;sans-serif" w:hAnsi="Times New Roman;sans-serif"/>
          <w:b/>
          <w:i/>
          <w:color w:val="000000"/>
          <w:sz w:val="20"/>
        </w:rPr>
        <w:t>Executive Leadership Team Contribution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You acknowledge 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w:t>
      </w:r>
    </w:p>
    <w:p>
      <w:pPr>
        <w:pStyle w:val="TextBody"/>
        <w:bidi w:val="0"/>
        <w:spacing w:lineRule="auto" w:line="288" w:before="117"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4.2</w:t>
      </w:r>
      <w:r>
        <w:rPr>
          <w:rFonts w:ascii="Times New Roman;sans-serif" w:hAnsi="Times New Roman;sans-serif"/>
          <w:b/>
          <w:i/>
          <w:color w:val="000000"/>
          <w:sz w:val="20"/>
        </w:rPr>
        <w:t>Non-Competition</w:t>
      </w:r>
      <w:r>
        <w:rPr>
          <w:rFonts w:ascii="Times New Roman;sans-serif" w:hAnsi="Times New Roman;sans-serif"/>
          <w:b w:val="false"/>
          <w:color w:val="000000"/>
          <w:sz w:val="20"/>
        </w:rPr>
        <w:t>. For a period of twelve (12) months from the 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4.3</w:t>
      </w:r>
      <w:r>
        <w:rPr>
          <w:rFonts w:ascii="Times New Roman;sans-serif" w:hAnsi="Times New Roman;sans-serif"/>
          <w:b/>
          <w:i/>
          <w:color w:val="000000"/>
          <w:sz w:val="20"/>
        </w:rPr>
        <w:t>Non-Solicitation of Customers</w:t>
      </w:r>
      <w:r>
        <w:rPr>
          <w:rFonts w:ascii="Times New Roman;sans-serif" w:hAnsi="Times New Roman;sans-serif"/>
          <w:b/>
          <w:color w:val="000000"/>
          <w:sz w:val="20"/>
        </w:rPr>
        <w:t xml:space="preserve">. </w:t>
      </w:r>
      <w:r>
        <w:rPr>
          <w:rFonts w:ascii="Times New Roman;sans-serif" w:hAnsi="Times New Roman;sans-serif"/>
          <w:b w:val="false"/>
          <w:color w:val="000000"/>
          <w:sz w:val="20"/>
        </w:rPr>
        <w:t>For a period of eighteen (18) 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4.4</w:t>
      </w:r>
      <w:r>
        <w:rPr>
          <w:rFonts w:ascii="Times New Roman;sans-serif" w:hAnsi="Times New Roman;sans-serif"/>
          <w:b/>
          <w:i/>
          <w:color w:val="000000"/>
          <w:sz w:val="20"/>
        </w:rPr>
        <w:t>Non-Solicitation of Employees</w:t>
      </w:r>
      <w:r>
        <w:rPr>
          <w:rFonts w:ascii="Times New Roman;sans-serif" w:hAnsi="Times New Roman;sans-serif"/>
          <w:b/>
          <w:color w:val="000000"/>
          <w:sz w:val="20"/>
        </w:rPr>
        <w:t xml:space="preserve">. </w:t>
      </w:r>
      <w:r>
        <w:rPr>
          <w:rFonts w:ascii="Times New Roman;sans-serif" w:hAnsi="Times New Roman;sans-serif"/>
          <w:b w:val="false"/>
          <w:color w:val="000000"/>
          <w:sz w:val="20"/>
        </w:rPr>
        <w:t>For a period of twenty-four (24) 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pStyle w:val="TextBody"/>
        <w:bidi w:val="0"/>
        <w:spacing w:before="0" w:after="0"/>
        <w:jc w:val="left"/>
        <w:rPr/>
      </w:pPr>
      <w:r>
        <w:rPr/>
      </w:r>
    </w:p>
    <w:p>
      <w:pPr>
        <w:pStyle w:val="TextBody"/>
        <w:bidi w:val="0"/>
        <w:spacing w:lineRule="auto" w:line="288"/>
        <w:ind w:left="0" w:right="0" w:firstLine="450"/>
        <w:jc w:val="left"/>
        <w:rPr/>
      </w:pPr>
      <w:r>
        <w:rPr>
          <w:rFonts w:ascii="Times New Roman;sans-serif" w:hAnsi="Times New Roman;sans-serif"/>
          <w:b/>
          <w:color w:val="000000"/>
          <w:sz w:val="20"/>
        </w:rPr>
        <w:t>4.5</w:t>
      </w:r>
      <w:r>
        <w:rPr>
          <w:rFonts w:ascii="Times New Roman;sans-serif" w:hAnsi="Times New Roman;sans-serif"/>
          <w:b/>
          <w:i/>
          <w:color w:val="000000"/>
          <w:sz w:val="20"/>
        </w:rPr>
        <w:t>Non-Disparagement.</w:t>
      </w:r>
      <w:r>
        <w:rPr>
          <w:color w:val="000000"/>
        </w:rPr>
        <w:t xml:space="preserve"> </w:t>
      </w:r>
      <w:r>
        <w:rPr>
          <w:rFonts w:ascii="Times New Roman;sans-serif" w:hAnsi="Times New Roman;sans-serif"/>
          <w:b w:val="false"/>
          <w:color w:val="000000"/>
          <w:sz w:val="20"/>
        </w:rPr>
        <w:t xml:space="preserve">You will not issue or communicate any statement, whether verbal or written, or take any other action that disparages or may be interpreted to disparage the Company, its products, services, officers, directors, or employees;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51"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shall not apply to any truthful statements made in connection with a legal process, including government investigation or as otherwise provided by law.</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4.6</w:t>
      </w:r>
      <w:r>
        <w:rPr>
          <w:rFonts w:ascii="Times New Roman;sans-serif" w:hAnsi="Times New Roman;sans-serif"/>
          <w:b/>
          <w:i/>
          <w:color w:val="000000"/>
          <w:sz w:val="20"/>
        </w:rPr>
        <w:t>Exceptions.</w:t>
      </w:r>
      <w:r>
        <w:rPr>
          <w:color w:val="000000"/>
        </w:rPr>
        <w:t xml:space="preserve"> </w:t>
      </w:r>
      <w:r>
        <w:rPr>
          <w:rFonts w:ascii="Times New Roman;sans-serif" w:hAnsi="Times New Roman;sans-serif"/>
          <w:b w:val="false"/>
          <w:color w:val="000000"/>
          <w:sz w:val="20"/>
        </w:rPr>
        <w:t>You may request an exception to the covenants in Sections 4.2, 4.3, or 4.4 by making a written request to the Company’s Chief Human Resources Officer, with such exceptions being considered at the sole discretion of the Company and communicated in writing to you.</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4.7</w:t>
      </w:r>
      <w:r>
        <w:rPr>
          <w:rFonts w:ascii="Times New Roman;sans-serif" w:hAnsi="Times New Roman;sans-serif"/>
          <w:b/>
          <w:i/>
          <w:color w:val="000000"/>
          <w:sz w:val="20"/>
        </w:rPr>
        <w:t>Reasonableness.</w:t>
      </w:r>
      <w:r>
        <w:rPr>
          <w:color w:val="000000"/>
        </w:rPr>
        <w:t xml:space="preserve"> </w:t>
      </w:r>
      <w:r>
        <w:rPr>
          <w:rFonts w:ascii="Times New Roman;sans-serif" w:hAnsi="Times New Roman;sans-serif"/>
          <w:b w:val="false"/>
          <w:color w:val="000000"/>
          <w:sz w:val="20"/>
        </w:rPr>
        <w:t>You agree that the restrictions set forth in 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4.8</w:t>
      </w:r>
      <w:r>
        <w:rPr>
          <w:rFonts w:ascii="Times New Roman;sans-serif" w:hAnsi="Times New Roman;sans-serif"/>
          <w:b/>
          <w:i/>
          <w:color w:val="000000"/>
          <w:sz w:val="20"/>
        </w:rPr>
        <w:t>Remedies</w:t>
      </w:r>
      <w:r>
        <w:rPr>
          <w:rFonts w:ascii="Times New Roman;sans-serif" w:hAnsi="Times New Roman;sans-serif"/>
          <w:b w:val="false"/>
          <w:color w:val="000000"/>
          <w:sz w:val="20"/>
        </w:rPr>
        <w:t>. If you violate any provision in Section 4.2, 4.3, 4.4, 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pStyle w:val="TextBody"/>
        <w:bidi w:val="0"/>
        <w:spacing w:before="0" w:after="0"/>
        <w:jc w:val="left"/>
        <w:rPr/>
      </w:pPr>
      <w:r>
        <w:rPr/>
      </w:r>
    </w:p>
    <w:p>
      <w:pPr>
        <w:pStyle w:val="TextBody"/>
        <w:bidi w:val="0"/>
        <w:spacing w:lineRule="auto" w:line="288" w:before="0" w:after="200"/>
        <w:ind w:left="0" w:right="0" w:hanging="360"/>
        <w:jc w:val="left"/>
        <w:rPr/>
      </w:pPr>
      <w:r>
        <w:rPr>
          <w:rFonts w:ascii="Times New Roman;sans-serif" w:hAnsi="Times New Roman;sans-serif"/>
          <w:b/>
          <w:color w:val="000000"/>
          <w:sz w:val="20"/>
        </w:rPr>
        <w:t>5.</w:t>
      </w:r>
      <w:r>
        <w:rPr>
          <w:rFonts w:ascii="Times New Roman;sans-serif" w:hAnsi="Times New Roman;sans-serif"/>
          <w:b/>
          <w:color w:val="000000"/>
          <w:sz w:val="20"/>
          <w:u w:val="single"/>
        </w:rPr>
        <w:t>Compliance with Laws; No Stockholder Rights Prior to Issuance</w:t>
      </w:r>
      <w:r>
        <w:rPr>
          <w:rFonts w:ascii="Times New Roman;sans-serif" w:hAnsi="Times New Roman;sans-serif"/>
          <w:b w:val="false"/>
          <w:color w:val="000000"/>
          <w:sz w:val="20"/>
        </w:rPr>
        <w:t>.</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 to make any payments or issue any shares with respect to the award is subject to full compliance with all then applicable requirements of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pStyle w:val="TextBody"/>
        <w:bidi w:val="0"/>
        <w:spacing w:lineRule="auto" w:line="288" w:before="0" w:after="200"/>
        <w:jc w:val="left"/>
        <w:rPr/>
      </w:pPr>
      <w:r>
        <w:rPr>
          <w:rFonts w:ascii="Times New Roman;sans-serif" w:hAnsi="Times New Roman;sans-serif"/>
          <w:b/>
          <w:color w:val="000000"/>
          <w:sz w:val="20"/>
        </w:rPr>
        <w:t>6.</w:t>
      </w:r>
      <w:r>
        <w:rPr>
          <w:rFonts w:ascii="Times New Roman;sans-serif" w:hAnsi="Times New Roman;sans-serif"/>
          <w:b/>
          <w:color w:val="000000"/>
          <w:sz w:val="20"/>
          <w:u w:val="single"/>
        </w:rPr>
        <w:t>Adjustments; Change in Control</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pPr>
      <w:r>
        <w:rPr>
          <w:rFonts w:ascii="Times New Roman;sans-serif" w:hAnsi="Times New Roman;sans-serif"/>
          <w:b/>
          <w:color w:val="000000"/>
          <w:sz w:val="20"/>
        </w:rPr>
        <w:t>6.1</w:t>
      </w:r>
      <w:r>
        <w:rPr>
          <w:rFonts w:ascii="Times New Roman;sans-serif" w:hAnsi="Times New Roman;sans-serif"/>
          <w:b/>
          <w:i/>
          <w:color w:val="000000"/>
          <w:sz w:val="20"/>
        </w:rPr>
        <w:t>Adjustments</w:t>
      </w:r>
      <w:r>
        <w:rPr>
          <w:rFonts w:ascii="Times New Roman;sans-serif" w:hAnsi="Times New Roman;sans-serif"/>
          <w:b w:val="false"/>
          <w:color w:val="000000"/>
          <w:sz w:val="20"/>
        </w:rPr>
        <w:t>. The RPSRs, Dividend Equivalents, and the shares subject to the award 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pStyle w:val="TextBody"/>
        <w:bidi w:val="0"/>
        <w:spacing w:lineRule="auto" w:line="288" w:before="0" w:after="200"/>
        <w:ind w:left="0" w:right="0" w:firstLine="450"/>
        <w:jc w:val="left"/>
        <w:rPr/>
      </w:pPr>
      <w:r>
        <w:rPr>
          <w:rFonts w:ascii="Times New Roman;sans-serif" w:hAnsi="Times New Roman;sans-serif"/>
          <w:b/>
          <w:color w:val="000000"/>
          <w:sz w:val="20"/>
        </w:rPr>
        <w:t>6.2</w:t>
      </w:r>
      <w:r>
        <w:rPr>
          <w:rFonts w:ascii="Times New Roman;sans-serif" w:hAnsi="Times New Roman;sans-serif"/>
          <w:b/>
          <w:i/>
          <w:color w:val="000000"/>
          <w:sz w:val="20"/>
        </w:rPr>
        <w:t>Possible Acceleration on Change in Control</w:t>
      </w:r>
      <w:r>
        <w:rPr>
          <w:rFonts w:ascii="Times New Roman;sans-serif" w:hAnsi="Times New Roman;sans-serif"/>
          <w:b w:val="false"/>
          <w:color w:val="000000"/>
          <w:sz w:val="20"/>
        </w:rPr>
        <w:t>. Notwithstanding 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52" name="Frame5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Protected Period and such termination of employment was expected at that time to occur within six (6) months.</w:t>
      </w:r>
    </w:p>
    <w:p>
      <w:pPr>
        <w:pStyle w:val="TextBody"/>
        <w:bidi w:val="0"/>
        <w:spacing w:lineRule="auto" w:line="288" w:before="0" w:after="200"/>
        <w:ind w:left="0" w:right="0" w:firstLine="450"/>
        <w:jc w:val="left"/>
        <w:rPr/>
      </w:pPr>
      <w:r>
        <w:rPr>
          <w:rFonts w:ascii="Times New Roman;sans-serif" w:hAnsi="Times New Roman;sans-serif"/>
          <w:b w:val="false"/>
          <w:color w:val="000000"/>
          <w:sz w:val="20"/>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 employment, but in no event later than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year following the Grantee’s termination of employment.</w:t>
      </w:r>
    </w:p>
    <w:p>
      <w:pPr>
        <w:pStyle w:val="TextBody"/>
        <w:bidi w:val="0"/>
        <w:spacing w:lineRule="auto" w:line="288" w:before="0" w:after="200"/>
        <w:ind w:left="0" w:right="0" w:firstLine="450"/>
        <w:jc w:val="left"/>
        <w:rPr/>
      </w:pPr>
      <w:r>
        <w:rPr>
          <w:rFonts w:ascii="Times New Roman;sans-serif" w:hAnsi="Times New Roman;sans-serif"/>
          <w:b/>
          <w:color w:val="000000"/>
          <w:sz w:val="20"/>
        </w:rPr>
        <w:t>6.3</w:t>
      </w:r>
      <w:r>
        <w:rPr>
          <w:rFonts w:ascii="Times New Roman;sans-serif" w:hAnsi="Times New Roman;sans-serif"/>
          <w:b/>
          <w:i/>
          <w:color w:val="000000"/>
          <w:sz w:val="20"/>
        </w:rPr>
        <w:t>Automatic Acceleration; Early Termination</w:t>
      </w:r>
      <w:r>
        <w:rPr>
          <w:rFonts w:ascii="Times New Roman;sans-serif" w:hAnsi="Times New Roman;sans-serif"/>
          <w:b w:val="false"/>
          <w:color w:val="000000"/>
          <w:sz w:val="20"/>
        </w:rPr>
        <w:t>.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the Grantee is entitled to a payment in accordance with the foregoing provisions of this Section 6.3, then the Grantee will be eligible for payment of a number of RPSRs (and related Dividend Equivalents) determined in accordance with the following formula: (a) the Earnout Percentage determined in accordance with Section 1 but calculated based on performance for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pStyle w:val="TextBody"/>
        <w:bidi w:val="0"/>
        <w:spacing w:lineRule="auto" w:line="288" w:before="0" w:after="200"/>
        <w:ind w:left="0" w:right="0" w:hanging="446"/>
        <w:jc w:val="left"/>
        <w:rPr/>
      </w:pPr>
      <w:r>
        <w:rPr>
          <w:rFonts w:ascii="Times New Roman;sans-serif" w:hAnsi="Times New Roman;sans-serif"/>
          <w:b/>
          <w:color w:val="000000"/>
          <w:sz w:val="20"/>
        </w:rPr>
        <w:t>7.</w:t>
      </w:r>
      <w:r>
        <w:rPr>
          <w:rFonts w:ascii="Times New Roman;sans-serif" w:hAnsi="Times New Roman;sans-serif"/>
          <w:b/>
          <w:color w:val="000000"/>
          <w:sz w:val="20"/>
          <w:u w:val="single"/>
        </w:rPr>
        <w:t>Tax Matters</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pPr>
      <w:r>
        <w:rPr>
          <w:rFonts w:ascii="Times New Roman;sans-serif" w:hAnsi="Times New Roman;sans-serif"/>
          <w:b/>
          <w:color w:val="000000"/>
          <w:sz w:val="20"/>
        </w:rPr>
        <w:t>7.1</w:t>
      </w:r>
      <w:r>
        <w:rPr>
          <w:color w:val="000000"/>
        </w:rPr>
        <w:t xml:space="preserve"> </w:t>
      </w:r>
      <w:r>
        <w:rPr>
          <w:rFonts w:ascii="Times New Roman;sans-serif" w:hAnsi="Times New Roman;sans-serif"/>
          <w:b/>
          <w:i/>
          <w:color w:val="000000"/>
          <w:sz w:val="20"/>
        </w:rPr>
        <w:t>Tax Withholding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Company or the subsidiary which 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pStyle w:val="TextBody"/>
        <w:bidi w:val="0"/>
        <w:spacing w:lineRule="auto" w:line="288" w:before="0" w:after="200"/>
        <w:ind w:left="0" w:right="0" w:firstLine="450"/>
        <w:jc w:val="left"/>
        <w:rPr/>
      </w:pPr>
      <w:r>
        <w:rPr>
          <w:rFonts w:ascii="Times New Roman;sans-serif" w:hAnsi="Times New Roman;sans-serif"/>
          <w:b/>
          <w:color w:val="000000"/>
          <w:sz w:val="20"/>
        </w:rPr>
        <w:t>7.2</w:t>
      </w:r>
      <w:r>
        <w:rPr>
          <w:rFonts w:ascii="Times New Roman;sans-serif" w:hAnsi="Times New Roman;sans-serif"/>
          <w:b/>
          <w:i/>
          <w:color w:val="000000"/>
          <w:sz w:val="20"/>
        </w:rPr>
        <w:t>Transfer Taxes</w:t>
      </w:r>
      <w:r>
        <w:rPr>
          <w:rFonts w:ascii="Times New Roman;sans-serif" w:hAnsi="Times New Roman;sans-serif"/>
          <w:b w:val="false"/>
          <w:color w:val="000000"/>
          <w:sz w:val="20"/>
        </w:rPr>
        <w:t>. The Company will pay all federal and state transfer taxes, if any, and other fees and expenses in connection with the issuance of shares in connection with the vesting of the RPSRs.</w:t>
      </w:r>
    </w:p>
    <w:p>
      <w:pPr>
        <w:pStyle w:val="TextBody"/>
        <w:bidi w:val="0"/>
        <w:spacing w:lineRule="auto" w:line="288" w:before="0" w:after="200"/>
        <w:ind w:left="0" w:right="0" w:firstLine="450"/>
        <w:jc w:val="left"/>
        <w:rPr/>
      </w:pPr>
      <w:r>
        <w:rPr>
          <w:rFonts w:ascii="Times New Roman;sans-serif" w:hAnsi="Times New Roman;sans-serif"/>
          <w:b/>
          <w:color w:val="000000"/>
          <w:sz w:val="20"/>
        </w:rPr>
        <w:t>7.3</w:t>
      </w:r>
      <w:r>
        <w:rPr>
          <w:rFonts w:ascii="Times New Roman;sans-serif" w:hAnsi="Times New Roman;sans-serif"/>
          <w:b/>
          <w:i/>
          <w:color w:val="000000"/>
          <w:sz w:val="20"/>
        </w:rPr>
        <w:t>Compliance</w:t>
      </w:r>
      <w:r>
        <w:rPr>
          <w:rFonts w:ascii="Times New Roman;sans-serif" w:hAnsi="Times New Roman;sans-serif"/>
          <w:b w:val="false"/>
          <w:color w:val="000000"/>
          <w:sz w:val="20"/>
        </w:rPr>
        <w:t>. This Agreement is designed to be exempt from Code Section 409A, and the Committee shall administer and construe the award in such a way as to be exempt from and to avoid adverse tax consequences under Code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53" name="Frame5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450"/>
        <w:jc w:val="left"/>
        <w:rPr/>
      </w:pPr>
      <w:r>
        <w:rPr>
          <w:rFonts w:ascii="Times New Roman;sans-serif" w:hAnsi="Times New Roman;sans-serif"/>
          <w:b/>
          <w:color w:val="000000"/>
          <w:sz w:val="20"/>
        </w:rPr>
        <w:t>7.4</w:t>
      </w:r>
      <w:r>
        <w:rPr>
          <w:rFonts w:ascii="Times New Roman;sans-serif" w:hAnsi="Times New Roman;sans-serif"/>
          <w:b/>
          <w:i/>
          <w:color w:val="000000"/>
          <w:sz w:val="20"/>
        </w:rPr>
        <w:t>Unfunded Arrangement</w:t>
      </w:r>
      <w:r>
        <w:rPr>
          <w:rFonts w:ascii="Times New Roman;sans-serif" w:hAnsi="Times New Roman;sans-serif"/>
          <w:b w:val="false"/>
          <w:color w:val="000000"/>
          <w:sz w:val="20"/>
        </w:rPr>
        <w:t>. The right of the Grantee to 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pStyle w:val="TextBody"/>
        <w:bidi w:val="0"/>
        <w:spacing w:lineRule="auto" w:line="288" w:before="0" w:after="200"/>
        <w:ind w:left="0" w:right="0" w:firstLine="450"/>
        <w:jc w:val="left"/>
        <w:rPr/>
      </w:pPr>
      <w:r>
        <w:rPr>
          <w:rFonts w:ascii="Times New Roman;sans-serif" w:hAnsi="Times New Roman;sans-serif"/>
          <w:b/>
          <w:color w:val="000000"/>
          <w:sz w:val="20"/>
        </w:rPr>
        <w:t>7.5</w:t>
      </w:r>
      <w:r>
        <w:rPr>
          <w:rFonts w:ascii="Times New Roman;sans-serif" w:hAnsi="Times New Roman;sans-serif"/>
          <w:b/>
          <w:i/>
          <w:color w:val="000000"/>
          <w:sz w:val="20"/>
        </w:rPr>
        <w:t>Code Section 280G</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Notwithstanding any other provision of 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 </w:t>
      </w:r>
    </w:p>
    <w:p>
      <w:pPr>
        <w:pStyle w:val="TextBody"/>
        <w:bidi w:val="0"/>
        <w:spacing w:lineRule="auto" w:line="288" w:before="0" w:after="200"/>
        <w:jc w:val="left"/>
        <w:rPr/>
      </w:pPr>
      <w:r>
        <w:rPr>
          <w:rFonts w:ascii="Times New Roman;sans-serif" w:hAnsi="Times New Roman;sans-serif"/>
          <w:b/>
          <w:color w:val="000000"/>
          <w:sz w:val="20"/>
        </w:rPr>
        <w:t>8.</w:t>
      </w:r>
      <w:r>
        <w:rPr>
          <w:rFonts w:ascii="Times New Roman;sans-serif" w:hAnsi="Times New Roman;sans-serif"/>
          <w:b/>
          <w:color w:val="000000"/>
          <w:sz w:val="20"/>
          <w:u w:val="single"/>
        </w:rPr>
        <w:t>Choice of Law; Venue; Arbitration</w:t>
      </w:r>
      <w:r>
        <w:rPr>
          <w:rFonts w:ascii="Times New Roman;sans-serif" w:hAnsi="Times New Roman;sans-serif"/>
          <w:b/>
          <w:color w:val="000000"/>
          <w:sz w:val="20"/>
        </w:rPr>
        <w:t xml:space="preserve">. </w:t>
      </w:r>
    </w:p>
    <w:p>
      <w:pPr>
        <w:pStyle w:val="TextBody"/>
        <w:bidi w:val="0"/>
        <w:spacing w:lineRule="auto" w:line="288" w:before="0" w:after="200"/>
        <w:jc w:val="left"/>
        <w:rPr>
          <w:color w:val="000000"/>
        </w:rPr>
      </w:pPr>
      <w:r>
        <w:rPr>
          <w:color w:val="000000"/>
        </w:rPr>
        <w:t>    </w:t>
      </w:r>
      <w:r>
        <w:rPr>
          <w:rFonts w:ascii="Times New Roman;sans-serif" w:hAnsi="Times New Roman;sans-serif"/>
          <w:b w:val="false"/>
          <w:color w:val="000000"/>
          <w:sz w:val="20"/>
        </w:rPr>
        <w:t xml:space="preserve">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 accordance with USHR 2-32, provided that the prevailing party in the arbitration shall be entitled to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pStyle w:val="TextBody"/>
        <w:bidi w:val="0"/>
        <w:spacing w:lineRule="auto" w:line="288" w:before="0" w:after="200"/>
        <w:ind w:left="0" w:right="0" w:hanging="446"/>
        <w:jc w:val="left"/>
        <w:rPr/>
      </w:pPr>
      <w:r>
        <w:rPr>
          <w:rFonts w:ascii="Times New Roman;sans-serif" w:hAnsi="Times New Roman;sans-serif"/>
          <w:b/>
          <w:color w:val="000000"/>
          <w:sz w:val="20"/>
        </w:rPr>
        <w:t>9.</w:t>
      </w:r>
      <w:r>
        <w:rPr>
          <w:rFonts w:ascii="Times New Roman;sans-serif" w:hAnsi="Times New Roman;sans-serif"/>
          <w:b/>
          <w:color w:val="000000"/>
          <w:sz w:val="20"/>
          <w:u w:val="single"/>
        </w:rPr>
        <w:t>Committee Authority</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pStyle w:val="TextBody"/>
        <w:bidi w:val="0"/>
        <w:spacing w:lineRule="auto" w:line="288" w:before="0" w:after="200"/>
        <w:ind w:left="0" w:right="0" w:hanging="446"/>
        <w:jc w:val="left"/>
        <w:rPr/>
      </w:pPr>
      <w:r>
        <w:rPr>
          <w:rFonts w:ascii="Times New Roman;sans-serif" w:hAnsi="Times New Roman;sans-serif"/>
          <w:b/>
          <w:color w:val="000000"/>
          <w:sz w:val="20"/>
        </w:rPr>
        <w:t>10.</w:t>
      </w:r>
      <w:r>
        <w:rPr>
          <w:rFonts w:ascii="Times New Roman;sans-serif" w:hAnsi="Times New Roman;sans-serif"/>
          <w:b/>
          <w:color w:val="000000"/>
          <w:sz w:val="20"/>
          <w:u w:val="single"/>
        </w:rPr>
        <w:t>Plan; Amendment</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pStyle w:val="TextBody"/>
        <w:bidi w:val="0"/>
        <w:spacing w:lineRule="auto" w:line="288" w:before="0" w:after="200"/>
        <w:ind w:left="0" w:right="0" w:hanging="446"/>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Required Holding Period</w:t>
      </w:r>
      <w:r>
        <w:rPr>
          <w:rFonts w:ascii="Times New Roman;sans-serif" w:hAnsi="Times New Roman;sans-serif"/>
          <w:b/>
          <w:color w:val="000000"/>
          <w:sz w:val="20"/>
        </w:rPr>
        <w:t>.</w:t>
      </w:r>
    </w:p>
    <w:p>
      <w:pPr>
        <w:pStyle w:val="TextBody"/>
        <w:bidi w:val="0"/>
        <w:spacing w:lineRule="auto" w:line="288" w:before="0" w:after="200"/>
        <w:jc w:val="left"/>
        <w:rPr/>
      </w:pPr>
      <w:r>
        <w:rPr>
          <w:color w:val="000000"/>
        </w:rPr>
        <w:t>    </w:t>
      </w:r>
      <w:r>
        <w:rPr>
          <w:rFonts w:ascii="Times New Roman;sans-serif" w:hAnsi="Times New Roman;sans-serif"/>
          <w:b w:val="false"/>
          <w:color w:val="000000"/>
          <w:sz w:val="20"/>
        </w:rPr>
        <w:t xml:space="preserve">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 be permitted to sell, transfer, anticipate, alienate, assign,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54" name="Frame5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pPr>
      <w:r>
        <w:rPr>
          <w:rFonts w:ascii="Times New Roman;sans-serif" w:hAnsi="Times New Roman;sans-serif"/>
          <w:b w:val="false"/>
          <w:color w:val="000000"/>
          <w:sz w:val="20"/>
        </w:rPr>
        <w:t>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 upon payment of RPSRs to the extent such payment is made more than one year after such termination of employment. (For purposes of clarity, in such circumstances the holding period requirement will apply as to any shares acquired upon payment of RPSRs within one year after such a termination of employment.)</w:t>
      </w:r>
      <w:r>
        <w:rPr>
          <w:color w:val="000000"/>
        </w:rPr>
        <w:t xml:space="preserve"> </w:t>
      </w:r>
      <w:r>
        <w:rPr>
          <w:rFonts w:ascii="Times New Roman;sans-serif" w:hAnsi="Times New Roman;sans-serif"/>
          <w:b w:val="false"/>
          <w:color w:val="000000"/>
          <w:sz w:val="20"/>
        </w:rPr>
        <w:t>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pStyle w:val="TextBody"/>
        <w:bidi w:val="0"/>
        <w:spacing w:lineRule="auto" w:line="288" w:before="0" w:after="200"/>
        <w:ind w:left="0" w:right="0" w:hanging="446"/>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Whenever used in this Agreement, the following terms shall have the meanings set forth below and, when the meaning is intended, the initial letter of the word is capitalized:</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the occurrence of either or both of the following:</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    The Grantee’s conviction for committing an act of fraud, embezzlement, theft, or other act constituting a felony (other than traffic related offenses, as a result of vicarious liability, or as a result of good faith actions as an officer of the Company); or</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is used as defined in the Plan.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United States Internal Revenue Code of 1986, as amended.</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the Company’s Compensation and Human Capital Committee or any successor committee appointed by the Board to administer the Plan.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Company’s common stock.</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Disability</w:t>
      </w:r>
      <w:r>
        <w:rPr>
          <w:color w:val="000000"/>
        </w:rPr>
        <w:t xml:space="preserve">” </w:t>
      </w:r>
      <w:r>
        <w:rPr>
          <w:rFonts w:ascii="Times New Roman;sans-serif" w:hAnsi="Times New Roman;sans-serif"/>
          <w:b w:val="false"/>
          <w:color w:val="000000"/>
          <w:sz w:val="20"/>
        </w:rPr>
        <w:t>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pStyle w:val="TextBody"/>
        <w:bidi w:val="0"/>
        <w:spacing w:lineRule="auto" w:line="288" w:before="0" w:after="0"/>
        <w:jc w:val="left"/>
        <w:rPr/>
      </w:pPr>
      <w:r>
        <w:rPr>
          <w:color w:val="000000"/>
        </w:rPr>
        <w:t>    “</w:t>
      </w:r>
      <w:r>
        <w:rPr>
          <w:rFonts w:ascii="Times New Roman;sans-serif" w:hAnsi="Times New Roman;sans-serif"/>
          <w:b/>
          <w:color w:val="000000"/>
          <w:sz w:val="20"/>
        </w:rPr>
        <w:t>Early Retirement</w:t>
      </w:r>
      <w:r>
        <w:rPr>
          <w:color w:val="000000"/>
        </w:rPr>
        <w:t xml:space="preserve">” </w:t>
      </w:r>
      <w:r>
        <w:rPr>
          <w:rFonts w:ascii="Times New Roman;sans-serif" w:hAnsi="Times New Roman;sans-serif"/>
          <w:b w:val="false"/>
          <w:color w:val="000000"/>
          <w:sz w:val="20"/>
        </w:rPr>
        <w:t>means that the Grantee’s employment terminates in any of the following circumstances, and other than a termination of employment that constitutes a Normal Retirement or occurs in connection with a termination by the Company or a subsidiary for Cause: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     a termination of employment after the Grantee has attained age 55 with at least 10 years of service.</w:t>
      </w:r>
    </w:p>
    <w:p>
      <w:pPr>
        <w:pStyle w:val="TextBody"/>
        <w:bidi w:val="0"/>
        <w:spacing w:lineRule="auto" w:line="288"/>
        <w:jc w:val="left"/>
        <w:rPr>
          <w:color w:val="000000"/>
        </w:rPr>
      </w:pPr>
      <w:r>
        <w:rPr>
          <w:color w:val="000000"/>
        </w:rPr>
        <w:t>    </w:t>
      </w:r>
      <w:r>
        <w:rPr>
          <w:rFonts w:ascii="Times New Roman;sans-serif" w:hAnsi="Times New Roman;sans-serif"/>
          <w:b w:val="false"/>
          <w:color w:val="000000"/>
          <w:sz w:val="20"/>
        </w:rPr>
        <w:t xml:space="preserve">(ii)    a termination of employment by the Company or a subsidiary as part of a reduction in force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55" name="Frame5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at the time of such termination, the Grantee has attained age 53 with at least 10 years of service.</w: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(iii)    a termination of employment by the Company or a subsidiary as part of a reduction in force and, at the time of such termination, the sum of the Grantee’s age and years of service is at least 75.</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is used as defined in the Plan; provided, however, the Committee in determining such Fair Market Value for purposes of the award may utilize such other exchange, market, or listing as it deems appropriate.</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Good Reason</w:t>
      </w:r>
      <w:r>
        <w:rPr>
          <w:color w:val="000000"/>
        </w:rPr>
        <w:t xml:space="preserve">” </w:t>
      </w:r>
      <w:r>
        <w:rPr>
          <w:rFonts w:ascii="Times New Roman;sans-serif" w:hAnsi="Times New Roman;sans-serif"/>
          <w:b w:val="false"/>
          <w:color w:val="000000"/>
          <w:sz w:val="20"/>
        </w:rPr>
        <w:t>means, without the Grantee’s express written consent, the occurrence of any one or more of the following:</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    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pStyle w:val="TextBody"/>
        <w:bidi w:val="0"/>
        <w:spacing w:lineRule="auto" w:line="288" w:before="0" w:after="200"/>
        <w:ind w:left="0" w:right="0" w:hanging="360"/>
        <w:jc w:val="left"/>
        <w:rPr>
          <w:color w:val="000000"/>
        </w:rPr>
      </w:pPr>
      <w:r>
        <w:rPr>
          <w:color w:val="000000"/>
        </w:rPr>
        <w:t>    </w:t>
      </w:r>
      <w:r>
        <w:rPr>
          <w:rFonts w:ascii="Times New Roman;sans-serif" w:hAnsi="Times New Roman;sans-serif"/>
          <w:b w:val="false"/>
          <w:color w:val="000000"/>
          <w:sz w:val="20"/>
        </w:rPr>
        <w:t xml:space="preserve">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which such title is used if most persons in the business unit with authorities, duties, and responsibilities comparable to those of the Grantee immediately prior to the commencement of the Protected Period do not have the title of vice-president.</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    A material reduction by the Company in the Grantee’s annualized rate of base salary as in effect on the first to occur of the start of the Performance Period or the start of the Protected Period, or as the same shall be increased from time to time.</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    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 </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    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780"/>
                <wp:effectExtent l="0" t="0" r="0" b="0"/>
                <wp:wrapNone/>
                <wp:docPr id="56" name="Frame5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Governmental Service Retirement</w:t>
      </w:r>
      <w:r>
        <w:rPr>
          <w:color w:val="000000"/>
        </w:rPr>
        <w:t xml:space="preserve">” </w:t>
      </w:r>
      <w:r>
        <w:rPr>
          <w:rFonts w:ascii="Times New Roman;sans-serif" w:hAnsi="Times New Roman;sans-serif"/>
          <w:b w:val="false"/>
          <w:color w:val="000000"/>
          <w:sz w:val="20"/>
        </w:rPr>
        <w:t>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Normal Retirement</w:t>
      </w:r>
      <w:r>
        <w:rPr>
          <w:color w:val="000000"/>
        </w:rPr>
        <w:t xml:space="preserve">” </w:t>
      </w:r>
      <w:r>
        <w:rPr>
          <w:rFonts w:ascii="Times New Roman;sans-serif" w:hAnsi="Times New Roman;sans-serif"/>
          <w:b w:val="false"/>
          <w:color w:val="000000"/>
          <w:sz w:val="20"/>
        </w:rPr>
        <w:t>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w:t>
      </w:r>
      <w:r>
        <w:rPr>
          <w:color w:val="000000"/>
        </w:rPr>
        <w:t xml:space="preserve"> </w:t>
      </w:r>
      <w:r>
        <w:rPr>
          <w:rFonts w:ascii="Times New Roman;sans-serif" w:hAnsi="Times New Roman;sans-serif"/>
          <w:b w:val="false"/>
          <w:color w:val="000000"/>
          <w:sz w:val="20"/>
        </w:rPr>
        <w:t>Retirement” as to that Grantee means that the Grantee’s employment is terminated pursuant to such mandatory retirement policy (regardless of the Grantee’s years of service and other than in connection with a termination by the Company or a subsidiary for Cause).</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Parent</w:t>
      </w:r>
      <w:r>
        <w:rPr>
          <w:color w:val="000000"/>
        </w:rPr>
        <w:t xml:space="preserve">” </w:t>
      </w:r>
      <w:r>
        <w:rPr>
          <w:rFonts w:ascii="Times New Roman;sans-serif" w:hAnsi="Times New Roman;sans-serif"/>
          <w:b w:val="false"/>
          <w:color w:val="000000"/>
          <w:sz w:val="20"/>
        </w:rPr>
        <w:t>is used as defined in the Plan.</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the Northrop Grumman 2024 Long-Term Incentive Stock Plan, as it may be amended form time to time.</w:t>
      </w:r>
    </w:p>
    <w:p>
      <w:pPr>
        <w:pStyle w:val="TextBody"/>
        <w:bidi w:val="0"/>
        <w:spacing w:lineRule="auto" w:line="288" w:before="0" w:after="200"/>
        <w:ind w:left="0" w:right="0" w:firstLine="450"/>
        <w:jc w:val="left"/>
        <w:rPr/>
      </w:pPr>
      <w:r>
        <w:rPr>
          <w:rFonts w:ascii="Times New Roman;sans-serif" w:hAnsi="Times New Roman;sans-serif"/>
          <w:b w:val="false"/>
          <w:color w:val="000000"/>
          <w:sz w:val="20"/>
        </w:rPr>
        <w:t>The “</w:t>
      </w:r>
      <w:r>
        <w:rPr>
          <w:rFonts w:ascii="Times New Roman;sans-serif" w:hAnsi="Times New Roman;sans-serif"/>
          <w:b/>
          <w:color w:val="000000"/>
          <w:sz w:val="20"/>
        </w:rPr>
        <w:t>Protected Period</w:t>
      </w:r>
      <w:r>
        <w:rPr>
          <w:color w:val="000000"/>
        </w:rPr>
        <w:t xml:space="preserve">” </w:t>
      </w:r>
      <w:r>
        <w:rPr>
          <w:rFonts w:ascii="Times New Roman;sans-serif" w:hAnsi="Times New Roman;sans-serif"/>
          <w:b w:val="false"/>
          <w:color w:val="000000"/>
          <w:sz w:val="20"/>
        </w:rPr>
        <w:t>corresponding to a Change in Control of the Company shall be a period of time determined in accordance with the following:</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    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and shall continue through and including the date of the Change in Control; provided that in no case will the Protected Period commence earlier than the date that is six (6) months prior to the Change in Control.</w:t>
      </w: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    In the case of any Change in Control not described in clause (i) or (ii) above, the Protected Period shall commence on the date that is six (6) months prior to the Change in Control and shall continue through and include the date of the Change in Control.</w:t>
      </w:r>
    </w:p>
    <w:p>
      <w:pPr>
        <w:pStyle w:val="TextBody"/>
        <w:bidi w:val="0"/>
        <w:spacing w:lineRule="auto" w:line="288" w:before="0" w:after="200"/>
        <w:ind w:left="0" w:right="0" w:firstLine="450"/>
        <w:jc w:val="left"/>
        <w:rPr/>
      </w:pPr>
      <w:r>
        <w:rPr>
          <w:color w:val="000000"/>
        </w:rPr>
        <w:t>“</w:t>
      </w:r>
      <w:r>
        <w:rPr>
          <w:rFonts w:ascii="Times New Roman;sans-serif" w:hAnsi="Times New Roman;sans-serif"/>
          <w:b/>
          <w:color w:val="000000"/>
          <w:sz w:val="20"/>
        </w:rPr>
        <w:t>Successor</w:t>
      </w:r>
      <w:r>
        <w:rPr>
          <w:color w:val="000000"/>
        </w:rPr>
        <w:t xml:space="preserve">” </w:t>
      </w:r>
      <w:r>
        <w:rPr>
          <w:rFonts w:ascii="Times New Roman;sans-serif" w:hAnsi="Times New Roman;sans-serif"/>
          <w:b w:val="false"/>
          <w:color w:val="000000"/>
          <w:sz w:val="20"/>
        </w:rPr>
        <w:t>means the person acquiring a Grantee’s rights to a grant under the Plan by will or by the laws of descent or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5780"/>
                <wp:effectExtent l="0" t="0" r="0" b="0"/>
                <wp:wrapNone/>
                <wp:docPr id="57" name="Frame5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10.3</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1040"/>
                <wp:effectExtent l="0" t="0" r="0" b="0"/>
                <wp:wrapNone/>
                <wp:docPr id="58" name="Frame5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p>
                          <w:p>
                            <w:pPr>
                              <w:pStyle w:val="TextBody"/>
                              <w:bidi w:val="0"/>
                              <w:spacing w:lineRule="atLeast" w:line="200" w:before="0" w:after="0"/>
                              <w:jc w:val="left"/>
                              <w:rPr/>
                            </w:pPr>
                            <w:r>
                              <w:rPr>
                                <w:rFonts w:ascii="Times New Roman;sans-serif" w:hAnsi="Times New Roman;sans-serif"/>
                                <w:b w:val="false"/>
                                <w:color w:val="000000"/>
                                <w:sz w:val="18"/>
                              </w:rPr>
                              <w:t>ELT - RPSR 2025</w:t>
                            </w:r>
                            <w:r>
                              <w:rPr>
                                <w:color w:val="000000"/>
                              </w:rPr>
                              <w:t>    </w:t>
                            </w: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pPr>
                      <w:r>
                        <w:rPr>
                          <w:rFonts w:ascii="Times New Roman;sans-serif" w:hAnsi="Times New Roman;sans-serif"/>
                          <w:b w:val="false"/>
                          <w:color w:val="000000"/>
                          <w:sz w:val="18"/>
                        </w:rPr>
                        <w:t>ELT - RPSR 2025</w:t>
                      </w:r>
                      <w:r>
                        <w:rPr>
                          <w:color w:val="000000"/>
                        </w:rPr>
                        <w:t>    </w:t>
                      </w:r>
                      <w:r>
                        <w:rPr>
                          <w:rFonts w:ascii="Times New Roman;sans-serif" w:hAnsi="Times New Roman;sans-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4000" w:after="240"/>
        <w:jc w:val="center"/>
        <w:rPr>
          <w:rFonts w:ascii="Times New Roman;sans-serif" w:hAnsi="Times New Roman;sans-serif"/>
          <w:b/>
          <w:color w:val="000000"/>
          <w:sz w:val="28"/>
        </w:rPr>
      </w:pPr>
      <w:r>
        <w:rPr>
          <w:rFonts w:ascii="Times New Roman;sans-serif" w:hAnsi="Times New Roman;sans-serif"/>
          <w:b/>
          <w:color w:val="000000"/>
          <w:sz w:val="28"/>
        </w:rPr>
        <w:t>Severance Plan for</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Elected and Appointed Officers of</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Northrop Grumman Corporation</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As amended and restated effective February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00"/>
          <w:sz w:val="22"/>
        </w:rPr>
        <w:t>1.</w:t>
      </w:r>
      <w:r>
        <w:rPr>
          <w:rFonts w:ascii="Times New Roman;sans-serif" w:hAnsi="Times New Roman;sans-serif"/>
          <w:b/>
          <w:color w:val="000000"/>
          <w:sz w:val="22"/>
        </w:rPr>
        <w:t>Purpose of Plan.</w:t>
      </w:r>
      <w:r>
        <w:rPr>
          <w:color w:val="000000"/>
        </w:rPr>
        <w:t xml:space="preserve"> </w:t>
      </w:r>
      <w:r>
        <w:rPr>
          <w:rFonts w:ascii="Times New Roman;sans-serif" w:hAnsi="Times New Roman;sans-serif"/>
          <w:b w:val="false"/>
          <w:color w:val="000000"/>
          <w:sz w:val="22"/>
        </w:rPr>
        <w:t>The purpose of the Plan is to provide severance benefits for eligible elected and appointed officers of Northrop Grumman Corporation who reside and work in the United States. The terms of this amended and restated Plan are applicable to Qualifying Terminations that occur on or after February 18, 2025.</w:t>
      </w:r>
    </w:p>
    <w:p>
      <w:pPr>
        <w:pStyle w:val="TextBody"/>
        <w:bidi w:val="0"/>
        <w:spacing w:lineRule="auto" w:line="240" w:before="0" w:after="240"/>
        <w:jc w:val="left"/>
        <w:rPr/>
      </w:pPr>
      <w:r>
        <w:rPr>
          <w:rFonts w:ascii="Times New Roman;sans-serif" w:hAnsi="Times New Roman;sans-serif"/>
          <w:b/>
          <w:color w:val="000000"/>
          <w:sz w:val="22"/>
        </w:rPr>
        <w:t>2.</w:t>
      </w:r>
      <w:r>
        <w:rPr>
          <w:rFonts w:ascii="Times New Roman;sans-serif" w:hAnsi="Times New Roman;sans-serif"/>
          <w:b/>
          <w:color w:val="000000"/>
          <w:sz w:val="22"/>
        </w:rPr>
        <w:t>Definitions.</w:t>
      </w:r>
      <w:r>
        <w:rPr>
          <w:color w:val="000000"/>
        </w:rPr>
        <w:t xml:space="preserve"> </w:t>
      </w:r>
      <w:r>
        <w:rPr>
          <w:rFonts w:ascii="Times New Roman;sans-serif" w:hAnsi="Times New Roman;sans-serif"/>
          <w:b w:val="false"/>
          <w:color w:val="000000"/>
          <w:sz w:val="22"/>
        </w:rPr>
        <w:t>The terms defined in this section shall have the meaning given below:</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(a)</w:t>
      </w:r>
      <w:r>
        <w:rPr>
          <w:color w:val="000000"/>
        </w:rPr>
        <w:t>“</w:t>
      </w:r>
      <w:r>
        <w:rPr>
          <w:rFonts w:ascii="Times New Roman;sans-serif" w:hAnsi="Times New Roman;sans-serif"/>
          <w:b/>
          <w:color w:val="000000"/>
          <w:sz w:val="22"/>
        </w:rPr>
        <w:t>Committee”</w:t>
      </w:r>
      <w:r>
        <w:rPr>
          <w:color w:val="000000"/>
        </w:rPr>
        <w:t xml:space="preserve"> </w:t>
      </w:r>
      <w:r>
        <w:rPr>
          <w:rFonts w:ascii="Times New Roman;sans-serif" w:hAnsi="Times New Roman;sans-serif"/>
          <w:b w:val="false"/>
          <w:color w:val="000000"/>
          <w:sz w:val="22"/>
        </w:rPr>
        <w:t>means the Compensation and Human Capital Committee of the Board of Directors of the Company or any successor to the Committee.</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(b)</w:t>
      </w: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(c)</w:t>
      </w: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means Northrop Grumman Corporation.</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(d)</w:t>
      </w:r>
      <w:r>
        <w:rPr>
          <w:color w:val="000000"/>
        </w:rPr>
        <w:t>“</w:t>
      </w:r>
      <w:r>
        <w:rPr>
          <w:rFonts w:ascii="Times New Roman;sans-serif" w:hAnsi="Times New Roman;sans-serif"/>
          <w:b/>
          <w:color w:val="000000"/>
          <w:sz w:val="22"/>
        </w:rPr>
        <w:t>ELT”</w:t>
      </w:r>
      <w:r>
        <w:rPr>
          <w:color w:val="000000"/>
        </w:rPr>
        <w:t xml:space="preserve"> </w:t>
      </w:r>
      <w:r>
        <w:rPr>
          <w:rFonts w:ascii="Times New Roman;sans-serif" w:hAnsi="Times New Roman;sans-serif"/>
          <w:b w:val="false"/>
          <w:color w:val="000000"/>
          <w:sz w:val="22"/>
        </w:rPr>
        <w:t>means the Executive Leadership Team.</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(e)</w:t>
      </w:r>
      <w:r>
        <w:rPr>
          <w:color w:val="000000"/>
        </w:rPr>
        <w:t>“</w:t>
      </w:r>
      <w:r>
        <w:rPr>
          <w:rFonts w:ascii="Times New Roman;sans-serif" w:hAnsi="Times New Roman;sans-serif"/>
          <w:b/>
          <w:color w:val="000000"/>
          <w:sz w:val="22"/>
        </w:rPr>
        <w:t>Disability”</w:t>
      </w:r>
      <w:r>
        <w:rPr>
          <w:color w:val="000000"/>
        </w:rPr>
        <w:t xml:space="preserve"> </w:t>
      </w:r>
      <w:r>
        <w:rPr>
          <w:rFonts w:ascii="Times New Roman;sans-serif" w:hAnsi="Times New Roman;sans-serif"/>
          <w:b w:val="false"/>
          <w:color w:val="000000"/>
          <w:sz w:val="22"/>
        </w:rPr>
        <w:t>means any disability of an Officer recognized as a disability for purposes of the Company’s long-term disability plan, or similar plan later adopted by the Company in place of such plan.</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(f)</w:t>
      </w:r>
      <w:r>
        <w:rPr>
          <w:color w:val="000000"/>
        </w:rPr>
        <w:t>“</w:t>
      </w:r>
      <w:r>
        <w:rPr>
          <w:rFonts w:ascii="Times New Roman;sans-serif" w:hAnsi="Times New Roman;sans-serif"/>
          <w:b/>
          <w:color w:val="000000"/>
          <w:sz w:val="22"/>
        </w:rPr>
        <w:t>Key Employee”</w:t>
      </w:r>
      <w:r>
        <w:rPr>
          <w:color w:val="000000"/>
        </w:rPr>
        <w:t xml:space="preserve"> </w:t>
      </w:r>
      <w:r>
        <w:rPr>
          <w:rFonts w:ascii="Times New Roman;sans-serif" w:hAnsi="Times New Roman;sans-serif"/>
          <w:b w:val="false"/>
          <w:color w:val="000000"/>
          <w:sz w:val="22"/>
        </w:rPr>
        <w:t>means an employee treated as a “specified employee” as of their Separation from Service under Code section 409A(a)(2)(B)(i) of the Company or its affiliate (i.e., a key employee (as defined in Code section 416(i) without regard to paragraph (5) thereof)) if the Company’s stock is publicly traded on an established securities market or otherwise. The Company shall determine in accordance with a uniform Company policy which Officers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(g)</w:t>
      </w:r>
      <w:r>
        <w:rPr>
          <w:color w:val="000000"/>
        </w:rPr>
        <w:t>“</w:t>
      </w:r>
      <w:r>
        <w:rPr>
          <w:rFonts w:ascii="Times New Roman;sans-serif" w:hAnsi="Times New Roman;sans-serif"/>
          <w:b/>
          <w:color w:val="000000"/>
          <w:sz w:val="22"/>
        </w:rPr>
        <w:t>Officer”</w:t>
      </w:r>
      <w:r>
        <w:rPr>
          <w:color w:val="000000"/>
        </w:rPr>
        <w:t xml:space="preserve"> </w:t>
      </w:r>
      <w:r>
        <w:rPr>
          <w:rFonts w:ascii="Times New Roman;sans-serif" w:hAnsi="Times New Roman;sans-serif"/>
          <w:b w:val="false"/>
          <w:color w:val="000000"/>
          <w:sz w:val="22"/>
        </w:rPr>
        <w:t>means an elected or appointed officer of Northrop Grumman Corporation who resides and works in the United States.</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(h)</w:t>
      </w:r>
      <w:r>
        <w:rPr>
          <w:color w:val="000000"/>
        </w:rPr>
        <w:t>“</w:t>
      </w:r>
      <w:r>
        <w:rPr>
          <w:rFonts w:ascii="Times New Roman;sans-serif" w:hAnsi="Times New Roman;sans-serif"/>
          <w:b/>
          <w:color w:val="000000"/>
          <w:sz w:val="22"/>
        </w:rPr>
        <w:t>Plan”</w:t>
      </w:r>
      <w:r>
        <w:rPr>
          <w:color w:val="000000"/>
        </w:rPr>
        <w:t xml:space="preserve"> </w:t>
      </w:r>
      <w:r>
        <w:rPr>
          <w:rFonts w:ascii="Times New Roman;sans-serif" w:hAnsi="Times New Roman;sans-serif"/>
          <w:b w:val="false"/>
          <w:color w:val="000000"/>
          <w:sz w:val="22"/>
        </w:rPr>
        <w:t>means this Severance Plan for Elected and Appointed Officers of Northrop Grumman Corporation, as it may be amended from time to time.</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(i)</w:t>
      </w:r>
      <w:r>
        <w:rPr>
          <w:color w:val="000000"/>
        </w:rPr>
        <w:t>“</w:t>
      </w:r>
      <w:r>
        <w:rPr>
          <w:rFonts w:ascii="Times New Roman;sans-serif" w:hAnsi="Times New Roman;sans-serif"/>
          <w:b/>
          <w:color w:val="000000"/>
          <w:sz w:val="22"/>
        </w:rPr>
        <w:t>Qualifying Termination”</w:t>
      </w:r>
      <w:r>
        <w:rPr>
          <w:color w:val="000000"/>
        </w:rPr>
        <w:t xml:space="preserve"> </w:t>
      </w:r>
      <w:r>
        <w:rPr>
          <w:rFonts w:ascii="Times New Roman;sans-serif" w:hAnsi="Times New Roman;sans-serif"/>
          <w:b w:val="false"/>
          <w:color w:val="000000"/>
          <w:sz w:val="22"/>
        </w:rPr>
        <w:t>means any one of the following (i) an Officer’s involuntary termination of employment with the Company, other than Termination for Cause or mandatory retirement, or (ii) an Officer’s election to terminate employment with the Company in lieu of accepting a downgrade to a non-Officer position or status. “Qualifying Termination” does not include any change in the Officer’s employment status due to any transfer within the Company or to an affiliate, or to a purchaser of assets or a portion of the business of the Company or an affiliate in connection with the purchase, Disability, voluntary termination or normal retirement.</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(j)</w:t>
      </w:r>
      <w:r>
        <w:rPr>
          <w:color w:val="000000"/>
        </w:rPr>
        <w:t>“</w:t>
      </w:r>
      <w:r>
        <w:rPr>
          <w:rFonts w:ascii="Times New Roman;sans-serif" w:hAnsi="Times New Roman;sans-serif"/>
          <w:b/>
          <w:color w:val="000000"/>
          <w:sz w:val="22"/>
        </w:rPr>
        <w:t>Release”</w:t>
      </w:r>
      <w:r>
        <w:rPr>
          <w:color w:val="000000"/>
        </w:rPr>
        <w:t xml:space="preserve"> </w:t>
      </w:r>
      <w:r>
        <w:rPr>
          <w:rFonts w:ascii="Times New Roman;sans-serif" w:hAnsi="Times New Roman;sans-serif"/>
          <w:b w:val="false"/>
          <w:color w:val="000000"/>
          <w:sz w:val="22"/>
        </w:rPr>
        <w:t>means the Separation Agreement and General Release prepared by the Company at the time of the Officer’s termination of employment, which may include such terms as the Company deems appropriate, including certain post-employment restrictions as a condition of receiving benefits under the Plan.</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(k)</w:t>
      </w:r>
      <w:r>
        <w:rPr>
          <w:color w:val="000000"/>
        </w:rPr>
        <w:t>“</w:t>
      </w:r>
      <w:r>
        <w:rPr>
          <w:rFonts w:ascii="Times New Roman;sans-serif" w:hAnsi="Times New Roman;sans-serif"/>
          <w:b/>
          <w:color w:val="000000"/>
          <w:sz w:val="22"/>
        </w:rPr>
        <w:t>Separation from Service”</w:t>
      </w:r>
      <w:r>
        <w:rPr>
          <w:color w:val="000000"/>
        </w:rPr>
        <w:t xml:space="preserve"> </w:t>
      </w:r>
      <w:r>
        <w:rPr>
          <w:rFonts w:ascii="Times New Roman;sans-serif" w:hAnsi="Times New Roman;sans-serif"/>
          <w:b w:val="false"/>
          <w:color w:val="000000"/>
          <w:sz w:val="22"/>
        </w:rPr>
        <w:t xml:space="preserve">or </w:t>
      </w:r>
      <w:r>
        <w:rPr>
          <w:color w:val="000000"/>
        </w:rPr>
        <w:t>“</w:t>
      </w:r>
      <w:r>
        <w:rPr>
          <w:rFonts w:ascii="Times New Roman;sans-serif" w:hAnsi="Times New Roman;sans-serif"/>
          <w:b/>
          <w:color w:val="000000"/>
          <w:sz w:val="22"/>
        </w:rPr>
        <w:t>Separate from Service”</w:t>
      </w:r>
      <w:r>
        <w:rPr>
          <w:color w:val="000000"/>
        </w:rPr>
        <w:t xml:space="preserve"> </w:t>
      </w:r>
      <w:r>
        <w:rPr>
          <w:rFonts w:ascii="Times New Roman;sans-serif" w:hAnsi="Times New Roman;sans-serif"/>
          <w:b w:val="false"/>
          <w:color w:val="000000"/>
          <w:sz w:val="22"/>
        </w:rPr>
        <w:t>means a “separation from service” within the meaning of Code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(l)</w:t>
      </w:r>
      <w:r>
        <w:rPr>
          <w:color w:val="000000"/>
        </w:rPr>
        <w:t>“</w:t>
      </w:r>
      <w:r>
        <w:rPr>
          <w:rFonts w:ascii="Times New Roman;sans-serif" w:hAnsi="Times New Roman;sans-serif"/>
          <w:b/>
          <w:color w:val="000000"/>
          <w:sz w:val="22"/>
        </w:rPr>
        <w:t>Termination for Cause”</w:t>
      </w:r>
      <w:r>
        <w:rPr>
          <w:color w:val="000000"/>
        </w:rPr>
        <w:t xml:space="preserve"> </w:t>
      </w:r>
      <w:r>
        <w:rPr>
          <w:rFonts w:ascii="Times New Roman;sans-serif" w:hAnsi="Times New Roman;sans-serif"/>
          <w:b w:val="false"/>
          <w:color w:val="000000"/>
          <w:sz w:val="22"/>
        </w:rPr>
        <w:t>means an Officer’s termination of employment with the Company because of:</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(i)The continued failure by the Officer to devote reasonable time and effort to the performance of their duties (other than a failure resulting from the Officer’s incapacity due to physical or mental illness) after written demand for improved performance has been delivered to the Officer by the Company which specifically identifies how the Officer has not devoted reasonable time and effort to the performance of their duties;</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(ii)The willful engaging by Officer in misconduct which is substantially injurious to the Company, monetarily or otherwise; or</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(iii)The Officer’s conviction for committing an act of fraud, embezzlement, theft, or other act constituting a felony (other than traffic related offenses or as a result of vicarious liability).</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 Termination for Cause shall not include a termination attributable to:</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(i)Bad judgment or negligence on the part of the Officer other than habitual negligence; or</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(ii)An act or omission believed by the Officer in good faith to have been in or not opposed to the best interests of the Company and reasonably believed by the Officer to be lawful.</w:t>
      </w:r>
    </w:p>
    <w:p>
      <w:pPr>
        <w:pStyle w:val="TextBody"/>
        <w:bidi w:val="0"/>
        <w:spacing w:lineRule="auto" w:line="240" w:before="0" w:after="240"/>
        <w:jc w:val="left"/>
        <w:rPr/>
      </w:pPr>
      <w:r>
        <w:rPr>
          <w:rFonts w:ascii="Times New Roman;sans-serif" w:hAnsi="Times New Roman;sans-serif"/>
          <w:b/>
          <w:color w:val="000000"/>
          <w:sz w:val="22"/>
        </w:rPr>
        <w:t>3.</w:t>
      </w:r>
      <w:r>
        <w:rPr>
          <w:rFonts w:ascii="Times New Roman;sans-serif" w:hAnsi="Times New Roman;sans-serif"/>
          <w:b/>
          <w:color w:val="000000"/>
          <w:sz w:val="22"/>
        </w:rPr>
        <w:t>Eligibility Requirements.</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(a)Benefits under the Plan are subject to the Company’s sole discretion and approval.</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(b)To be considered to receive benefits under the Plan an Officer must meet the following conditions:</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(i)The Officer must experience a Qualifying Termination that results in termination of employment. If, before termination of employment occurs due to the Qualifying Termination event, the Officer voluntarily quits, retires, or experiences a Termination for Cause, the Officer will not receive benefits under this Plan.</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(ii)The Officer must sign the Release. </w:t>
      </w:r>
    </w:p>
    <w:p>
      <w:pPr>
        <w:pStyle w:val="TextBody"/>
        <w:bidi w:val="0"/>
        <w:spacing w:lineRule="auto" w:line="240" w:before="0" w:after="240"/>
        <w:jc w:val="left"/>
        <w:rPr/>
      </w:pPr>
      <w:r>
        <w:rPr>
          <w:rFonts w:ascii="Times New Roman;sans-serif" w:hAnsi="Times New Roman;sans-serif"/>
          <w:b/>
          <w:color w:val="000000"/>
          <w:sz w:val="22"/>
        </w:rPr>
        <w:t>4.</w:t>
      </w:r>
      <w:r>
        <w:rPr>
          <w:rFonts w:ascii="Times New Roman;sans-serif" w:hAnsi="Times New Roman;sans-serif"/>
          <w:b/>
          <w:color w:val="000000"/>
          <w:sz w:val="22"/>
        </w:rPr>
        <w:t>Severance Benefits.</w:t>
      </w:r>
      <w:r>
        <w:rPr>
          <w:color w:val="000000"/>
        </w:rPr>
        <w:t xml:space="preserve"> </w:t>
      </w:r>
      <w:r>
        <w:rPr>
          <w:rFonts w:ascii="Times New Roman;sans-serif" w:hAnsi="Times New Roman;sans-serif"/>
          <w:b w:val="false"/>
          <w:color w:val="000000"/>
          <w:sz w:val="22"/>
        </w:rPr>
        <w:t>Upon the Qualifying Termination of any eligible Officer, the terminated Officer will receive the following benefits under the Plan (subject to the conditions and limitations of the Plan): (a) a lump-sum severance cash payment, (b) an extension of the Officer’s existing medical and dental coverage, (c) a prorated annual cash bonus payment, and (d) certain other fringe benefits.</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Lump-sum Cash Severance Payment</w:t>
      </w:r>
      <w:r>
        <w:rPr>
          <w:rFonts w:ascii="Times New Roman;sans-serif" w:hAnsi="Times New Roman;sans-serif"/>
          <w:b w:val="false"/>
          <w:color w:val="000000"/>
          <w:sz w:val="22"/>
        </w:rPr>
        <w:t>. The designated Appendix describes the lump sum severance benefit available to the Officer.</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Extension of Medical and Dental Benefits</w:t>
      </w:r>
      <w:r>
        <w:rPr>
          <w:rFonts w:ascii="Times New Roman;sans-serif" w:hAnsi="Times New Roman;sans-serif"/>
          <w:b w:val="false"/>
          <w:color w:val="000000"/>
          <w:sz w:val="22"/>
        </w:rPr>
        <w:t xml:space="preserve">. The Company will continue to pay its portion of the Officer’s medical and dental benefits for the period of time following the Officer’s termination date that is specified in the designated Appendix, provided that for the balance of the month that includes the Officer’s termination date and for the immediately following month, the coverage will be at no cost to the Officer. Such continuation coverage shall run concurrently with COBRA continuation coverage (or similar state law). The Officer must continue to pay their portion of the cost of this coverage with after-tax dollars. If rates for active employees increase during this continuation period, the contribution amount will increase proportionately. Also, if medical and dental benefits are modified, terminated or changed in any way for active employees during this continuation period the Officer will also be subject to such modification, termination or change. The Officer will be responsible for imputed income on the difference between their contribution and the applicable rate under the Consolidated Omnibus Budget Reconciliation Act of 1985 (“COBRA”) for the period from (a) the calendar day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2"/>
        </w:rPr>
        <w:t>following the number of weeks immediately following the Separation Date equal to the number of full years of service with the Company since the Officer’s most recent hire or rehire date, to (b) the end of the continuation period specified in the designated Appendix. Following the continuation period specified in the designated Appendix the Officer will be eligible to receive COBRA benefits for any remaining portion of the applicable COBRA period (typically 18 months) at normal COBRA rates. The unreimbursed COBRA period (</w:t>
      </w:r>
      <w:r>
        <w:rPr>
          <w:rFonts w:ascii="Times New Roman;sans-serif" w:hAnsi="Times New Roman;sans-serif"/>
          <w:b w:val="false"/>
          <w:i/>
          <w:color w:val="000000"/>
          <w:sz w:val="22"/>
        </w:rPr>
        <w:t>e.g.</w:t>
      </w:r>
      <w:r>
        <w:rPr>
          <w:rFonts w:ascii="Times New Roman;sans-serif" w:hAnsi="Times New Roman;sans-serif"/>
          <w:b w:val="false"/>
          <w:color w:val="000000"/>
          <w:sz w:val="22"/>
        </w:rPr>
        <w:t>, the period when the Officer must pay full COBRA rates in order to receive COBRA benefits) starts the first day of the month following the end of the continuation period specified in the designated Appendix.</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Example: A Non-ELT Officer with more than two years in the Vice President role receives a layoff notice on April 4, 2025, and their last day of work is April 18, 2025. The Officer’s 18-month COBRA period commences April 19, 2025. The Officer may continue to receive medical and dental coverage from April 19, 2025 through May 31, 2025 at no cost to the Officer. The Officer may continue to receive medical and dental coverage from June 1, 2025 through April 19, 2026, as long as the Officer continues to pay the appropriate active employee contribution and subject to the imputed income requirements. Full COBRA rates will apply to the Officer from April 19, 2026 until the end of the remaining COBRA period on October 18, 2026.</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Officer is not covered by medical and dental benefits at the time of their termination, this section 4(b) will not apply and no continuation coverage will be offered. No health or welfare benefits other than medical and dental will be continued pursuant to the Plan, including but not limited to disability benefits.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medical and dental benefits to be provided or payments to be made under this section 4(b) shall be reduced to the extent that the Officer is eligible for benefits or payments for the same occurrence under another employer sponsored plan to which the Officer is entitled because of their employment subsequent to the Qualifying Termination.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To the extent the benefits under this section 4(b) are, or ever become, taxable to the Officer and to the extent the benefits continue beyond the period in which the Officer would be entitled (or would, but for the Plan, be entitled) to COBRA continuation coverage if the Officer elected such coverage and paid the applicable premiums, the Company shall administer such continuation of coverage consistent with the following additional requirements as set forth in Treas. Reg. § 1.409A-3(i)(1)(iv):</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(i)Officer’s eligibility for benefits in one year will not affect Officer’s eligibility for benefits in any other year;</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(ii)Any reimbursement of eligible expenses will be made on or before the last day of the year following the year in which the expense was incurred; and</w:t>
      </w:r>
    </w:p>
    <w:p>
      <w:pPr>
        <w:pStyle w:val="TextBody"/>
        <w:bidi w:val="0"/>
        <w:spacing w:lineRule="auto" w:line="240" w:before="0" w:after="240"/>
        <w:ind w:left="0" w:right="0" w:hanging="432"/>
        <w:jc w:val="left"/>
        <w:rPr>
          <w:rFonts w:ascii="Times New Roman;sans-serif" w:hAnsi="Times New Roman;sans-serif"/>
          <w:b w:val="false"/>
          <w:color w:val="000000"/>
          <w:sz w:val="22"/>
        </w:rPr>
      </w:pPr>
      <w:r>
        <w:rPr>
          <w:rFonts w:ascii="Times New Roman;sans-serif" w:hAnsi="Times New Roman;sans-serif"/>
          <w:b w:val="false"/>
          <w:color w:val="000000"/>
          <w:sz w:val="22"/>
        </w:rPr>
        <w:t>(iii)Officer’s right to benefits is not subject to liquidation or exchange for another benefit.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the preceding sentence applies and the Officer is a Key Employee, provision of these benefits after the COBRA period shall commence on the first day of the seventh month following the Officer’s Separation from Service (or, if earlier, the first day of the month after the Officer’s death).</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Company Performance Related Payment</w:t>
      </w:r>
      <w:r>
        <w:rPr>
          <w:rFonts w:ascii="Times New Roman;sans-serif" w:hAnsi="Times New Roman;sans-serif"/>
          <w:b w:val="false"/>
          <w:color w:val="000000"/>
          <w:sz w:val="22"/>
        </w:rPr>
        <w:t xml:space="preserve">. The Officer may be eligible for a severance payment equal to a pro-rata portion of the bonus they would have received under the Company annual incentive plan in which they were a participant for the year in which the Qualifying Termination occurred, in addition to the lump-sum cash severance payment described in section 4(a). For this purpose, the pro-rated bonus (if any) will be based on the applicable annual incentive plan payout formula, with any applicable individual performance factor set by the Company as the Company determines, prorated from the beginning of the performance period (January 1st) to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Officer’s date of termination. The severance payment contemplated by this Section 4(c) will be paid when the annual bonuses are paid to active employees between February 15 and March 15 of the year following termination.</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Other Fringe Benefits</w:t>
      </w:r>
      <w:r>
        <w:rPr>
          <w:rFonts w:ascii="Times New Roman;sans-serif" w:hAnsi="Times New Roman;sans-serif"/>
          <w:b w:val="false"/>
          <w:color w:val="000000"/>
          <w:sz w:val="22"/>
        </w:rPr>
        <w:t>. All reimbursements will be within the limits established in the Executive Perquisite Program. These perquisites will cease as of the date of termination except for the following:</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Financial Planning</w:t>
      </w:r>
      <w:r>
        <w:rPr>
          <w:rFonts w:ascii="Times New Roman;sans-serif" w:hAnsi="Times New Roman;sans-serif"/>
          <w:b w:val="false"/>
          <w:color w:val="000000"/>
          <w:sz w:val="22"/>
        </w:rPr>
        <w:t>. If an Officer is eligible for financial planning reimbursement at the time of termination, the Officer will be reimbursed for any financial planning fees as specified in the designated Appendix. For these purposes, “financial planning reimbursement” includes any income tax preparation fee reimbursement the Officer may be entitled to under the financial planning reimbursement terms and conditions applicable to the Officer at the time of termination. The financial planning (including income tax preparation fee) reimbursements contemplated by the Appendices are subject to any other applicable limitations that may apply under the financial planning reimbursement terms and conditions applicable to the Officer at the time of termination (for example, and without limitation, annual caps on amounts that may be used in connection with income tax preparation). All such reimbursements pursuant to this section 4(d)(i) shall be administered consistent with the following additional requirements as set forth in Treas. Reg. § 1.409A-3(i)(1)(iv): (1) Officer’s eligibility for benefits in one year will not affect Officer’s eligibility for benefits in any other year; (2) any reimbursement of eligible expenses will be made on or before the last day of the year following the year in which the expense was incurred; and (3) Officer’s right to benefits is not subject to liquidation or exchange for another benefit. In addition, no reimbursements shall be made to an Officer who is a Key Employee for six months following the Officer’s Separation from Service.</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Outplacement Service</w:t>
      </w:r>
      <w:r>
        <w:rPr>
          <w:rFonts w:ascii="Times New Roman;sans-serif" w:hAnsi="Times New Roman;sans-serif"/>
          <w:b w:val="false"/>
          <w:color w:val="000000"/>
          <w:sz w:val="22"/>
        </w:rPr>
        <w:t>. The Company will make outplacement services available to the Officer through the Company’s outplacement service provider for up to one year after the Officer’s date of termination. All services will be subject to the Company’s current contract with the provider.</w:t>
      </w:r>
    </w:p>
    <w:p>
      <w:pPr>
        <w:pStyle w:val="TextBody"/>
        <w:bidi w:val="0"/>
        <w:spacing w:lineRule="auto" w:line="240" w:before="0" w:after="240"/>
        <w:ind w:left="0" w:right="0" w:hanging="432"/>
        <w:jc w:val="left"/>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Time and Form of Payment</w:t>
      </w:r>
      <w:r>
        <w:rPr>
          <w:rFonts w:ascii="Times New Roman;sans-serif" w:hAnsi="Times New Roman;sans-serif"/>
          <w:b w:val="false"/>
          <w:color w:val="000000"/>
          <w:sz w:val="22"/>
        </w:rPr>
        <w:t xml:space="preserve">. Severance benefits under section 4(a) will be paid to the eligible Officer in a lump sum as soon as practicable following the Officer’s Separation from Service, but in no event beyond thirty (30) days from such date, provided the Officer signs the Release within twenty-one (21) days following the Officer’s Separation from Service. Notwithstanding the foregoing, if the Officer is a Key Employee, the lump sum payment shall be made on or within thirty (30) days after the first day of the seventh month following the Officer’s Separation from Service (or, if earlier, the first day of the month after the Officer’s death), provided the Officer signs the Release within twenty-one (21) days following the Officer’s Separation from Service. This amount will be paid after all regular taxes and withholdings have been deducted. No payment made pursuant to the Plan is eligible compensation under any of the Company’s benefit plans, including without limitation, pension, retirement, savings, or deferred compensation plans. </w:t>
      </w:r>
    </w:p>
    <w:p>
      <w:pPr>
        <w:pStyle w:val="TextBody"/>
        <w:bidi w:val="0"/>
        <w:spacing w:lineRule="auto" w:line="240" w:before="0" w:after="240"/>
        <w:jc w:val="left"/>
        <w:rPr/>
      </w:pPr>
      <w:r>
        <w:rPr>
          <w:rFonts w:ascii="Times New Roman;sans-serif" w:hAnsi="Times New Roman;sans-serif"/>
          <w:b/>
          <w:color w:val="000000"/>
          <w:sz w:val="22"/>
        </w:rPr>
        <w:t>5.</w:t>
      </w:r>
      <w:r>
        <w:rPr>
          <w:rFonts w:ascii="Times New Roman;sans-serif" w:hAnsi="Times New Roman;sans-serif"/>
          <w:b/>
          <w:color w:val="000000"/>
          <w:sz w:val="22"/>
        </w:rPr>
        <w:t>Limitation of Plan Benefits.</w:t>
      </w:r>
      <w:r>
        <w:rPr>
          <w:color w:val="000000"/>
        </w:rPr>
        <w:t xml:space="preserve"> </w:t>
      </w:r>
      <w:r>
        <w:rPr>
          <w:rFonts w:ascii="Times New Roman;sans-serif" w:hAnsi="Times New Roman;sans-serif"/>
          <w:b w:val="false"/>
          <w:color w:val="000000"/>
          <w:sz w:val="22"/>
        </w:rPr>
        <w:t xml:space="preserve">Notwithstanding anything contained in this Plan to the contrary, if upon or following a change in the “ownership or effective control” of the Company or in the “ownership of a substantial portion of the assets” of the Company (each within the meaning of Section 280G of the Code), the tax imposed by Section 4999 of the Code or any similar or successor tax (the “Excise Tax”) applies, solely because of such transaction, to any payments, benefits and/or amounts received by the Officer pursuant to the Plan or otherwise, including, without limitation, any amounts received, or deemed received within the meaning of any provision of the Code, by the Officer as a result of (and not by way of limitation) any automatic vesting, lapse of restrictions and/or accelerated target or performance achievement provisions, or otherwise, applicable to outstanding grants or awards to the Officer under any of the Company’s incentive plans, including without limitation, the 2011 Long-Term Incentive Stock Plan (as amended) and the 2024 Long-Term Incentive Stock Plan (collectively, the “Total Payments”), then the Total Payments shall be reduced (but not below zero) so that the maximum amount of the Total Payments (after reduction) shall be one dollar ($1.00) less than the amount which would cause the Total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Payments to be subject to the Excise Tax; provided that such reduction to the Total Payments shall be made only if the total after-tax benefit to the Officer is greater after giving effect to such reduction than if no such reduction had been made. If such a reduction is required, the Company shall reduce or eliminate the Total Payments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 The preceding provisions of this section 5 shall take precedence over the provisions of any other plan, arrangement or agreement governing the Officer’s rights and entitlements to any benefits or compensation.</w:t>
      </w:r>
    </w:p>
    <w:p>
      <w:pPr>
        <w:pStyle w:val="TextBody"/>
        <w:bidi w:val="0"/>
        <w:spacing w:lineRule="auto" w:line="240" w:before="0" w:after="240"/>
        <w:jc w:val="left"/>
        <w:rPr/>
      </w:pPr>
      <w:r>
        <w:rPr>
          <w:rFonts w:ascii="Times New Roman;sans-serif" w:hAnsi="Times New Roman;sans-serif"/>
          <w:b/>
          <w:color w:val="000000"/>
          <w:sz w:val="22"/>
        </w:rPr>
        <w:t>6.</w:t>
      </w:r>
      <w:r>
        <w:rPr>
          <w:rFonts w:ascii="Times New Roman;sans-serif" w:hAnsi="Times New Roman;sans-serif"/>
          <w:b/>
          <w:color w:val="000000"/>
          <w:sz w:val="22"/>
        </w:rPr>
        <w:t>Offset for Other Benefits Received.</w:t>
      </w:r>
      <w:r>
        <w:rPr>
          <w:color w:val="000000"/>
        </w:rPr>
        <w:t xml:space="preserve"> </w:t>
      </w:r>
      <w:r>
        <w:rPr>
          <w:rFonts w:ascii="Times New Roman;sans-serif" w:hAnsi="Times New Roman;sans-serif"/>
          <w:b w:val="false"/>
          <w:color w:val="000000"/>
          <w:sz w:val="22"/>
        </w:rPr>
        <w:t>The benefits under the Plan are in lieu of, and not in addition to, any other severance or separation benefits for which the Officer is eligible under any Company plan, policy or arrangements (including but not limited to, severance benefits provided under any employment agreement, retention incentive agreement, or similar benefits under any individual change in control agreements, plans, policies, arrangements and change in control agreements of acquired companies or business units) (collectively, “severance plans”). If an Officer receives any benefit under any severance plan, such benefit shall cause a corresponding reduction in benefits under this Plan. If, despite any release that the Officer signs in connection with the Plan, such Officer is later awarded and receives benefits under any other severance plan(s), any benefits that the Officer receives under the Plan will be treated as having been received under those other severance plans for purposes of calculating total benefits received under those other severance plans (that is, benefits under those other severance plans will be reduced by amounts received under the Plan).</w:t>
      </w:r>
    </w:p>
    <w:p>
      <w:pPr>
        <w:pStyle w:val="TextBody"/>
        <w:bidi w:val="0"/>
        <w:spacing w:lineRule="auto" w:line="240" w:before="0" w:after="240"/>
        <w:jc w:val="left"/>
        <w:rPr/>
      </w:pPr>
      <w:r>
        <w:rPr>
          <w:rFonts w:ascii="Times New Roman;sans-serif" w:hAnsi="Times New Roman;sans-serif"/>
          <w:b/>
          <w:color w:val="000000"/>
          <w:sz w:val="22"/>
        </w:rPr>
        <w:t>7.</w:t>
      </w:r>
      <w:r>
        <w:rPr>
          <w:rFonts w:ascii="Times New Roman;sans-serif" w:hAnsi="Times New Roman;sans-serif"/>
          <w:b/>
          <w:color w:val="000000"/>
          <w:sz w:val="22"/>
        </w:rPr>
        <w:t>Administration.</w:t>
      </w:r>
      <w:r>
        <w:rPr>
          <w:color w:val="000000"/>
        </w:rPr>
        <w:t xml:space="preserve"> </w:t>
      </w:r>
      <w:r>
        <w:rPr>
          <w:rFonts w:ascii="Times New Roman;sans-serif" w:hAnsi="Times New Roman;sans-serif"/>
          <w:b w:val="false"/>
          <w:color w:val="000000"/>
          <w:sz w:val="22"/>
        </w:rPr>
        <w:t xml:space="preserve">The Plan shall be administered by the Benefit Plans Administrative Committee (the “Plan Administrator”). The Plan Administrator has sole and absolute discretion to interpret the terms of the Plan, eligibility for benefits, and determine questions of fact. The Plan Administrator may delegate any of its duties or authority to any individual or entity. </w:t>
      </w:r>
    </w:p>
    <w:p>
      <w:pPr>
        <w:pStyle w:val="TextBody"/>
        <w:bidi w:val="0"/>
        <w:spacing w:lineRule="auto" w:line="240" w:before="0" w:after="240"/>
        <w:jc w:val="left"/>
        <w:rPr/>
      </w:pPr>
      <w:r>
        <w:rPr>
          <w:rFonts w:ascii="Times New Roman;sans-serif" w:hAnsi="Times New Roman;sans-serif"/>
          <w:b/>
          <w:color w:val="000000"/>
          <w:sz w:val="22"/>
        </w:rPr>
        <w:t>8.</w:t>
      </w:r>
      <w:r>
        <w:rPr>
          <w:rFonts w:ascii="Times New Roman;sans-serif" w:hAnsi="Times New Roman;sans-serif"/>
          <w:b/>
          <w:color w:val="000000"/>
          <w:sz w:val="22"/>
        </w:rPr>
        <w:t>Claims and Appeals Procedures.</w:t>
      </w:r>
    </w:p>
    <w:p>
      <w:pPr>
        <w:pStyle w:val="TextBody"/>
        <w:bidi w:val="0"/>
        <w:spacing w:lineRule="auto" w:line="288" w:before="0" w:after="240"/>
        <w:jc w:val="left"/>
        <w:rPr/>
      </w:pPr>
      <w:r>
        <w:rPr>
          <w:rFonts w:ascii="Times New Roman;sans-serif" w:hAnsi="Times New Roman;sans-serif"/>
          <w:b w:val="false"/>
          <w:i/>
          <w:color w:val="000000"/>
          <w:sz w:val="22"/>
          <w:u w:val="single"/>
        </w:rPr>
        <w:t>Claims Procedure</w:t>
      </w:r>
      <w:r>
        <w:rPr>
          <w:rFonts w:ascii="Times New Roman;sans-serif" w:hAnsi="Times New Roman;sans-serif"/>
          <w:b w:val="false"/>
          <w:color w:val="000000"/>
          <w:sz w:val="22"/>
        </w:rPr>
        <w:t>. If an Officer believes that they are entitled to benefits under the Plan and has not received them, the Officer or their authorized representative (each, a “claimant”) may file a claim for benefits. The Vice President of Total Rewards decides claims for benefits under the Plan. The claimant must submit the written claim to the following address: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Vice President of Total Rewards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Northrop Grumman Corporation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2980 Fairview Park Drive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Falls Church, VA 22042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letter must state the reason why the claimant believes the Officer is entitled to benefits, and the letter must be received no later than 90 days after the Officer’s termination of employment, or 90 days after a payment was due, whichever comes first.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claim is denied, in whole or in part, the claimant will receive a written response within 90 days. This response will include (i) the reason(s) for the denial, (ii) reference(s) to the specific Plan provisions on which denial is based, (iii) a description of any additional information necessary to perfect the claim, and (iv) a description of the Plan’s claims and appeals procedures. In some cases more than 90 days may be needed to make a decision, in which case the claimant will be notified prior to the expiration of the 90 days that more time is needed to review the claim and the date by which the Plan expects to render the decision. In no event will the extension be for more than an additional 90 days.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i/>
          <w:color w:val="000000"/>
          <w:sz w:val="22"/>
          <w:u w:val="single"/>
        </w:rPr>
        <w:t>Appeal of Denied Claim</w:t>
      </w:r>
      <w:r>
        <w:rPr>
          <w:rFonts w:ascii="Times New Roman;sans-serif" w:hAnsi="Times New Roman;sans-serif"/>
          <w:b w:val="false"/>
          <w:color w:val="000000"/>
          <w:sz w:val="22"/>
        </w:rPr>
        <w:t>. The claimant may appeal a denied claim by filing an appeal with the Benefit Plans Administrative Committee within 60 days after the claim is denied. The written appeal should be sent to the Benefit Plans Administrative Committee at the following address:</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Benefit Plans Administrative Committee</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Northrop Grumman Corporation</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2980 Fairview Park Drive</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Falls Church, VA 22042</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As part of the appeal process the claimant will be given the opportunity to submit written comments and information and be provided, upon request and free or charge, with copies of documents and other information relevant to the claim. The review on appeal will take into account all information submitted on appeal, whether or not it was submitted or considered in the initial benefit determination. A decision will be made on the appeal within 60 days, unless additional time is needed. If more time is needed, the claimant will be notified prior to the expiration of the 60 days that up to an additional 60 days is needed and the date by which the Plan expects to render the decision. If the claim is denied, in whole or in part, on appeal the claimant will receive a written response which will include (i) the reason(s) for the denial, (ii) references to the specific Plan provisions on which the denial is based, (iii) a statement that the claimant is entitled to receive, upon request and free of charge, copies of all documents and other information relevant to the claim on appeal, and (iv) a description of the Plan’s claims and appeals procedures.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If the claim is denied on appeal, the Officer has the right to bring an action under Section 502(a) of the Employee Retirement Income Security Act of 1974, as amended. Any claimant must pursue all claims and appeals procedures described in the Plan document before seeking any other legal recourse with respect to Plan benefits. In addition, any lawsuit must be filed within six months from the date of the denied appeal, or two years from the Officer’s termination date, whichever occurs first.</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exercising their authority and responsibility for deciding claims and appeals, the Vice President of Compensation and Benefits (claims) and the Benefit Plans Administrative Committee (appeals) each have full discretionary authority, including, without limitation, authority to construe the terms of the Plan and to make factual determinations. Their determinations and actions will be conclusive and binding on all persons, and no determination or action will be modified by a court unless the determination or action is proven to be arbitrary or capricious.</w:t>
      </w:r>
    </w:p>
    <w:p>
      <w:pPr>
        <w:pStyle w:val="TextBody"/>
        <w:bidi w:val="0"/>
        <w:spacing w:lineRule="auto" w:line="240" w:before="0" w:after="240"/>
        <w:jc w:val="left"/>
        <w:rPr/>
      </w:pPr>
      <w:r>
        <w:rPr>
          <w:rFonts w:ascii="Times New Roman;sans-serif" w:hAnsi="Times New Roman;sans-serif"/>
          <w:b/>
          <w:color w:val="000000"/>
          <w:sz w:val="22"/>
        </w:rPr>
        <w:t>9.</w:t>
      </w:r>
      <w:r>
        <w:rPr>
          <w:rFonts w:ascii="Times New Roman;sans-serif" w:hAnsi="Times New Roman;sans-serif"/>
          <w:b/>
          <w:color w:val="000000"/>
          <w:sz w:val="22"/>
        </w:rPr>
        <w:t>Amendment.</w:t>
      </w:r>
      <w:r>
        <w:rPr>
          <w:color w:val="000000"/>
        </w:rPr>
        <w:t xml:space="preserve"> </w:t>
      </w:r>
      <w:r>
        <w:rPr>
          <w:rFonts w:ascii="Times New Roman;sans-serif" w:hAnsi="Times New Roman;sans-serif"/>
          <w:b w:val="false"/>
          <w:color w:val="000000"/>
          <w:sz w:val="22"/>
        </w:rPr>
        <w:t>The Company (acting through the Committee) reserves the right at any time to terminate or amend this Plan in any respect and without the consent of any Officer.</w:t>
      </w:r>
    </w:p>
    <w:p>
      <w:pPr>
        <w:pStyle w:val="TextBody"/>
        <w:bidi w:val="0"/>
        <w:spacing w:lineRule="auto" w:line="240" w:before="0" w:after="240"/>
        <w:jc w:val="left"/>
        <w:rPr/>
      </w:pPr>
      <w:r>
        <w:rPr>
          <w:rFonts w:ascii="Times New Roman;sans-serif" w:hAnsi="Times New Roman;sans-serif"/>
          <w:b/>
          <w:color w:val="000000"/>
          <w:sz w:val="22"/>
        </w:rPr>
        <w:t>10.</w:t>
      </w:r>
      <w:r>
        <w:rPr>
          <w:rFonts w:ascii="Times New Roman;sans-serif" w:hAnsi="Times New Roman;sans-serif"/>
          <w:b/>
          <w:color w:val="000000"/>
          <w:sz w:val="22"/>
        </w:rPr>
        <w:t>Unfunded Obligations.</w:t>
      </w:r>
      <w:r>
        <w:rPr>
          <w:color w:val="000000"/>
        </w:rPr>
        <w:t xml:space="preserve"> </w:t>
      </w:r>
      <w:r>
        <w:rPr>
          <w:rFonts w:ascii="Times New Roman;sans-serif" w:hAnsi="Times New Roman;sans-serif"/>
          <w:b w:val="false"/>
          <w:color w:val="000000"/>
          <w:sz w:val="22"/>
        </w:rPr>
        <w:t>All benefits due an Officer or the Officer’s beneficiary under this Plan are unfunded and unsecured and are payable out of the general funds of the Company. The Company, in its sole and absolute discretion, may establish a trust associated with the payment of Plan benefits, provided that the trust does not alter the characterization of the Plan as an “unfunded plan” for purposes of the Employee Retirement Income Security Act, as amended. Any such trust shall make distributions in accordance with the terms of the Plan.</w:t>
      </w:r>
    </w:p>
    <w:p>
      <w:pPr>
        <w:pStyle w:val="TextBody"/>
        <w:bidi w:val="0"/>
        <w:spacing w:lineRule="auto" w:line="240" w:before="0" w:after="240"/>
        <w:jc w:val="left"/>
        <w:rPr/>
      </w:pPr>
      <w:r>
        <w:rPr>
          <w:rFonts w:ascii="Times New Roman;sans-serif" w:hAnsi="Times New Roman;sans-serif"/>
          <w:b/>
          <w:color w:val="000000"/>
          <w:sz w:val="22"/>
        </w:rPr>
        <w:t>11.</w:t>
      </w:r>
      <w:r>
        <w:rPr>
          <w:rFonts w:ascii="Times New Roman;sans-serif" w:hAnsi="Times New Roman;sans-serif"/>
          <w:b/>
          <w:color w:val="000000"/>
          <w:sz w:val="22"/>
        </w:rPr>
        <w:t>Transferability of Benefits.</w:t>
      </w:r>
      <w:r>
        <w:rPr>
          <w:color w:val="000000"/>
        </w:rPr>
        <w:t xml:space="preserve"> </w:t>
      </w:r>
      <w:r>
        <w:rPr>
          <w:rFonts w:ascii="Times New Roman;sans-serif" w:hAnsi="Times New Roman;sans-serif"/>
          <w:b w:val="false"/>
          <w:color w:val="000000"/>
          <w:sz w:val="22"/>
        </w:rPr>
        <w:t>The right to receive payment of any benefits under this Plan shall not be transferred, assigned or pledged except by beneficiary designation or by will or under the laws of descent and distribution.</w:t>
      </w:r>
    </w:p>
    <w:p>
      <w:pPr>
        <w:pStyle w:val="TextBody"/>
        <w:bidi w:val="0"/>
        <w:spacing w:lineRule="auto" w:line="240" w:before="0" w:after="240"/>
        <w:jc w:val="left"/>
        <w:rPr/>
      </w:pPr>
      <w:r>
        <w:rPr>
          <w:rFonts w:ascii="Times New Roman;sans-serif" w:hAnsi="Times New Roman;sans-serif"/>
          <w:b/>
          <w:color w:val="000000"/>
          <w:sz w:val="22"/>
        </w:rPr>
        <w:t>12.</w:t>
      </w:r>
      <w:r>
        <w:rPr>
          <w:rFonts w:ascii="Times New Roman;sans-serif" w:hAnsi="Times New Roman;sans-serif"/>
          <w:b/>
          <w:color w:val="000000"/>
          <w:sz w:val="22"/>
        </w:rPr>
        <w:t>Taxes.</w:t>
      </w:r>
      <w:r>
        <w:rPr>
          <w:color w:val="000000"/>
        </w:rPr>
        <w:t xml:space="preserve"> </w:t>
      </w:r>
      <w:r>
        <w:rPr>
          <w:rFonts w:ascii="Times New Roman;sans-serif" w:hAnsi="Times New Roman;sans-serif"/>
          <w:b w:val="false"/>
          <w:color w:val="000000"/>
          <w:sz w:val="22"/>
        </w:rPr>
        <w:t>The Company may withhold from any payment due under this Plan any taxes required to be withheld under applicable federal, state or local tax laws or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00"/>
          <w:sz w:val="22"/>
        </w:rPr>
        <w:t>13.</w:t>
      </w:r>
      <w:r>
        <w:rPr>
          <w:rFonts w:ascii="Times New Roman;sans-serif" w:hAnsi="Times New Roman;sans-serif"/>
          <w:b/>
          <w:color w:val="000000"/>
          <w:sz w:val="22"/>
        </w:rPr>
        <w:t>Gender.</w:t>
      </w:r>
      <w:r>
        <w:rPr>
          <w:color w:val="000000"/>
        </w:rPr>
        <w:t xml:space="preserve"> </w:t>
      </w:r>
      <w:r>
        <w:rPr>
          <w:rFonts w:ascii="Times New Roman;sans-serif" w:hAnsi="Times New Roman;sans-serif"/>
          <w:b w:val="false"/>
          <w:color w:val="000000"/>
          <w:sz w:val="22"/>
        </w:rPr>
        <w:t>The use of they/their pronouns in this Plan shall be deemed to include all genders.</w:t>
      </w:r>
    </w:p>
    <w:p>
      <w:pPr>
        <w:pStyle w:val="TextBody"/>
        <w:bidi w:val="0"/>
        <w:spacing w:lineRule="auto" w:line="240" w:before="0" w:after="240"/>
        <w:jc w:val="left"/>
        <w:rPr/>
      </w:pPr>
      <w:r>
        <w:rPr>
          <w:rFonts w:ascii="Times New Roman;sans-serif" w:hAnsi="Times New Roman;sans-serif"/>
          <w:b/>
          <w:color w:val="000000"/>
          <w:sz w:val="22"/>
        </w:rPr>
        <w:t>14.</w:t>
      </w:r>
      <w:r>
        <w:rPr>
          <w:rFonts w:ascii="Times New Roman;sans-serif" w:hAnsi="Times New Roman;sans-serif"/>
          <w:b/>
          <w:color w:val="000000"/>
          <w:sz w:val="22"/>
        </w:rPr>
        <w:t>Construction, Governing Laws.</w:t>
      </w:r>
      <w:r>
        <w:rPr>
          <w:color w:val="000000"/>
        </w:rPr>
        <w:t xml:space="preserve"> </w:t>
      </w:r>
      <w:r>
        <w:rPr>
          <w:rFonts w:ascii="Times New Roman;sans-serif" w:hAnsi="Times New Roman;sans-serif"/>
          <w:b w:val="false"/>
          <w:color w:val="000000"/>
          <w:sz w:val="22"/>
        </w:rPr>
        <w:t>The Plan is intended as (i) a pension plan within the meaning of Section 3(2) of the Employee Retirement Income Security Act, as amended (“ERISA”), and (ii) an unfunded pension plan maintained by the Company for a select group of management or highly compensated employees within the meaning of Department of Labor Regulation 2520.104-23 promulgated under ERISA, and Sections 201, 301, and 401 of ERISA. Nothing in this Plan creates a vested right to benefits in any employee or any right to be retained in the employ of the Company. Except to the extent that federal legislation or applicable regulation shall govern, the validity and construction of the Plan and each of its provisions shall be subject to and governed by the laws of the Commonwealth of Virginia.</w:t>
      </w:r>
    </w:p>
    <w:p>
      <w:pPr>
        <w:pStyle w:val="TextBody"/>
        <w:bidi w:val="0"/>
        <w:spacing w:lineRule="auto" w:line="240" w:before="0" w:after="240"/>
        <w:jc w:val="left"/>
        <w:rPr/>
      </w:pPr>
      <w:r>
        <w:rPr>
          <w:rFonts w:ascii="Times New Roman;sans-serif" w:hAnsi="Times New Roman;sans-serif"/>
          <w:b/>
          <w:color w:val="000000"/>
          <w:sz w:val="22"/>
        </w:rPr>
        <w:t>15.</w:t>
      </w:r>
      <w:r>
        <w:rPr>
          <w:rFonts w:ascii="Times New Roman;sans-serif" w:hAnsi="Times New Roman;sans-serif"/>
          <w:b/>
          <w:color w:val="000000"/>
          <w:sz w:val="22"/>
        </w:rPr>
        <w:t>Severability.</w:t>
      </w:r>
      <w:r>
        <w:rPr>
          <w:color w:val="000000"/>
        </w:rPr>
        <w:t xml:space="preserve"> </w:t>
      </w:r>
      <w:r>
        <w:rPr>
          <w:rFonts w:ascii="Times New Roman;sans-serif" w:hAnsi="Times New Roman;sans-serif"/>
          <w:b w:val="false"/>
          <w:color w:val="000000"/>
          <w:sz w:val="22"/>
        </w:rPr>
        <w:t>If any provision of the Plan is found, held or deemed to be void, unlawful or unenforceable under any applicable statute or other controlling law, the remainder of the Plan shall continue in full force and effect.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IN WITNESS WHEREOF, this Amendment and Restatement is hereby executed by a duly authorized officer on this 18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February,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NORTHROP GRUMMAN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Melanie Heitkamp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Corporate Vice President &amp; Chief Human Resources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Appendix for Eligible  ELT Officers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Officer employed as the Chief Executive Officer, subject to the terms and conditions of the Plan and the Release: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4(a). Lump-sum cash severance payment equal to one and one half (1.5) times the sum of (A) one year’s base salary as in effect on the effective date of the Officer’s termination, plus (B) the Officer’s target annual bonus established under the Company’s annual incentive plan in which they were a participant for the fiscal year in which the date of termination occurs. No supplemental bonuses or other bonuses will be combined with the Officer’s annual bonus for purposes of this computation.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4(b). Medical and dental benefits continuation period of eighteen months.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4(d)(i). Financial planning fees incurred after their termination date reimbursed: (i) any fees incurred in the year in which the date of termination occurs, provided that the total financial planning reimbursement for such year (including fees incurred before and after the date of termination) shall not exceed $30,000 and (ii) any fees incurred in the year following the year in which the date of termination occurs, provided that the total financial planning reimbursement for such year shall not exceed $30,000.</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Officers employed at the ELT Level (other than the Chief Executive Officer), subject to the terms and conditions of the Plan and the Release: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4(a). Lump-sum cash severance payment equal to the sum of (A) one year’s base salary as in effect on the effective date of the Officer’s termination, plus (B) the Officer’s target annual bonus established under the Company’s annual incentive plan in which they were a participant for the fiscal year in which the date of termination occurs. No supplemental bonuses or other bonuses will be combined with the Officer’s annual bonus for purposes of this computation.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4(b). Medical and dental benefits continuation period of 12 months.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4(d)(i). Financial planning fees incurred after their termination date reimbursed: (i) any fees incurred in the year in which the date of termination occurs, provided that the total financial planning reimbursement for such year (including fees incurred before and after the date of termination) shall not exceed $18,500 and (ii) any fees incurred in the year following the year in which the date of termination occurs, provided that the total financial planning reimbursement for such year shall not exceed $18,500.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Appendix for Eligible Non-ELT Officers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Officers employed at the Vice President Level (i) on February 18, 2025 or (ii) for two or more full calendar years immediately preceding the termination, subject to the terms and conditions of the Plan and the Release: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4(a). Lump-sum cash severance payment equal to the sum of (A) one year’s base salary as in effect on the effective date of the Officer’s termination, plus (B) the Officer’s target annual bonus established under the Company’s annual incentive plan in which they were a participant for the fiscal year in which the date of termination occurs. No supplemental bonuses or other bonuses will be combined with the Officer’s annual bonus for purposes of this computation.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4(b). Medical and dental benefits continuation period of 12 months.</w:t>
      </w:r>
    </w:p>
    <w:p>
      <w:pPr>
        <w:pStyle w:val="TextBody"/>
        <w:bidi w:val="0"/>
        <w:spacing w:lineRule="auto" w:line="288" w:before="0" w:after="240"/>
        <w:jc w:val="left"/>
        <w:rPr/>
      </w:pPr>
      <w:r>
        <w:rPr>
          <w:rFonts w:ascii="Times New Roman;sans-serif" w:hAnsi="Times New Roman;sans-serif"/>
          <w:b w:val="false"/>
          <w:color w:val="000000"/>
          <w:sz w:val="22"/>
        </w:rPr>
        <w:t>Section 4(d)(i). Financial planning fees incurred after their termination date reimbursed: (i) any fees incurred in the year in which the date of termination occurs, provided that the total financial planning reimbursement for such year (including fees incurred before and after the date of termination) shall not exceed</w:t>
      </w:r>
      <w:r>
        <w:rPr>
          <w:color w:val="000000"/>
        </w:rPr>
        <w:t xml:space="preserve"> </w:t>
      </w:r>
      <w:r>
        <w:rPr>
          <w:rFonts w:ascii="Times New Roman;sans-serif" w:hAnsi="Times New Roman;sans-serif"/>
          <w:b w:val="false"/>
          <w:color w:val="000000"/>
          <w:sz w:val="22"/>
        </w:rPr>
        <w:t>$7,500 and (ii) any fees incurred in the year following the year in which the date of termination occurs, provided that the total financial planning reimbursement for such year shall not exceed $7,500.</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Officers employed at the Vice President Level (i) who commenced service at the Vice President Level after February 18, 2025 and (ii) served at the Vice President Level for less than two full calendar years immediately preceding the termination, subject to the terms and conditions of the Plan and the Release: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4(a). Lump-sum cash severance payment equal to the sum of (A) six months’ base salary as in effect on the effective date of the Officer’s termination; and (B) 50% of the Officer’s target annual bonus established under the Company’s annual incentive plan in which they were a participant for the fiscal year in which the date of termination occurs. No supplemental bonuses or other bonuses will be combined with the Officer’s annual bonus for purposes of this computation.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Section 4(b). Medical and dental benefits continuation period of six months.</w:t>
      </w:r>
    </w:p>
    <w:p>
      <w:pPr>
        <w:pStyle w:val="TextBody"/>
        <w:bidi w:val="0"/>
        <w:spacing w:lineRule="auto" w:line="288" w:before="0" w:after="240"/>
        <w:jc w:val="left"/>
        <w:rPr/>
      </w:pPr>
      <w:r>
        <w:rPr>
          <w:rFonts w:ascii="Times New Roman;sans-serif" w:hAnsi="Times New Roman;sans-serif"/>
          <w:b w:val="false"/>
          <w:color w:val="000000"/>
          <w:sz w:val="22"/>
        </w:rPr>
        <w:t>Section 4(d)(i). Financial planning fees incurred after their termination date reimbursed: (i) any fees incurred in the year in which the date of termination occurs, provided that the total financial planning reimbursement for such year (including fees incurred before and after the date of termination) shall not exceed</w:t>
      </w:r>
      <w:r>
        <w:rPr>
          <w:color w:val="000000"/>
        </w:rPr>
        <w:t xml:space="preserve"> </w:t>
      </w:r>
      <w:r>
        <w:rPr>
          <w:rFonts w:ascii="Times New Roman;sans-serif" w:hAnsi="Times New Roman;sans-serif"/>
          <w:b w:val="false"/>
          <w:color w:val="000000"/>
          <w:sz w:val="22"/>
        </w:rPr>
        <w:t>$7,500 and (ii) any fees incurred in the year following the year in which the date of termination occurs, provided that the total financial planning reimbursement for such year shall not exceed $7,500.</w:t>
      </w:r>
    </w:p>
    <w:p>
      <w:pPr>
        <w:pStyle w:val="TextBody"/>
        <w:bidi w:val="0"/>
        <w:spacing w:before="0" w:after="240"/>
        <w:ind w:left="0" w:right="0" w:firstLine="720"/>
        <w:jc w:val="left"/>
        <w:rPr/>
      </w:pPr>
      <w:r>
        <w:rPr/>
      </w:r>
    </w:p>
    <w:p>
      <w:pPr>
        <w:pStyle w:val="TextBody"/>
        <w:bidi w:val="0"/>
        <w:spacing w:before="0" w:after="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10.4</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GROUP PERSONAL EXCESS LIABILITY POLICY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240"/>
        <w:ind w:left="0" w:right="0" w:hanging="4"/>
        <w:jc w:val="left"/>
        <w:rPr>
          <w:rFonts w:ascii="Times New Roman;sans-serif" w:hAnsi="Times New Roman;sans-serif"/>
          <w:b w:val="false"/>
          <w:color w:val="000000"/>
          <w:sz w:val="20"/>
        </w:rPr>
      </w:pPr>
      <w:r>
        <w:rPr>
          <w:rFonts w:ascii="Times New Roman;sans-serif" w:hAnsi="Times New Roman;sans-serif"/>
          <w:b w:val="false"/>
          <w:color w:val="000000"/>
          <w:sz w:val="20"/>
        </w:rPr>
        <w:t>This is your Chubb Group Personal Excess Liability Policy. Together with your Coverage Summary Certificate, it explains your coverages and other conditions of your insurance in detail.</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is a contract between you and us. READ YOUR POLICY CAREFULLY and keep it in a safe place.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Agreement</w:t>
      </w:r>
    </w:p>
    <w:p>
      <w:pPr>
        <w:pStyle w:val="TextBody"/>
        <w:bidi w:val="0"/>
        <w:spacing w:lineRule="auto" w:line="288" w:before="0" w:after="240"/>
        <w:ind w:left="0" w:right="0" w:hanging="11"/>
        <w:jc w:val="left"/>
        <w:rPr>
          <w:rFonts w:ascii="Times New Roman;sans-serif" w:hAnsi="Times New Roman;sans-serif"/>
          <w:b w:val="false"/>
          <w:color w:val="000000"/>
          <w:sz w:val="20"/>
        </w:rPr>
      </w:pPr>
      <w:r>
        <w:rPr>
          <w:rFonts w:ascii="Times New Roman;sans-serif" w:hAnsi="Times New Roman;sans-serif"/>
          <w:b w:val="false"/>
          <w:color w:val="000000"/>
          <w:sz w:val="20"/>
        </w:rPr>
        <w:t>We agree to provide the insurance described in this policy in return for the premium paid by you or the Sponsoring Organization and your compliance with the policy conditions.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240"/>
        <w:ind w:left="0" w:right="0" w:hanging="7"/>
        <w:jc w:val="left"/>
        <w:rPr>
          <w:rFonts w:ascii="Times New Roman;sans-serif" w:hAnsi="Times New Roman;sans-serif"/>
          <w:b w:val="false"/>
          <w:color w:val="000000"/>
          <w:sz w:val="20"/>
        </w:rPr>
      </w:pPr>
      <w:r>
        <w:rPr>
          <w:rFonts w:ascii="Times New Roman;sans-serif" w:hAnsi="Times New Roman;sans-serif"/>
          <w:b w:val="false"/>
          <w:color w:val="000000"/>
          <w:sz w:val="20"/>
        </w:rPr>
        <w:t>In this policy, we use words in their plain English meaning. Words with special meanings are defined in the part of the policy where they are used. The few defined terms used throughout the policy are defined here:</w:t>
      </w:r>
    </w:p>
    <w:p>
      <w:pPr>
        <w:pStyle w:val="TextBody"/>
        <w:bidi w:val="0"/>
        <w:spacing w:lineRule="auto" w:line="288" w:before="0" w:after="240"/>
        <w:jc w:val="left"/>
        <w:rPr/>
      </w:pPr>
      <w:r>
        <w:rPr>
          <w:rFonts w:ascii="Times New Roman;sans-serif" w:hAnsi="Times New Roman;sans-serif"/>
          <w:b/>
          <w:color w:val="000000"/>
          <w:sz w:val="20"/>
        </w:rPr>
        <w:t xml:space="preserve">You </w:t>
      </w:r>
      <w:r>
        <w:rPr>
          <w:rFonts w:ascii="Times New Roman;sans-serif" w:hAnsi="Times New Roman;sans-serif"/>
          <w:b w:val="false"/>
          <w:color w:val="000000"/>
          <w:sz w:val="20"/>
        </w:rPr>
        <w:t>means the individual who is a member of the Defined Group shown as the Insured named in the Coverage Summary Certificate.</w:t>
      </w:r>
    </w:p>
    <w:p>
      <w:pPr>
        <w:pStyle w:val="TextBody"/>
        <w:bidi w:val="0"/>
        <w:spacing w:lineRule="auto" w:line="288" w:before="0" w:after="240"/>
        <w:jc w:val="left"/>
        <w:rPr/>
      </w:pPr>
      <w:r>
        <w:rPr>
          <w:rFonts w:ascii="Times New Roman;sans-serif" w:hAnsi="Times New Roman;sans-serif"/>
          <w:b/>
          <w:color w:val="000000"/>
          <w:sz w:val="20"/>
        </w:rPr>
        <w:t xml:space="preserve">Spouse </w:t>
      </w:r>
      <w:r>
        <w:rPr>
          <w:rFonts w:ascii="Times New Roman;sans-serif" w:hAnsi="Times New Roman;sans-serif"/>
          <w:b w:val="false"/>
          <w:color w:val="000000"/>
          <w:sz w:val="20"/>
        </w:rPr>
        <w:t>means a partner in marriage or a partner in a civil union recognized under state law and who lives with you.</w:t>
      </w:r>
    </w:p>
    <w:p>
      <w:pPr>
        <w:pStyle w:val="TextBody"/>
        <w:bidi w:val="0"/>
        <w:spacing w:lineRule="auto" w:line="288" w:before="0" w:after="240"/>
        <w:jc w:val="left"/>
        <w:rPr/>
      </w:pPr>
      <w:r>
        <w:rPr>
          <w:rFonts w:ascii="Times New Roman;sans-serif" w:hAnsi="Times New Roman;sans-serif"/>
          <w:b/>
          <w:color w:val="000000"/>
          <w:sz w:val="20"/>
        </w:rPr>
        <w:t xml:space="preserve">We and us </w:t>
      </w:r>
      <w:r>
        <w:rPr>
          <w:rFonts w:ascii="Times New Roman;sans-serif" w:hAnsi="Times New Roman;sans-serif"/>
          <w:b w:val="false"/>
          <w:color w:val="000000"/>
          <w:sz w:val="20"/>
        </w:rPr>
        <w:t>mean the insurance company named in the Coverage Summary.</w:t>
      </w:r>
    </w:p>
    <w:p>
      <w:pPr>
        <w:pStyle w:val="TextBody"/>
        <w:bidi w:val="0"/>
        <w:spacing w:lineRule="auto" w:line="288" w:before="0" w:after="240"/>
        <w:ind w:left="0" w:right="0" w:hanging="4"/>
        <w:jc w:val="left"/>
        <w:rPr/>
      </w:pPr>
      <w:r>
        <w:rPr>
          <w:rFonts w:ascii="Times New Roman;sans-serif" w:hAnsi="Times New Roman;sans-serif"/>
          <w:b/>
          <w:color w:val="000000"/>
          <w:sz w:val="20"/>
        </w:rPr>
        <w:t xml:space="preserve">Family member </w:t>
      </w:r>
      <w:r>
        <w:rPr>
          <w:rFonts w:ascii="Times New Roman;sans-serif" w:hAnsi="Times New Roman;sans-serif"/>
          <w:b w:val="false"/>
          <w:color w:val="000000"/>
          <w:sz w:val="20"/>
        </w:rPr>
        <w:t>means your spouse or domestic partner or other relative who lives with you, or any other person under 25 in your care or your relative's care who lives with you or a student under 25 in your care temporarily away at school who is a resident of your household.</w:t>
      </w:r>
    </w:p>
    <w:p>
      <w:pPr>
        <w:pStyle w:val="TextBody"/>
        <w:bidi w:val="0"/>
        <w:spacing w:lineRule="auto" w:line="288" w:before="0" w:after="240"/>
        <w:ind w:left="0" w:right="0" w:firstLine="3"/>
        <w:jc w:val="left"/>
        <w:rPr/>
      </w:pPr>
      <w:r>
        <w:rPr>
          <w:rFonts w:ascii="Times New Roman;sans-serif" w:hAnsi="Times New Roman;sans-serif"/>
          <w:b/>
          <w:color w:val="000000"/>
          <w:sz w:val="20"/>
        </w:rPr>
        <w:t xml:space="preserve">Domestic partner </w:t>
      </w:r>
      <w:r>
        <w:rPr>
          <w:rFonts w:ascii="Times New Roman;sans-serif" w:hAnsi="Times New Roman;sans-serif"/>
          <w:b w:val="false"/>
          <w:color w:val="000000"/>
          <w:sz w:val="20"/>
        </w:rPr>
        <w:t>means a person in a legal or personal relationship with you, who lives with you and shares a common domestic life with you, and meeting all of the benefits eligibility criteria as defined by the Sponsoring Organization.</w:t>
      </w:r>
    </w:p>
    <w:p>
      <w:pPr>
        <w:pStyle w:val="TextBody"/>
        <w:bidi w:val="0"/>
        <w:spacing w:lineRule="auto" w:line="288" w:before="0" w:after="240"/>
        <w:ind w:left="0" w:right="0" w:hanging="3"/>
        <w:jc w:val="left"/>
        <w:rPr/>
      </w:pPr>
      <w:r>
        <w:rPr>
          <w:rFonts w:ascii="Times New Roman;sans-serif" w:hAnsi="Times New Roman;sans-serif"/>
          <w:b/>
          <w:color w:val="000000"/>
          <w:sz w:val="20"/>
        </w:rPr>
        <w:t xml:space="preserve">Sponsoring Organization </w:t>
      </w:r>
      <w:r>
        <w:rPr>
          <w:rFonts w:ascii="Times New Roman;sans-serif" w:hAnsi="Times New Roman;sans-serif"/>
          <w:b w:val="false"/>
          <w:color w:val="000000"/>
          <w:sz w:val="20"/>
        </w:rPr>
        <w:t>means the entity, corporation, partnership or sole proprietorship sponsoring and defining the criteria for qualification as an Insured.</w:t>
      </w:r>
    </w:p>
    <w:p>
      <w:pPr>
        <w:pStyle w:val="TextBody"/>
        <w:bidi w:val="0"/>
        <w:spacing w:lineRule="auto" w:line="288" w:before="0" w:after="240"/>
        <w:jc w:val="left"/>
        <w:rPr/>
      </w:pPr>
      <w:r>
        <w:rPr>
          <w:rFonts w:ascii="Times New Roman;sans-serif" w:hAnsi="Times New Roman;sans-serif"/>
          <w:b/>
          <w:color w:val="000000"/>
          <w:sz w:val="20"/>
        </w:rPr>
        <w:t xml:space="preserve">Policy </w:t>
      </w:r>
      <w:r>
        <w:rPr>
          <w:rFonts w:ascii="Times New Roman;sans-serif" w:hAnsi="Times New Roman;sans-serif"/>
          <w:b w:val="false"/>
          <w:color w:val="000000"/>
          <w:sz w:val="20"/>
        </w:rPr>
        <w:t>means your entire Group Personal Excess Liability Policy, including the Coverage Summary Certificate.</w:t>
      </w:r>
    </w:p>
    <w:p>
      <w:pPr>
        <w:pStyle w:val="TextBody"/>
        <w:bidi w:val="0"/>
        <w:spacing w:lineRule="auto" w:line="288" w:before="0" w:after="240"/>
        <w:jc w:val="left"/>
        <w:rPr/>
      </w:pPr>
      <w:r>
        <w:rPr>
          <w:rFonts w:ascii="Times New Roman;sans-serif" w:hAnsi="Times New Roman;sans-serif"/>
          <w:b/>
          <w:color w:val="000000"/>
          <w:sz w:val="20"/>
        </w:rPr>
        <w:t xml:space="preserve">Coverage Summary Certificate </w:t>
      </w:r>
      <w:r>
        <w:rPr>
          <w:rFonts w:ascii="Times New Roman;sans-serif" w:hAnsi="Times New Roman;sans-serif"/>
          <w:b w:val="false"/>
          <w:color w:val="000000"/>
          <w:sz w:val="20"/>
        </w:rPr>
        <w:t>means the most recent Coverage Summary Certificate we issued to you, including any endorsements.</w:t>
      </w:r>
    </w:p>
    <w:p>
      <w:pPr>
        <w:pStyle w:val="TextBody"/>
        <w:bidi w:val="0"/>
        <w:spacing w:lineRule="auto" w:line="288" w:before="0" w:after="240"/>
        <w:ind w:left="0" w:right="0" w:hanging="1"/>
        <w:jc w:val="left"/>
        <w:rPr/>
      </w:pPr>
      <w:r>
        <w:rPr>
          <w:rFonts w:ascii="Times New Roman;sans-serif" w:hAnsi="Times New Roman;sans-serif"/>
          <w:b/>
          <w:color w:val="000000"/>
          <w:sz w:val="20"/>
        </w:rPr>
        <w:t xml:space="preserve">Occurrence </w:t>
      </w:r>
      <w:r>
        <w:rPr>
          <w:rFonts w:ascii="Times New Roman;sans-serif" w:hAnsi="Times New Roman;sans-serif"/>
          <w:b w:val="false"/>
          <w:color w:val="000000"/>
          <w:sz w:val="20"/>
        </w:rPr>
        <w:t xml:space="preserve">means: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 accident which begins within the policy period resulting in bodily injury, mental anguish, mental injury, or property damage; or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 offense first committed within the policy period resulting in:</w:t>
      </w:r>
    </w:p>
    <w:p>
      <w:pPr>
        <w:pStyle w:val="TextBody"/>
        <w:bidi w:val="0"/>
        <w:spacing w:lineRule="auto" w:line="288" w:before="0" w:after="240"/>
        <w:ind w:left="0" w:right="0" w:hanging="360"/>
        <w:jc w:val="left"/>
        <w:rPr/>
      </w:pPr>
      <w:r>
        <w:rPr>
          <w:rFonts w:ascii="Courier New;monospace" w:hAnsi="Courier New;monospace"/>
          <w:b w:val="false"/>
          <w:color w:val="000000"/>
          <w:sz w:val="20"/>
        </w:rPr>
        <w:t>o</w:t>
      </w:r>
      <w:r>
        <w:rPr>
          <w:rFonts w:ascii="Times New Roman;sans-serif" w:hAnsi="Times New Roman;sans-serif"/>
          <w:b w:val="false"/>
          <w:color w:val="000000"/>
          <w:sz w:val="20"/>
        </w:rPr>
        <w:t>false arrest, false imprisonment, or wrongful detention;</w:t>
      </w:r>
    </w:p>
    <w:p>
      <w:pPr>
        <w:pStyle w:val="TextBody"/>
        <w:bidi w:val="0"/>
        <w:spacing w:lineRule="auto" w:line="288" w:before="0" w:after="240"/>
        <w:ind w:left="0" w:right="0" w:hanging="360"/>
        <w:jc w:val="left"/>
        <w:rPr/>
      </w:pPr>
      <w:r>
        <w:rPr>
          <w:rFonts w:ascii="Courier New;monospace" w:hAnsi="Courier New;monospace"/>
          <w:b w:val="false"/>
          <w:color w:val="000000"/>
          <w:sz w:val="20"/>
        </w:rPr>
        <w:t>o</w:t>
      </w:r>
      <w:r>
        <w:rPr>
          <w:rFonts w:ascii="Times New Roman;sans-serif" w:hAnsi="Times New Roman;sans-serif"/>
          <w:b w:val="false"/>
          <w:color w:val="000000"/>
          <w:sz w:val="20"/>
        </w:rPr>
        <w:t>wrongful entry into, wrongful eviction of a person from or other violation of a person's right of private occupancy of a residence premises or room that such person occupies, if committed by or on behalf of its landlord, lessor or owner;</w:t>
      </w:r>
    </w:p>
    <w:p>
      <w:pPr>
        <w:pStyle w:val="TextBody"/>
        <w:bidi w:val="0"/>
        <w:spacing w:lineRule="auto" w:line="288" w:before="0" w:after="240"/>
        <w:ind w:left="0" w:right="0" w:hanging="360"/>
        <w:jc w:val="left"/>
        <w:rPr/>
      </w:pPr>
      <w:r>
        <w:rPr>
          <w:rFonts w:ascii="Courier New;monospace" w:hAnsi="Courier New;monospace"/>
          <w:b w:val="false"/>
          <w:color w:val="000000"/>
          <w:sz w:val="20"/>
        </w:rPr>
        <w:t>o</w:t>
      </w:r>
      <w:r>
        <w:rPr>
          <w:rFonts w:ascii="Times New Roman;sans-serif" w:hAnsi="Times New Roman;sans-serif"/>
          <w:b w:val="false"/>
          <w:color w:val="000000"/>
          <w:sz w:val="20"/>
        </w:rPr>
        <w:t>malicious prosecution; or</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rFonts w:ascii="Courier New;monospace" w:hAnsi="Courier New;monospace"/>
          <w:b w:val="false"/>
          <w:color w:val="000000"/>
          <w:sz w:val="20"/>
        </w:rPr>
        <w:t>o</w:t>
      </w:r>
      <w:r>
        <w:rPr>
          <w:rFonts w:ascii="Times New Roman;sans-serif" w:hAnsi="Times New Roman;sans-serif"/>
          <w:b w:val="false"/>
          <w:color w:val="000000"/>
          <w:sz w:val="20"/>
        </w:rPr>
        <w:t>libel, slander, defamation of character, or invasion of privacy,</w:t>
      </w:r>
    </w:p>
    <w:p>
      <w:pPr>
        <w:pStyle w:val="TextBody"/>
        <w:bidi w:val="0"/>
        <w:spacing w:lineRule="auto" w:line="288" w:before="0" w:after="240"/>
        <w:ind w:left="0" w:right="0" w:hanging="1"/>
        <w:jc w:val="left"/>
        <w:rPr>
          <w:color w:val="000000"/>
        </w:rPr>
      </w:pPr>
      <w:r>
        <w:rPr>
          <w:color w:val="000000"/>
        </w:rPr>
        <w:t>    </w:t>
      </w:r>
      <w:r>
        <w:rPr>
          <w:rFonts w:ascii="Times New Roman;sans-serif" w:hAnsi="Times New Roman;sans-serif"/>
          <w:b w:val="false"/>
          <w:color w:val="000000"/>
          <w:sz w:val="20"/>
        </w:rPr>
        <w:t>to which this insurance applies. Continuous or repeated exposure to substantially the same general conditions unless excluded is considered to be one occurrence.</w:t>
      </w:r>
    </w:p>
    <w:p>
      <w:pPr>
        <w:pStyle w:val="TextBody"/>
        <w:bidi w:val="0"/>
        <w:spacing w:lineRule="auto" w:line="288" w:before="0" w:after="240"/>
        <w:ind w:left="0" w:right="0" w:hanging="3"/>
        <w:jc w:val="left"/>
        <w:rPr/>
      </w:pPr>
      <w:r>
        <w:rPr>
          <w:rFonts w:ascii="Times New Roman;sans-serif" w:hAnsi="Times New Roman;sans-serif"/>
          <w:b/>
          <w:color w:val="000000"/>
          <w:sz w:val="20"/>
        </w:rPr>
        <w:t xml:space="preserve">Business </w:t>
      </w:r>
      <w:r>
        <w:rPr>
          <w:rFonts w:ascii="Times New Roman;sans-serif" w:hAnsi="Times New Roman;sans-serif"/>
          <w:b w:val="false"/>
          <w:color w:val="000000"/>
          <w:sz w:val="20"/>
        </w:rPr>
        <w:t>means any employment, trade, occupation, profession, or farm operation including the raising or care of animals or any activities intended to realize a benefit or financial gain engaged in on a full-time, part-time or occasional basis.</w:t>
      </w:r>
    </w:p>
    <w:p>
      <w:pPr>
        <w:pStyle w:val="TextBody"/>
        <w:bidi w:val="0"/>
        <w:spacing w:lineRule="auto" w:line="288" w:before="0" w:after="240"/>
        <w:ind w:left="0" w:right="0" w:firstLine="4"/>
        <w:jc w:val="left"/>
        <w:rPr/>
      </w:pPr>
      <w:r>
        <w:rPr>
          <w:rFonts w:ascii="Times New Roman;sans-serif" w:hAnsi="Times New Roman;sans-serif"/>
          <w:b/>
          <w:color w:val="000000"/>
          <w:sz w:val="20"/>
        </w:rPr>
        <w:t xml:space="preserve">Defined Group </w:t>
      </w:r>
      <w:r>
        <w:rPr>
          <w:rFonts w:ascii="Times New Roman;sans-serif" w:hAnsi="Times New Roman;sans-serif"/>
          <w:b w:val="false"/>
          <w:color w:val="000000"/>
          <w:sz w:val="20"/>
        </w:rPr>
        <w:t>means those individuals meeting the criteria for qualification as an Insured as defined by the Sponsoring Organization and accepted by us.</w:t>
      </w:r>
    </w:p>
    <w:p>
      <w:pPr>
        <w:pStyle w:val="TextBody"/>
        <w:bidi w:val="0"/>
        <w:spacing w:lineRule="auto" w:line="288" w:before="0" w:after="240"/>
        <w:ind w:left="0" w:right="0" w:firstLine="2"/>
        <w:jc w:val="both"/>
        <w:rPr/>
      </w:pPr>
      <w:r>
        <w:rPr>
          <w:rFonts w:ascii="Times New Roman;sans-serif" w:hAnsi="Times New Roman;sans-serif"/>
          <w:b/>
          <w:color w:val="000000"/>
          <w:sz w:val="20"/>
        </w:rPr>
        <w:t xml:space="preserve">Follow form </w:t>
      </w:r>
      <w:r>
        <w:rPr>
          <w:rFonts w:ascii="Times New Roman;sans-serif" w:hAnsi="Times New Roman;sans-serif"/>
          <w:b w:val="false"/>
          <w:color w:val="000000"/>
          <w:sz w:val="20"/>
        </w:rPr>
        <w:t xml:space="preserve">means we cover damages to the extent they are both covered under the Required Primary Underlying Insurance and, not excluded under this 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had been purchased from us. </w:t>
      </w:r>
    </w:p>
    <w:p>
      <w:pPr>
        <w:pStyle w:val="TextBody"/>
        <w:bidi w:val="0"/>
        <w:spacing w:lineRule="auto" w:line="288" w:before="0" w:after="240"/>
        <w:ind w:left="0" w:right="0" w:firstLine="2"/>
        <w:jc w:val="both"/>
        <w:rPr/>
      </w:pPr>
      <w:r>
        <w:rPr>
          <w:rFonts w:ascii="Times New Roman;sans-serif" w:hAnsi="Times New Roman;sans-serif"/>
          <w:b/>
          <w:color w:val="000000"/>
          <w:sz w:val="19"/>
        </w:rPr>
        <w:t>Covered person</w:t>
      </w:r>
      <w:r>
        <w:rPr>
          <w:color w:val="000000"/>
        </w:rPr>
        <w:t xml:space="preserve"> </w:t>
      </w:r>
      <w:r>
        <w:rPr>
          <w:rFonts w:ascii="Times New Roman;sans-serif" w:hAnsi="Times New Roman;sans-serif"/>
          <w:b w:val="false"/>
          <w:color w:val="000000"/>
          <w:sz w:val="19"/>
        </w:rPr>
        <w:t>means: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you or a family member;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person using a vehicle or watercraft covered under this policy with permission from you or a family member with respect to their legal responsibility arising out of its use;</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person or organization with respect to their legal responsibility for covered acts or omissions of you or a family member;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combination of the above.</w:t>
      </w:r>
    </w:p>
    <w:p>
      <w:pPr>
        <w:pStyle w:val="TextBody"/>
        <w:bidi w:val="0"/>
        <w:spacing w:lineRule="auto" w:line="288" w:before="0" w:after="240"/>
        <w:ind w:left="0" w:right="0" w:firstLine="18"/>
        <w:jc w:val="left"/>
        <w:rPr/>
      </w:pPr>
      <w:r>
        <w:rPr>
          <w:rFonts w:ascii="Times New Roman;sans-serif" w:hAnsi="Times New Roman;sans-serif"/>
          <w:b/>
          <w:color w:val="000000"/>
          <w:sz w:val="20"/>
        </w:rPr>
        <w:t xml:space="preserve">Damages </w:t>
      </w:r>
      <w:r>
        <w:rPr>
          <w:rFonts w:ascii="Times New Roman;sans-serif" w:hAnsi="Times New Roman;sans-serif"/>
          <w:b w:val="false"/>
          <w:color w:val="000000"/>
          <w:sz w:val="20"/>
        </w:rPr>
        <w:t>mean the sum that is paid or is payable to satisfy a claim settled by us or resolved by judicial procedure or by a compromise we agree to in writing.</w:t>
      </w:r>
    </w:p>
    <w:p>
      <w:pPr>
        <w:pStyle w:val="TextBody"/>
        <w:bidi w:val="0"/>
        <w:spacing w:lineRule="auto" w:line="288" w:before="0" w:after="240"/>
        <w:jc w:val="left"/>
        <w:rPr/>
      </w:pPr>
      <w:r>
        <w:rPr>
          <w:rFonts w:ascii="Times New Roman;sans-serif" w:hAnsi="Times New Roman;sans-serif"/>
          <w:b/>
          <w:color w:val="000000"/>
          <w:sz w:val="20"/>
        </w:rPr>
        <w:t xml:space="preserve">Personal injury </w:t>
      </w:r>
      <w:r>
        <w:rPr>
          <w:rFonts w:ascii="Times New Roman;sans-serif" w:hAnsi="Times New Roman;sans-serif"/>
          <w:b w:val="false"/>
          <w:color w:val="000000"/>
          <w:sz w:val="20"/>
        </w:rPr>
        <w:t>means the following injuries, and resulting death:</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bodily injury;</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mental anguish, or mental injury;</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false arrest, false imprisonment, or wrongful detention;</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wrongful entry into, wrongful eviction of a person from or other violation of a person's right of private occupancy of a residence premises or room that such person occupies, if committed by or on behalf of its landlord, lessor or owner;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malicious prosecution;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libel, slander, defamation of character, or invasion of privacy.</w:t>
      </w:r>
    </w:p>
    <w:p>
      <w:pPr>
        <w:pStyle w:val="TextBody"/>
        <w:bidi w:val="0"/>
        <w:spacing w:lineRule="auto" w:line="288" w:before="0" w:after="240"/>
        <w:ind w:left="0" w:right="0" w:hanging="3"/>
        <w:jc w:val="left"/>
        <w:rPr/>
      </w:pPr>
      <w:r>
        <w:rPr>
          <w:rFonts w:ascii="Times New Roman;sans-serif" w:hAnsi="Times New Roman;sans-serif"/>
          <w:b/>
          <w:color w:val="000000"/>
          <w:sz w:val="20"/>
        </w:rPr>
        <w:t xml:space="preserve">Bodily injury </w:t>
      </w:r>
      <w:r>
        <w:rPr>
          <w:rFonts w:ascii="Times New Roman;sans-serif" w:hAnsi="Times New Roman;sans-serif"/>
          <w:b w:val="false"/>
          <w:color w:val="000000"/>
          <w:sz w:val="20"/>
        </w:rPr>
        <w:t>means physical bodily harm, including sickness or disease that results from it, and required care, loss of services and resulting death.</w:t>
      </w:r>
    </w:p>
    <w:p>
      <w:pPr>
        <w:pStyle w:val="TextBody"/>
        <w:bidi w:val="0"/>
        <w:spacing w:lineRule="auto" w:line="288" w:before="0" w:after="240"/>
        <w:jc w:val="both"/>
        <w:rPr/>
      </w:pPr>
      <w:r>
        <w:rPr>
          <w:rFonts w:ascii="Times New Roman;sans-serif" w:hAnsi="Times New Roman;sans-serif"/>
          <w:b/>
          <w:color w:val="000000"/>
          <w:sz w:val="20"/>
        </w:rPr>
        <w:t xml:space="preserve">Property damage </w:t>
      </w:r>
      <w:r>
        <w:rPr>
          <w:rFonts w:ascii="Times New Roman;sans-serif" w:hAnsi="Times New Roman;sans-serif"/>
          <w:b w:val="false"/>
          <w:color w:val="000000"/>
          <w:sz w:val="20"/>
        </w:rPr>
        <w:t>means physical injury to or destruction of tangible property and the resulting loss of its use. Tangible property includes the cost of recreating or replacing stocks, bonds, deeds, mortgages, bank deposits, and similar instruments, but does not include the value represented by such instruments.</w:t>
      </w:r>
    </w:p>
    <w:p>
      <w:pPr>
        <w:pStyle w:val="TextBody"/>
        <w:bidi w:val="0"/>
        <w:spacing w:lineRule="auto" w:line="288" w:before="0" w:after="240"/>
        <w:jc w:val="left"/>
        <w:rPr/>
      </w:pPr>
      <w:r>
        <w:rPr>
          <w:rFonts w:ascii="Times New Roman;sans-serif" w:hAnsi="Times New Roman;sans-serif"/>
          <w:b/>
          <w:color w:val="000000"/>
          <w:sz w:val="20"/>
        </w:rPr>
        <w:t xml:space="preserve">Registered vehicle </w:t>
      </w:r>
      <w:r>
        <w:rPr>
          <w:rFonts w:ascii="Times New Roman;sans-serif" w:hAnsi="Times New Roman;sans-serif"/>
          <w:b w:val="false"/>
          <w:color w:val="000000"/>
          <w:sz w:val="20"/>
        </w:rPr>
        <w:t>means any motorized land vehicle not described in "unregistered vehicle."</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0"/>
        </w:rPr>
        <w:t xml:space="preserve">Unregistered vehicle </w:t>
      </w:r>
      <w:r>
        <w:rPr>
          <w:rFonts w:ascii="Times New Roman;sans-serif" w:hAnsi="Times New Roman;sans-serif"/>
          <w:b w:val="false"/>
          <w:color w:val="000000"/>
          <w:sz w:val="20"/>
        </w:rPr>
        <w:t>means: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motorized land vehicle not designed for or required to be registered for use on public roads;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motorized land vehicle which is in dead storage at your residence;</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motorized land vehicle used to service a residence premises or other grounds;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motorized land vehicle used to assist the handicapped that is not designed for or required to be registered for use on public roads;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golf carts.</w:t>
      </w:r>
    </w:p>
    <w:p>
      <w:pPr>
        <w:pStyle w:val="TextBody"/>
        <w:bidi w:val="0"/>
        <w:spacing w:lineRule="auto" w:line="288" w:before="0" w:after="240"/>
        <w:jc w:val="left"/>
        <w:rPr/>
      </w:pPr>
      <w:r>
        <w:rPr>
          <w:rFonts w:ascii="Times New Roman;sans-serif" w:hAnsi="Times New Roman;sans-serif"/>
          <w:b/>
          <w:color w:val="000000"/>
          <w:sz w:val="20"/>
        </w:rPr>
        <w:t>Employment discrimination</w:t>
      </w:r>
      <w:r>
        <w:rPr>
          <w:color w:val="000000"/>
        </w:rPr>
        <w:t xml:space="preserve"> </w:t>
      </w:r>
      <w:r>
        <w:rPr>
          <w:rFonts w:ascii="Times New Roman;sans-serif" w:hAnsi="Times New Roman;sans-serif"/>
          <w:b w:val="false"/>
          <w:color w:val="000000"/>
          <w:sz w:val="20"/>
        </w:rPr>
        <w:t>means a violation of applicable employment discrimination law protecting any 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pStyle w:val="TextBody"/>
        <w:bidi w:val="0"/>
        <w:spacing w:lineRule="auto" w:line="288" w:before="0" w:after="240"/>
        <w:jc w:val="left"/>
        <w:rPr/>
      </w:pPr>
      <w:r>
        <w:rPr>
          <w:rFonts w:ascii="Times New Roman;sans-serif" w:hAnsi="Times New Roman;sans-serif"/>
          <w:b/>
          <w:color w:val="000000"/>
          <w:sz w:val="20"/>
        </w:rPr>
        <w:t>Reputation management firm</w:t>
      </w:r>
      <w:r>
        <w:rPr>
          <w:color w:val="000000"/>
        </w:rPr>
        <w:t xml:space="preserve"> </w:t>
      </w:r>
      <w:r>
        <w:rPr>
          <w:rFonts w:ascii="Times New Roman;sans-serif" w:hAnsi="Times New Roman;sans-serif"/>
          <w:b w:val="false"/>
          <w:color w:val="000000"/>
          <w:sz w:val="20"/>
        </w:rPr>
        <w:t>means: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public relations consulting firm;</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security consulting firm;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media management consulting firm.</w:t>
      </w:r>
    </w:p>
    <w:p>
      <w:pPr>
        <w:pStyle w:val="TextBody"/>
        <w:bidi w:val="0"/>
        <w:spacing w:lineRule="auto" w:line="288" w:before="0" w:after="240"/>
        <w:jc w:val="left"/>
        <w:rPr/>
      </w:pPr>
      <w:r>
        <w:rPr>
          <w:rFonts w:ascii="Times New Roman;sans-serif" w:hAnsi="Times New Roman;sans-serif"/>
          <w:b/>
          <w:color w:val="000000"/>
          <w:sz w:val="20"/>
        </w:rPr>
        <w:t>Residential staff</w:t>
      </w:r>
      <w:r>
        <w:rPr>
          <w:color w:val="000000"/>
        </w:rPr>
        <w:t xml:space="preserve"> </w:t>
      </w:r>
      <w:r>
        <w:rPr>
          <w:rFonts w:ascii="Times New Roman;sans-serif" w:hAnsi="Times New Roman;sans-serif"/>
          <w:b w:val="false"/>
          <w:color w:val="000000"/>
          <w:sz w:val="20"/>
        </w:rPr>
        <w:t>means your or a family member's employee who is: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employed by you or a family member, or through a firm under an agreement with you or a family member, to perform duties related only to a covered person's domestic, personal, or business pursuits covered under this part of your policy;</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compensated for labor or services directed by you or a family member;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employed regularly to work 15 or more hours per week.</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staff includes a temporary worker. Residential staff does not include an independent contractor or any covered person. </w:t>
      </w:r>
    </w:p>
    <w:p>
      <w:pPr>
        <w:pStyle w:val="TextBody"/>
        <w:bidi w:val="0"/>
        <w:spacing w:lineRule="auto" w:line="288" w:before="0" w:after="240"/>
        <w:jc w:val="left"/>
        <w:rPr/>
      </w:pPr>
      <w:r>
        <w:rPr>
          <w:rFonts w:ascii="Times New Roman;sans-serif" w:hAnsi="Times New Roman;sans-serif"/>
          <w:b/>
          <w:color w:val="000000"/>
          <w:sz w:val="20"/>
        </w:rPr>
        <w:t>Temporary worker</w:t>
      </w:r>
      <w:r>
        <w:rPr>
          <w:color w:val="000000"/>
        </w:rPr>
        <w:t xml:space="preserve"> </w:t>
      </w:r>
      <w:r>
        <w:rPr>
          <w:rFonts w:ascii="Times New Roman;sans-serif" w:hAnsi="Times New Roman;sans-serif"/>
          <w:b w:val="false"/>
          <w:color w:val="000000"/>
          <w:sz w:val="20"/>
        </w:rPr>
        <w:t>means your or a family member's employee who is: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employed by you or a family member, or through a firm under an agreement with you or a family member, to perform duties related only to a covered person's domestic, personal, or business pursuits covered under this part of your policy;</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compensated for labor or services directed by you or a family member;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employed to work 15 or more hours per week to substitute for any residential staff on leave or to meet seasonal or short-term workload demands for 30 consecutive days or longer during a 6 month period.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Temporary worker does not include an independent contractor or any covered person.</w:t>
      </w:r>
    </w:p>
    <w:p>
      <w:pPr>
        <w:pStyle w:val="TextBody"/>
        <w:bidi w:val="0"/>
        <w:spacing w:lineRule="auto" w:line="288" w:before="0" w:after="240"/>
        <w:jc w:val="left"/>
        <w:rPr/>
      </w:pPr>
      <w:r>
        <w:rPr>
          <w:rFonts w:ascii="Times New Roman;sans-serif" w:hAnsi="Times New Roman;sans-serif"/>
          <w:b/>
          <w:color w:val="000000"/>
          <w:sz w:val="20"/>
        </w:rPr>
        <w:t>Wrongful employment act</w:t>
      </w:r>
      <w:r>
        <w:rPr>
          <w:color w:val="000000"/>
        </w:rPr>
        <w:t xml:space="preserve"> </w:t>
      </w:r>
      <w:r>
        <w:rPr>
          <w:rFonts w:ascii="Times New Roman;sans-serif" w:hAnsi="Times New Roman;sans-serif"/>
          <w:b w:val="false"/>
          <w:color w:val="000000"/>
          <w:sz w:val="20"/>
        </w:rPr>
        <w:t>means any employment discrimination, sexual harassment, or wrongful termination of any residential staff actually or allegedly committed or attempted by you or a family member, while acting in the capacity as an employer, that violates applicable employment law of any federal, state, or local statute, regulation, ordinance, or common law of the United States of America, its territories or possessions, or Puerto Rico.</w:t>
      </w:r>
    </w:p>
    <w:p>
      <w:pPr>
        <w:pStyle w:val="TextBody"/>
        <w:bidi w:val="0"/>
        <w:spacing w:lineRule="auto" w:line="288" w:before="0" w:after="240"/>
        <w:jc w:val="left"/>
        <w:rPr/>
      </w:pPr>
      <w:r>
        <w:rPr>
          <w:rFonts w:ascii="Times New Roman;sans-serif" w:hAnsi="Times New Roman;sans-serif"/>
          <w:b/>
          <w:color w:val="000000"/>
          <w:sz w:val="20"/>
        </w:rPr>
        <w:t>Wrongful termination</w:t>
      </w:r>
      <w:r>
        <w:rPr>
          <w:color w:val="000000"/>
        </w:rPr>
        <w:t xml:space="preserve"> </w:t>
      </w:r>
      <w:r>
        <w:rPr>
          <w:rFonts w:ascii="Times New Roman;sans-serif" w:hAnsi="Times New Roman;sans-serif"/>
          <w:b w:val="false"/>
          <w:color w:val="000000"/>
          <w:sz w:val="20"/>
        </w:rPr>
        <w:t>means: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actual or constructive termination of employment of any residential staff by you or a family member in violation of applicable employment law;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breach of duty and care when you or a family member terminates an employment relationship with any residential staff.</w:t>
      </w:r>
    </w:p>
    <w:p>
      <w:pPr>
        <w:pStyle w:val="TextBody"/>
        <w:bidi w:val="0"/>
        <w:spacing w:lineRule="auto" w:line="288" w:before="0" w:after="240"/>
        <w:jc w:val="left"/>
        <w:rPr/>
      </w:pPr>
      <w:r>
        <w:rPr>
          <w:rFonts w:ascii="Times New Roman;sans-serif" w:hAnsi="Times New Roman;sans-serif"/>
          <w:b/>
          <w:color w:val="000000"/>
          <w:sz w:val="20"/>
        </w:rPr>
        <w:t>Sexual harassment</w:t>
      </w:r>
      <w:r>
        <w:rPr>
          <w:color w:val="000000"/>
        </w:rPr>
        <w:t xml:space="preserve"> </w:t>
      </w:r>
      <w:r>
        <w:rPr>
          <w:rFonts w:ascii="Times New Roman;sans-serif" w:hAnsi="Times New Roman;sans-serif"/>
          <w:b w:val="false"/>
          <w:color w:val="000000"/>
          <w:sz w:val="20"/>
        </w:rPr>
        <w:t>as it relates solely to a wrongful employment act means unwelcome sexual advances, requests for sexual favors, or other conduct of a sexual nature that: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is made a condition of employment of any residential staff;</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is used as a basis for employment decisions;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interferes with performance of any residential staff's duties;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creates an intimidating, hostile, or offensive working environment.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GROUP PERSONAL EXCESS COVERAGE</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This part of your Group Personal Excess Liability Policy provides you or a family member with liability coverage in excess of your underlying insurance anywhere in the world unless stated otherwise or an exclusion applies.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Payment for a Loss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Amount of coverage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coverage for liability is shown in the Coverage Summary Certificate. We will pay on your behalf up to that amount for covered damages from any one occurrence, regardless of how many claims, homes, vehicles, watercraft, or people are involved in the occurrence.</w:t>
      </w:r>
    </w:p>
    <w:p>
      <w:pPr>
        <w:pStyle w:val="TextBody"/>
        <w:bidi w:val="0"/>
        <w:spacing w:lineRule="auto" w:line="288" w:before="0" w:after="240"/>
        <w:jc w:val="both"/>
        <w:rPr/>
      </w:pPr>
      <w:r>
        <w:rPr>
          <w:rFonts w:ascii="Times New Roman;sans-serif" w:hAnsi="Times New Roman;sans-serif"/>
          <w:b w:val="false"/>
          <w:color w:val="000000"/>
          <w:sz w:val="20"/>
        </w:rPr>
        <w:t xml:space="preserve">Any costs we pay for legal expenses (see </w:t>
      </w:r>
      <w:r>
        <w:rPr>
          <w:rFonts w:ascii="Times New Roman;sans-serif" w:hAnsi="Times New Roman;sans-serif"/>
          <w:b/>
          <w:color w:val="000000"/>
          <w:sz w:val="20"/>
        </w:rPr>
        <w:t xml:space="preserve">Defense coverages) </w:t>
      </w:r>
      <w:r>
        <w:rPr>
          <w:rFonts w:ascii="Times New Roman;sans-serif" w:hAnsi="Times New Roman;sans-serif"/>
          <w:b w:val="false"/>
          <w:color w:val="000000"/>
          <w:sz w:val="20"/>
        </w:rPr>
        <w:t>are in addition to the amount of coverage.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Underlying Insurance</w:t>
      </w:r>
    </w:p>
    <w:p>
      <w:pPr>
        <w:pStyle w:val="TextBody"/>
        <w:bidi w:val="0"/>
        <w:spacing w:lineRule="auto" w:line="288" w:before="0" w:after="240"/>
        <w:ind w:left="0" w:right="0" w:hanging="16"/>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only for covered damages in excess of all underlying insurance covering those damages, even if the underlying coverage is for more than the minimum amount.</w:t>
      </w:r>
    </w:p>
    <w:p>
      <w:pPr>
        <w:pStyle w:val="TextBody"/>
        <w:bidi w:val="0"/>
        <w:spacing w:lineRule="auto" w:line="288" w:before="0" w:after="240"/>
        <w:ind w:left="0" w:right="0" w:firstLine="4"/>
        <w:jc w:val="both"/>
        <w:rPr>
          <w:rFonts w:ascii="Times New Roman;sans-serif" w:hAnsi="Times New Roman;sans-serif"/>
          <w:b w:val="false"/>
          <w:color w:val="000000"/>
          <w:sz w:val="20"/>
        </w:rPr>
      </w:pPr>
      <w:r>
        <w:rPr>
          <w:rFonts w:ascii="Times New Roman;sans-serif" w:hAnsi="Times New Roman;sans-serif"/>
          <w:b w:val="false"/>
          <w:color w:val="000000"/>
          <w:sz w:val="20"/>
        </w:rPr>
        <w:t>"Underlying insurance" includes all liability coverage that applies to the covered damages, except for other insurance purchased in excess of this policy.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Required primary underlying insurance</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Certificate, covering your personal liability and to the extent you or a family member has such liability exposures, all vehicles and watercraft less than 43 feet or with 300 engine rated horsepower or less you or your family members own, or rent for longer than 60 consecutive days, or have furnished for longer than 60 consecutive days, as follows:</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Personal liability(homeowners) for personal injury and property damage in the minimum amount of $300,000 each occurrence.</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Registered vehicles in the minimum amount of: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$250,000/$500,000 bodily injury and $100,000 property damage;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$300,000/$300,000 bodily injury and $100,000 property damage;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 single limit each occurrence.</w:t>
      </w:r>
    </w:p>
    <w:p>
      <w:pPr>
        <w:pStyle w:val="TextBody"/>
        <w:bidi w:val="0"/>
        <w:spacing w:before="0" w:after="0"/>
        <w:jc w:val="both"/>
        <w:rPr/>
      </w:pPr>
      <w:r>
        <w:rPr/>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Unregistered vehicles in the minimum amount of $300,000 bodily injury and property damage each occurrence. </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Registered vehicles with less than four wheels and motorhomes in the minimum amount of: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$250,000/$500,000 bodily injury and $100,000 property damage;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$300,000/$300,000 bodily injury and $100,000 property damage;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 single limit each occurrence.</w:t>
      </w:r>
    </w:p>
    <w:p>
      <w:pPr>
        <w:pStyle w:val="TextBody"/>
        <w:bidi w:val="0"/>
        <w:spacing w:before="0" w:after="0"/>
        <w:jc w:val="both"/>
        <w:rPr/>
      </w:pPr>
      <w:r>
        <w:rPr/>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Watercraft less than 26 feet and 50 engine rated horsepower or less for bodily injury and property damage in the minimum amount of $300,000 each occurrence.</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Watercraft 26 feet or longer up to 42 feet or watercraft more than 50 engine rated horsepower up to 300 engine rated horsepower for bodily injury and property damage in the minimum amount of $500,000 each occurrence. (Coverage is excluded for watercraft longer than 42 feet or with more than 300 engine rated horsepower).</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Uninsured motorists/underinsured motorist protection in the minimum amounts of:</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$250,000/$500,000 bodily injury;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$300,000/$300,000 bodily injury;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 single limit each occurrence.</w:t>
      </w:r>
    </w:p>
    <w:p>
      <w:pPr>
        <w:pStyle w:val="TextBody"/>
        <w:bidi w:val="0"/>
        <w:spacing w:before="0" w:after="0"/>
        <w:jc w:val="both"/>
        <w:rPr/>
      </w:pPr>
      <w:r>
        <w:rPr/>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you and your family members residing outside of the United States, the required primary underlying insurance limits of liability shall be the same 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 country for all coverages up to the minimum required primary underlying limits shown in the Coverage Summary Certificate under Required Primary Underlying Insurance.</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pStyle w:val="TextBody"/>
        <w:bidi w:val="0"/>
        <w:spacing w:lineRule="auto" w:line="288" w:before="0" w:after="240"/>
        <w:ind w:left="0" w:right="0" w:hanging="7"/>
        <w:jc w:val="both"/>
        <w:rPr>
          <w:rFonts w:ascii="Times New Roman;sans-serif" w:hAnsi="Times New Roman;sans-serif"/>
          <w:b w:val="false"/>
          <w:color w:val="000000"/>
          <w:sz w:val="20"/>
        </w:rPr>
      </w:pPr>
      <w:r>
        <w:rPr>
          <w:rFonts w:ascii="Times New Roman;sans-serif" w:hAnsi="Times New Roman;sans-serif"/>
          <w:b w:val="false"/>
          <w:color w:val="000000"/>
          <w:sz w:val="20"/>
        </w:rPr>
        <w:t>You must also give notice of losses and otherwise cooperate and comply with the terms and conditions of such primary underlying insurance.</w:t>
      </w:r>
    </w:p>
    <w:p>
      <w:pPr>
        <w:pStyle w:val="TextBody"/>
        <w:bidi w:val="0"/>
        <w:spacing w:lineRule="auto" w:line="288" w:before="0" w:after="240"/>
        <w:ind w:left="0" w:right="0" w:hanging="7"/>
        <w:jc w:val="both"/>
        <w:rPr>
          <w:rFonts w:ascii="Times New Roman;sans-serif" w:hAnsi="Times New Roman;sans-serif"/>
          <w:b/>
          <w:color w:val="000000"/>
          <w:sz w:val="20"/>
        </w:rPr>
      </w:pPr>
      <w:r>
        <w:rPr>
          <w:rFonts w:ascii="Times New Roman;sans-serif" w:hAnsi="Times New Roman;sans-serif"/>
          <w:b/>
          <w:color w:val="000000"/>
          <w:sz w:val="20"/>
        </w:rPr>
        <w:t>Group Personal Excess Liability Coverage</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We cover damages a covered person is legally obligated to pay for personal injury or property damage, caused by an occurrence: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in excess of damages covered by the underlying insurance; or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from the first dollar of damage where no underlying insurance is required under this policy and no underlying insurance exists; or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from the first dollar of damage where underlying insurance is required under this policy but no coverage is provided by the underlying insurance for a particular occurrence;</w:t>
      </w:r>
    </w:p>
    <w:p>
      <w:pPr>
        <w:pStyle w:val="TextBody"/>
        <w:bidi w:val="0"/>
        <w:spacing w:before="0" w:after="0"/>
        <w:jc w:val="both"/>
        <w:rPr/>
      </w:pPr>
      <w:r>
        <w:rPr/>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stated otherwise or an exclusion applies. </w:t>
      </w:r>
    </w:p>
    <w:p>
      <w:pPr>
        <w:pStyle w:val="TextBody"/>
        <w:bidi w:val="0"/>
        <w:spacing w:lineRule="auto" w:line="288" w:before="0" w:after="240"/>
        <w:ind w:left="0" w:right="0" w:hanging="1"/>
        <w:jc w:val="both"/>
        <w:rPr/>
      </w:pPr>
      <w:r>
        <w:rPr>
          <w:rFonts w:ascii="Times New Roman;sans-serif" w:hAnsi="Times New Roman;sans-serif"/>
          <w:b w:val="false"/>
          <w:color w:val="000000"/>
          <w:sz w:val="20"/>
        </w:rPr>
        <w:t xml:space="preserve">Exclusions to this coverage are described in </w:t>
      </w:r>
      <w:r>
        <w:rPr>
          <w:rFonts w:ascii="Times New Roman;sans-serif" w:hAnsi="Times New Roman;sans-serif"/>
          <w:b/>
          <w:color w:val="000000"/>
          <w:sz w:val="20"/>
        </w:rPr>
        <w:t>Exclusions</w:t>
      </w:r>
      <w:r>
        <w:rPr>
          <w:rFonts w:ascii="Times New Roman;sans-serif" w:hAnsi="Times New Roman;sans-serif"/>
          <w:b w:val="false"/>
          <w:color w:val="000000"/>
          <w:sz w:val="20"/>
        </w:rPr>
        <w:t xml:space="preserve">. </w:t>
      </w:r>
    </w:p>
    <w:p>
      <w:pPr>
        <w:pStyle w:val="TextBody"/>
        <w:bidi w:val="0"/>
        <w:spacing w:lineRule="auto" w:line="288" w:before="0" w:after="240"/>
        <w:ind w:left="0" w:right="0" w:hanging="1"/>
        <w:jc w:val="both"/>
        <w:rPr>
          <w:rFonts w:ascii="Times New Roman;sans-serif" w:hAnsi="Times New Roman;sans-serif"/>
          <w:b/>
          <w:color w:val="000000"/>
          <w:sz w:val="20"/>
        </w:rPr>
      </w:pPr>
      <w:r>
        <w:rPr>
          <w:rFonts w:ascii="Times New Roman;sans-serif" w:hAnsi="Times New Roman;sans-serif"/>
          <w:b/>
          <w:color w:val="000000"/>
          <w:sz w:val="20"/>
        </w:rPr>
        <w:t>Excess uninsured motorists/underinsured motorist protection</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This coverage is in effect only if excess uninsured motorists/underinsured motorists protection is shown in the Coverage Summary Certificate. If it is in effect, this coverage will be on a follow form basis.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cover damages for bodily injury a covered person is legally entitled to receive from the owner or operator of an uninsured or underinsured motorized land vehicle in excess of damages covered by:</w:t>
      </w:r>
    </w:p>
    <w:p>
      <w:pPr>
        <w:pStyle w:val="TextBody"/>
        <w:bidi w:val="0"/>
        <w:spacing w:lineRule="auto" w:line="288" w:before="0" w:after="240"/>
        <w:ind w:left="0" w:right="0" w:hanging="360"/>
        <w:jc w:val="both"/>
        <w:rPr/>
      </w:pPr>
      <w:r>
        <w:rPr>
          <w:color w:val="000000"/>
        </w:rPr>
        <w:t xml:space="preserve">• </w:t>
      </w:r>
      <w:r>
        <w:rPr>
          <w:rFonts w:ascii="Times New Roman;sans-serif" w:hAnsi="Times New Roman;sans-serif"/>
          <w:b w:val="false"/>
          <w:color w:val="000000"/>
          <w:sz w:val="20"/>
        </w:rPr>
        <w:t>the underlying uninsured motorists protection or the Required primary underlying insurance for uninsured motorists protection, whichever is greater;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underlying underinsured motorists protection or the Required primary underlying insurance for underinsured motorists protection, whichever is greater.</w:t>
      </w:r>
    </w:p>
    <w:p>
      <w:pPr>
        <w:pStyle w:val="TextBody"/>
        <w:bidi w:val="0"/>
        <w:spacing w:lineRule="auto" w:line="288" w:before="0" w:after="240"/>
        <w:jc w:val="both"/>
        <w:rPr/>
      </w:pPr>
      <w:r>
        <w:rPr>
          <w:rFonts w:ascii="Times New Roman;sans-serif" w:hAnsi="Times New Roman;sans-serif"/>
          <w:b/>
          <w:color w:val="000000"/>
          <w:sz w:val="20"/>
        </w:rPr>
        <w:t xml:space="preserve">Amount of coverage. </w:t>
      </w:r>
      <w:r>
        <w:rPr>
          <w:rFonts w:ascii="Times New Roman;sans-serif" w:hAnsi="Times New Roman;sans-serif"/>
          <w:b w:val="false"/>
          <w:color w:val="000000"/>
          <w:sz w:val="20"/>
        </w:rPr>
        <w:t>The maximum amount of excess uninsured motorists/underinsured motorists protection available for any one occurrence is the excess uninsured motorists/underinsured motorists protection amount shown in the Coverage Summary Certificate regardless of the number of vehicles covered by the Required Primary Underlying Insurance. We will not pay more than this amount in any one occurrence for covered damages regardless of how many claims, vehicles or people are involved in the occurrence.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Uninsured motorists/underinsured motorists protection arbitration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1"/>
        <w:jc w:val="both"/>
        <w:rPr>
          <w:rFonts w:ascii="Times New Roman;sans-serif" w:hAnsi="Times New Roman;sans-serif"/>
          <w:b w:val="false"/>
          <w:color w:val="000000"/>
          <w:sz w:val="20"/>
        </w:rPr>
      </w:pPr>
      <w:r>
        <w:rPr>
          <w:rFonts w:ascii="Times New Roman;sans-serif" w:hAnsi="Times New Roman;sans-serif"/>
          <w:b w:val="false"/>
          <w:color w:val="000000"/>
          <w:sz w:val="20"/>
        </w:rPr>
        <w:t>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trial. This demand must be made within 60 days of the arbitrator's decision. If this demand is not made, the amount of damages agreed to by the arbitrators will be binding.</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Uninsured/underinsured liability coverage</w:t>
      </w:r>
    </w:p>
    <w:p>
      <w:pPr>
        <w:pStyle w:val="TextBody"/>
        <w:bidi w:val="0"/>
        <w:spacing w:lineRule="auto" w:line="288" w:before="0" w:after="24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This coverage is in effect only if excess uninsured motorists/underinsured motorists protection is shown in the Coverage Summary Certificate.</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of any other collectible insurance that covers damages from the occurrence.</w:t>
      </w:r>
    </w:p>
    <w:p>
      <w:pPr>
        <w:pStyle w:val="TextBody"/>
        <w:bidi w:val="0"/>
        <w:spacing w:lineRule="auto" w:line="288" w:before="0" w:after="240"/>
        <w:ind w:left="0" w:right="0" w:firstLine="10"/>
        <w:jc w:val="both"/>
        <w:rPr>
          <w:rFonts w:ascii="Times New Roman;sans-serif" w:hAnsi="Times New Roman;sans-serif"/>
          <w:b w:val="false"/>
          <w:color w:val="000000"/>
          <w:sz w:val="20"/>
        </w:rPr>
      </w:pPr>
      <w:r>
        <w:rPr>
          <w:rFonts w:ascii="Times New Roman;sans-serif" w:hAnsi="Times New Roman;sans-serif"/>
          <w:b w:val="false"/>
          <w:color w:val="000000"/>
          <w:sz w:val="20"/>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pStyle w:val="TextBody"/>
        <w:bidi w:val="0"/>
        <w:spacing w:lineRule="auto" w:line="288" w:before="0" w:after="240"/>
        <w:ind w:left="0" w:right="0" w:hanging="4"/>
        <w:jc w:val="left"/>
        <w:rPr/>
      </w:pPr>
      <w:r>
        <w:rPr>
          <w:rFonts w:ascii="Times New Roman;sans-serif" w:hAnsi="Times New Roman;sans-serif"/>
          <w:b w:val="false"/>
          <w:color w:val="000000"/>
          <w:sz w:val="20"/>
        </w:rPr>
        <w:t>We</w:t>
      </w:r>
      <w:r>
        <w:rPr>
          <w:color w:val="000000"/>
        </w:rPr>
        <w:t xml:space="preserve"> </w:t>
      </w:r>
      <w:r>
        <w:rPr>
          <w:rFonts w:ascii="Times New Roman;sans-serif" w:hAnsi="Times New Roman;sans-serif"/>
          <w:b w:val="false"/>
          <w:color w:val="000000"/>
          <w:sz w:val="20"/>
        </w:rPr>
        <w:t>also do not cover any fines, penalties, taxes, punitive, exemplary or multiplied damages, or any claim or suit seeking non</w:t>
        <w:softHyphen/>
        <w:t xml:space="preserve"> monetary relief, including but not limited to, injunctive relief, declaratory relief or other equitable remedies.</w:t>
      </w:r>
    </w:p>
    <w:p>
      <w:pPr>
        <w:pStyle w:val="TextBody"/>
        <w:bidi w:val="0"/>
        <w:spacing w:lineRule="auto" w:line="288" w:before="0" w:after="240"/>
        <w:ind w:left="0" w:right="0" w:hanging="7"/>
        <w:jc w:val="left"/>
        <w:rPr>
          <w:rFonts w:ascii="Times New Roman;sans-serif" w:hAnsi="Times New Roman;sans-serif"/>
          <w:b w:val="false"/>
          <w:color w:val="000000"/>
          <w:sz w:val="20"/>
        </w:rPr>
      </w:pPr>
      <w:r>
        <w:rPr>
          <w:rFonts w:ascii="Times New Roman;sans-serif" w:hAnsi="Times New Roman;sans-serif"/>
          <w:b w:val="false"/>
          <w:color w:val="000000"/>
          <w:sz w:val="20"/>
        </w:rPr>
        <w:t>"Negligent person" means an identifiable natural person by legal name who is not a family member, and who is legally responsible for damages sustained by you or a family member caused by an occurrence.</w:t>
      </w:r>
    </w:p>
    <w:p>
      <w:pPr>
        <w:pStyle w:val="TextBody"/>
        <w:bidi w:val="0"/>
        <w:spacing w:lineRule="auto" w:line="288" w:before="0" w:after="240"/>
        <w:ind w:left="0" w:right="0" w:firstLine="1"/>
        <w:jc w:val="both"/>
        <w:rPr/>
      </w:pPr>
      <w:r>
        <w:rPr>
          <w:rFonts w:ascii="Times New Roman;sans-serif" w:hAnsi="Times New Roman;sans-serif"/>
          <w:b/>
          <w:color w:val="000000"/>
          <w:sz w:val="20"/>
        </w:rPr>
        <w:t xml:space="preserve">Duplication of coverage. </w:t>
      </w:r>
      <w:r>
        <w:rPr>
          <w:rFonts w:ascii="Times New Roman;sans-serif" w:hAnsi="Times New Roman;sans-serif"/>
          <w:b w:val="false"/>
          <w:color w:val="000000"/>
          <w:sz w:val="20"/>
        </w:rPr>
        <w:t xml:space="preserve">We will not make a duplicate payment for any portion of damages for which payment has been made by or on behalf of persons who may 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 </w:t>
      </w:r>
    </w:p>
    <w:p>
      <w:pPr>
        <w:pStyle w:val="TextBody"/>
        <w:bidi w:val="0"/>
        <w:spacing w:lineRule="auto" w:line="288" w:before="0" w:after="240"/>
        <w:ind w:left="0" w:right="0" w:firstLine="1"/>
        <w:jc w:val="both"/>
        <w:rPr>
          <w:rFonts w:ascii="Times New Roman;sans-serif" w:hAnsi="Times New Roman;sans-serif"/>
          <w:b/>
          <w:color w:val="000000"/>
          <w:sz w:val="20"/>
        </w:rPr>
      </w:pPr>
      <w:r>
        <w:rPr>
          <w:rFonts w:ascii="Times New Roman;sans-serif" w:hAnsi="Times New Roman;sans-serif"/>
          <w:b/>
          <w:color w:val="000000"/>
          <w:sz w:val="20"/>
        </w:rPr>
        <w:t>Defense coverages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right to defend a covered person against any suit seeking covered damages for personal injury or property damage that is either: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not covered by any underlying insurance;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covered by an underlying policy as each Defense Coverage has been exhausted by payment of claims.</w:t>
      </w:r>
    </w:p>
    <w:p>
      <w:pPr>
        <w:pStyle w:val="TextBody"/>
        <w:bidi w:val="0"/>
        <w:spacing w:lineRule="auto" w:line="288" w:before="0" w:after="240"/>
        <w:ind w:left="0" w:right="0" w:hanging="7"/>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this defense at our expense, with counsel of our choice, even if the suit is groundless, false, or fraudulent. We may investigate, negotiate, and settle any such claim or suit at our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investigation, defense, negotiation, or settlement, we will pay: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premiums on appeal bonds required in any suit we defend;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premiums on bonds to release attachments for any amount up to the amount of coverage (but we are not obligated to apply for or furnish any bond);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expenses incurred by us;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costs taxed against a covered person;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interest accruing after a judgment is entered in a suit we defend on only that part of the judgment we are responsible for paying. We will not pay interest accruing after we have paid the judgment up to the amount of coverage;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prejudgment interest awarded against a covered person on that part of the judgment we pay or offer to pay.</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will not pay any prejudgment interest based on that period of time after we make an offer to pay the amount of coverage;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all earnings lost by each covered person at our request, up to $25,000;</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other reasonable expenses incurred by a covered person at our request;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the cost of bail bonds required of a covered person because of a covered loss.</w:t>
      </w:r>
    </w:p>
    <w:p>
      <w:pPr>
        <w:pStyle w:val="TextBody"/>
        <w:bidi w:val="0"/>
        <w:spacing w:lineRule="auto" w:line="288" w:before="0" w:after="24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In jurisdictions where we may be prevented by local law from carrying out these Defense Coverages, we will pay only those defense expenses that we agree in writing to pay and that are incurred by you.</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Extra Coverages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covering damages and defense costs, we also provide other related coverages. These coverages are in addition to the amount of coverage for damages and defense costs unless stated otherwise. Exclusions to this coverage are described in Exclusions.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Shadow defense coverage</w:t>
      </w:r>
    </w:p>
    <w:p>
      <w:pPr>
        <w:pStyle w:val="TextBody"/>
        <w:bidi w:val="0"/>
        <w:spacing w:lineRule="auto" w:line="288" w:before="0" w:after="240"/>
        <w:ind w:left="0" w:right="0" w:firstLine="17"/>
        <w:jc w:val="both"/>
        <w:rPr>
          <w:rFonts w:ascii="Times New Roman;sans-serif" w:hAnsi="Times New Roman;sans-serif"/>
          <w:b w:val="false"/>
          <w:color w:val="000000"/>
          <w:sz w:val="20"/>
        </w:rPr>
      </w:pPr>
      <w:r>
        <w:rPr>
          <w:rFonts w:ascii="Times New Roman;sans-serif" w:hAnsi="Times New Roman;sans-serif"/>
          <w:b w:val="false"/>
          <w:color w:val="000000"/>
          <w:sz w:val="20"/>
        </w:rPr>
        <w:t>If we are defending you or a family member in a suit seeking covered damages, we will pay reasonable expenses you or a family member incur up to $10,000 or the amount shown in the Coverage Summary Certificate for a law firm of your choice to review and monitor the defense. However any recommendation by your personal attorney is not binding on us. We will pay these costs provided that you obtain prior approval from us before incurring any fees or expenses.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Identity fraud</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for your or a family member's identity fraud expenses, up to a maximum of $25,000, for each identity fraud occurrence.</w:t>
      </w:r>
    </w:p>
    <w:p>
      <w:pPr>
        <w:pStyle w:val="TextBody"/>
        <w:bidi w:val="0"/>
        <w:spacing w:lineRule="auto" w:line="288" w:before="0" w:after="240"/>
        <w:ind w:left="0" w:right="0" w:firstLine="8"/>
        <w:jc w:val="both"/>
        <w:rPr>
          <w:rFonts w:ascii="Times New Roman;sans-serif" w:hAnsi="Times New Roman;sans-serif"/>
          <w:b w:val="false"/>
          <w:color w:val="000000"/>
          <w:sz w:val="20"/>
        </w:rPr>
      </w:pPr>
      <w:r>
        <w:rPr>
          <w:rFonts w:ascii="Times New Roman;sans-serif" w:hAnsi="Times New Roman;sans-serif"/>
          <w:b w:val="false"/>
          <w:color w:val="000000"/>
          <w:sz w:val="20"/>
        </w:rPr>
        <w:t>"Identity fraud" means the act of knowingly transferring or using, without lawful authority, your or a family member's means of identity which constitutes a violation of federal law or a crime under any applicable state or local law.</w:t>
      </w:r>
    </w:p>
    <w:p>
      <w:pPr>
        <w:pStyle w:val="TextBody"/>
        <w:bidi w:val="0"/>
        <w:spacing w:lineRule="auto" w:line="288" w:before="0" w:after="240"/>
        <w:ind w:left="0" w:right="0" w:firstLine="1"/>
        <w:jc w:val="both"/>
        <w:rPr>
          <w:rFonts w:ascii="Times New Roman;sans-serif" w:hAnsi="Times New Roman;sans-serif"/>
          <w:b w:val="false"/>
          <w:color w:val="000000"/>
          <w:sz w:val="20"/>
        </w:rPr>
      </w:pPr>
      <w:r>
        <w:rPr>
          <w:rFonts w:ascii="Times New Roman;sans-serif" w:hAnsi="Times New Roman;sans-serif"/>
          <w:b w:val="false"/>
          <w:color w:val="000000"/>
          <w:sz w:val="20"/>
        </w:rPr>
        <w:t>"Identity fraud occurrence" means any act or series of acts of identity fraud by a person or group commencing in the policy period.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"Identity fraud expenses" means: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costs for notarizing affidavits or similar documents for law enforcement agencies, financial institutions or similar credit grantors, and credit agencies;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costs for sending certified mail to law enforcement agencies, financial institutions or similar credit grantors, and credit agencies;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loan application fees for reapplying for loan(s) due to the rejection of the original application because the lender received incorrect credit information;</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telephone expenses for calls to businesses, law enforcement agencies, financial institutions or similar credit grantors, and credit agencies;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earnings lost by you or a family member as a result of time off from work to complete fraud affidavits, meet with law enforcement agencies, credit agencies, merchants, or legal counsel;</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reasonable attorney fees incurred with prior notice to us for: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defense of you or a family member against any suit(s) by businesses or their collection agencies;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removal of any criminal or civil judgements wrongly entered against you or a family member;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any challenge to the information in your or a family member's consumer credit report;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the reasonable fees incurred with prior notice to us by an identity fraud mitigation entity to:</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provide services for the activities described above;</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restore accounts or credit standing with financial institutions or similar credit grantors and credit agencies;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monitor for up to one year the effectiveness of the fraud mitigation and to detect additional identity fraud activity after the first identify fraud occurrence.</w:t>
      </w:r>
    </w:p>
    <w:p>
      <w:pPr>
        <w:pStyle w:val="TextBody"/>
        <w:bidi w:val="0"/>
        <w:spacing w:lineRule="auto" w:line="288" w:before="0" w:after="240"/>
        <w:ind w:left="0" w:right="0" w:firstLine="3"/>
        <w:jc w:val="both"/>
        <w:rPr>
          <w:rFonts w:ascii="Times New Roman;sans-serif" w:hAnsi="Times New Roman;sans-serif"/>
          <w:b w:val="false"/>
          <w:color w:val="000000"/>
          <w:sz w:val="20"/>
        </w:rPr>
      </w:pPr>
      <w:r>
        <w:rPr>
          <w:rFonts w:ascii="Times New Roman;sans-serif" w:hAnsi="Times New Roman;sans-serif"/>
          <w:b w:val="false"/>
          <w:color w:val="000000"/>
          <w:sz w:val="20"/>
        </w:rPr>
        <w:t>However, such monitoring must begin no later than one year after you or a family member first report an identity fraud occurrence to us.</w:t>
      </w:r>
    </w:p>
    <w:p>
      <w:pPr>
        <w:pStyle w:val="TextBody"/>
        <w:bidi w:val="0"/>
        <w:spacing w:lineRule="auto" w:line="288" w:before="0" w:after="240"/>
        <w:ind w:left="0" w:right="0" w:firstLine="3"/>
        <w:jc w:val="both"/>
        <w:rPr>
          <w:rFonts w:ascii="Times New Roman;sans-serif" w:hAnsi="Times New Roman;sans-serif"/>
          <w:b w:val="false"/>
          <w:color w:val="000000"/>
          <w:sz w:val="20"/>
        </w:rPr>
      </w:pPr>
      <w:r>
        <w:rPr>
          <w:rFonts w:ascii="Times New Roman;sans-serif" w:hAnsi="Times New Roman;sans-serif"/>
          <w:b w:val="false"/>
          <w:color w:val="000000"/>
          <w:sz w:val="20"/>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"Identity fraud mitigation entity" means a company that principally provides professional, specialized services to counter identity fraud for individuals or groups of individuals, or a financial institution that provides similar services.</w:t>
      </w:r>
    </w:p>
    <w:p>
      <w:pPr>
        <w:pStyle w:val="TextBody"/>
        <w:bidi w:val="0"/>
        <w:spacing w:lineRule="auto" w:line="288" w:before="0" w:after="240"/>
        <w:ind w:left="0" w:right="0" w:hanging="11"/>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duties described in Policy Terms, Liability Conditions, Your duties after a loss, you shall notify an applicable law enforcement agency.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Kidnap expenses</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up to a maximum of $100,000 for kidnap expenses you or a family member incurs solely and directly as a result of a kidnap and ransom occurrence. In addition, we also will pay up to $25,000 to any person for information not otherwise available leading to the arrest and conviction of any person(s) who kidnaps you, a family member or a covered relative. The following are not eligible to receive this reward payment:</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you or a family member; or</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a covered relative who witnessed the occurrence.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"Kidnap and ransom occurrence" means the actual or alleged wrongful taking of:</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you;</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one or more family members;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one or more covered relatives while visiting or legally traveling with you or a family member;</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"Kidnap expenses" means the reasonable costs for: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negotiator;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security consultant;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professional security guard services;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public relations consultant;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travel, meals, lodging and phone expenses incurred by you or a family member;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advertising, communications and recording equipment;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related medical, cosmetic, psychiatric and dental expenses incurred by a kidnapped person within 12 months from that person's release;</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attorneys fees;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professional forensic analyst;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earnings lost by you or a family member, up to $25,000.</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However, "kidnap expenses" does not include expenses incurred due to any kidnap and ransom occurrence caused by: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you or a family member;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 covered relative;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guardian, or former guardian of you, a family member or covered relative;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any estranged spouse or domestic partner, or former spouse or domestic partner of you or a family member;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 civil authority,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any person acting on behalf of any of the above, whether acting alone or in collusion with others.</w:t>
      </w:r>
    </w:p>
    <w:p>
      <w:pPr>
        <w:pStyle w:val="TextBody"/>
        <w:bidi w:val="0"/>
        <w:spacing w:lineRule="auto" w:line="288" w:before="0" w:after="240"/>
        <w:ind w:left="0" w:right="0" w:firstLine="8"/>
        <w:jc w:val="left"/>
        <w:rPr>
          <w:rFonts w:ascii="Times New Roman;sans-serif" w:hAnsi="Times New Roman;sans-serif"/>
          <w:b w:val="false"/>
          <w:color w:val="000000"/>
          <w:sz w:val="20"/>
        </w:rPr>
      </w:pPr>
      <w:r>
        <w:rPr>
          <w:rFonts w:ascii="Times New Roman;sans-serif" w:hAnsi="Times New Roman;sans-serif"/>
          <w:b w:val="false"/>
          <w:color w:val="000000"/>
          <w:sz w:val="20"/>
        </w:rPr>
        <w:t>"Covered relative" means the following relatives of you or any family member: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children, their children or other descendants of theirs;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parents, grandparents or other ancestors of theirs;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siblings, their children or other descendants of theirs;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who do not live with you, including spouses or domestic partners of all of the above. Parents, grandparents and other ancestors include adoptive parents, stepparents and stepgrandparents.</w:t>
      </w:r>
    </w:p>
    <w:p>
      <w:pPr>
        <w:pStyle w:val="TextBody"/>
        <w:bidi w:val="0"/>
        <w:spacing w:lineRule="auto" w:line="288" w:before="0" w:after="240"/>
        <w:ind w:left="0" w:right="0" w:firstLine="12"/>
        <w:jc w:val="both"/>
        <w:rPr/>
      </w:pPr>
      <w:r>
        <w:rPr>
          <w:rFonts w:ascii="Times New Roman;sans-serif" w:hAnsi="Times New Roman;sans-serif"/>
          <w:b/>
          <w:color w:val="000000"/>
          <w:sz w:val="20"/>
        </w:rPr>
        <w:t xml:space="preserve">Reputational injury. </w:t>
      </w:r>
      <w:r>
        <w:rPr>
          <w:rFonts w:ascii="Times New Roman;sans-serif" w:hAnsi="Times New Roman;sans-serif"/>
          <w:b w:val="false"/>
          <w:color w:val="000000"/>
          <w:sz w:val="20"/>
        </w:rPr>
        <w:t>If we are defending you or a family member in a suit seeking covered damages, we will pay reasonable and necessary fees or expenses that you or a family member incur for services provided by a reputation management firm to minimize potential injury to the reputation of you or a family member solely as a result of personal injury or property damage, caused by an occurrence if:</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the reputational injury is reported to us as soon as reasonably possible but not later than 30 days after the personal injury or property damage occurrence; and</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you obtain approval of the reputation management firm from us before incurring any fees or expenses, unless stated otherwise or an exclusion applies. There is no deductible for this coverage.</w:t>
      </w:r>
    </w:p>
    <w:p>
      <w:pPr>
        <w:pStyle w:val="TextBody"/>
        <w:bidi w:val="0"/>
        <w:spacing w:lineRule="auto" w:line="288" w:before="0" w:after="240"/>
        <w:ind w:left="0" w:right="0" w:firstLine="5"/>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of coverage for Reputational injury available for any one occurrence is $25,000 or the amount shown in the Coverage Summary Certificate. We will not pay more than this amount in any one occurrence for covered damages regardless of how many claims or people are involved in the occurrence.</w:t>
      </w:r>
    </w:p>
    <w:p>
      <w:pPr>
        <w:pStyle w:val="TextBody"/>
        <w:bidi w:val="0"/>
        <w:spacing w:lineRule="auto" w:line="288" w:before="0" w:after="24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annual amount of coverage for Reputational injury shown in the Coverage Summary Certificate is the most we will pay for the sum of all covered damages you or a family member incur during the policy period regardless of the number of claims, people, or occurrences.</w:t>
      </w:r>
    </w:p>
    <w:p>
      <w:pPr>
        <w:pStyle w:val="TextBody"/>
        <w:bidi w:val="0"/>
        <w:spacing w:lineRule="auto" w:line="288" w:before="0" w:after="240"/>
        <w:ind w:left="0" w:right="0" w:firstLine="1"/>
        <w:jc w:val="both"/>
        <w:rPr>
          <w:rFonts w:ascii="Times New Roman;sans-serif" w:hAnsi="Times New Roman;sans-serif"/>
          <w:b w:val="false"/>
          <w:color w:val="000000"/>
          <w:sz w:val="20"/>
        </w:rPr>
      </w:pPr>
      <w:r>
        <w:rPr>
          <w:rFonts w:ascii="Times New Roman;sans-serif" w:hAnsi="Times New Roman;sans-serif"/>
          <w:b w:val="false"/>
          <w:color w:val="000000"/>
          <w:sz w:val="20"/>
        </w:rPr>
        <w:t>This coverage does not apply to loss caused by a wrongful employment act covered by Employment Practices Liability Insurance.</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Exclusions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These exclusions apply to your Group Personal Excess Liability Coverage, unless stated otherwise.</w:t>
      </w:r>
    </w:p>
    <w:p>
      <w:pPr>
        <w:pStyle w:val="TextBody"/>
        <w:bidi w:val="0"/>
        <w:spacing w:lineRule="auto" w:line="288" w:before="0" w:after="240"/>
        <w:ind w:left="0" w:right="0" w:hanging="34"/>
        <w:jc w:val="both"/>
        <w:rPr/>
      </w:pPr>
      <w:r>
        <w:rPr>
          <w:rFonts w:ascii="Times New Roman;sans-serif" w:hAnsi="Times New Roman;sans-serif"/>
          <w:b/>
          <w:color w:val="000000"/>
          <w:sz w:val="20"/>
        </w:rPr>
        <w:t>Motor vehicles with less than four wheels and motor homes</w:t>
      </w:r>
      <w:r>
        <w:rPr>
          <w:rFonts w:ascii="Times New Roman;sans-serif" w:hAnsi="Times New Roman;sans-serif"/>
          <w:b w:val="false"/>
          <w:color w:val="000000"/>
          <w:sz w:val="20"/>
        </w:rPr>
        <w:t>. We do not cover any damages arising out of the ownership, maintenance, use, loading or unloading of any motor vehicle with less than four wheels or motor home:</w:t>
      </w:r>
    </w:p>
    <w:p>
      <w:pPr>
        <w:pStyle w:val="TextBody"/>
        <w:bidi w:val="0"/>
        <w:spacing w:lineRule="auto" w:line="288" w:before="0" w:after="240"/>
        <w:ind w:left="0" w:right="0" w:hanging="34"/>
        <w:jc w:val="both"/>
        <w:rPr>
          <w:color w:val="000000"/>
        </w:rPr>
      </w:pPr>
      <w:r>
        <w:rPr>
          <w:color w:val="000000"/>
        </w:rPr>
        <w:t>•    </w:t>
      </w:r>
      <w:r>
        <w:rPr>
          <w:rFonts w:ascii="Times New Roman;sans-serif" w:hAnsi="Times New Roman;sans-serif"/>
          <w:b w:val="false"/>
          <w:color w:val="000000"/>
          <w:sz w:val="20"/>
        </w:rPr>
        <w:t>owned by you or a family member; or</w:t>
      </w:r>
    </w:p>
    <w:p>
      <w:pPr>
        <w:pStyle w:val="TextBody"/>
        <w:bidi w:val="0"/>
        <w:spacing w:lineRule="auto" w:line="288" w:before="0" w:after="240"/>
        <w:ind w:left="0" w:right="0" w:hanging="34"/>
        <w:jc w:val="both"/>
        <w:rPr>
          <w:color w:val="000000"/>
        </w:rPr>
      </w:pPr>
      <w:r>
        <w:rPr>
          <w:color w:val="000000"/>
        </w:rPr>
        <w:t>•    </w:t>
      </w:r>
      <w:r>
        <w:rPr>
          <w:rFonts w:ascii="Times New Roman;sans-serif" w:hAnsi="Times New Roman;sans-serif"/>
          <w:b w:val="false"/>
          <w:color w:val="000000"/>
          <w:sz w:val="20"/>
        </w:rPr>
        <w:t>furnished to, made available or rented to you or a family member for longer than 30 consecutive days</w:t>
      </w:r>
    </w:p>
    <w:p>
      <w:pPr>
        <w:pStyle w:val="TextBody"/>
        <w:bidi w:val="0"/>
        <w:spacing w:lineRule="auto" w:line="288" w:before="0" w:after="240"/>
        <w:ind w:left="0" w:right="0" w:hanging="34"/>
        <w:jc w:val="both"/>
        <w:rPr>
          <w:rFonts w:ascii="Times New Roman;sans-serif" w:hAnsi="Times New Roman;sans-serif"/>
          <w:b w:val="false"/>
          <w:color w:val="000000"/>
          <w:sz w:val="20"/>
        </w:rPr>
      </w:pPr>
      <w:r>
        <w:rPr>
          <w:rFonts w:ascii="Times New Roman;sans-serif" w:hAnsi="Times New Roman;sans-serif"/>
          <w:b w:val="false"/>
          <w:color w:val="000000"/>
          <w:sz w:val="20"/>
        </w:rPr>
        <w:t>unless the motor vehicle with less than four wheels or the motor home is covered under the Required Primary Underlying Insurance. The coverage for motor vehicles with less than four wheels and motor homes is on a follow form basis.</w:t>
      </w:r>
    </w:p>
    <w:p>
      <w:pPr>
        <w:pStyle w:val="TextBody"/>
        <w:bidi w:val="0"/>
        <w:spacing w:lineRule="auto" w:line="288" w:before="0" w:after="240"/>
        <w:ind w:left="0" w:right="0" w:hanging="34"/>
        <w:jc w:val="both"/>
        <w:rPr/>
      </w:pPr>
      <w:r>
        <w:rPr>
          <w:rFonts w:ascii="Times New Roman;sans-serif" w:hAnsi="Times New Roman;sans-serif"/>
          <w:b/>
          <w:color w:val="000000"/>
          <w:sz w:val="20"/>
        </w:rPr>
        <w:t xml:space="preserve">Aircraft. </w:t>
      </w:r>
      <w:r>
        <w:rPr>
          <w:rFonts w:ascii="Times New Roman;sans-serif" w:hAnsi="Times New Roman;sans-serif"/>
          <w:b w:val="false"/>
          <w:color w:val="000000"/>
          <w:sz w:val="20"/>
        </w:rPr>
        <w:t>We do not cover any damages arising out of the ownership, maintenance, use, loading, unloading, or towing of any aircraft, except a non-owned aircraft chartered with a professional crew by you or on your behalf. "Aircraft" means any device used or designed for flight, except drones or similar unmanned device not used or designed to carry people or cargo.</w:t>
      </w:r>
    </w:p>
    <w:p>
      <w:pPr>
        <w:pStyle w:val="TextBody"/>
        <w:bidi w:val="0"/>
        <w:spacing w:lineRule="auto" w:line="288" w:before="0" w:after="240"/>
        <w:ind w:left="0" w:right="0" w:hanging="34"/>
        <w:jc w:val="both"/>
        <w:rPr>
          <w:rFonts w:ascii="Times New Roman;sans-serif" w:hAnsi="Times New Roman;sans-serif"/>
          <w:b w:val="false"/>
          <w:color w:val="000000"/>
          <w:sz w:val="20"/>
        </w:rPr>
      </w:pPr>
      <w:r>
        <w:rPr>
          <w:rFonts w:ascii="Times New Roman;sans-serif" w:hAnsi="Times New Roman;sans-serif"/>
          <w:b w:val="false"/>
          <w:color w:val="000000"/>
          <w:sz w:val="20"/>
        </w:rPr>
        <w:t>However, with respect to the ownership, maintenance or use of any drones or similar unmanned device, we do not cover any damages: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while such drone or similar unmanned device is being operated in a restricted airspace as determined by the Federal Aviation Administration or other governmental agency, whether on a local, state or federal level, including any temporary flight restrictions;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to any aircraft, including any resulting damages.</w:t>
      </w:r>
    </w:p>
    <w:p>
      <w:pPr>
        <w:pStyle w:val="TextBody"/>
        <w:bidi w:val="0"/>
        <w:spacing w:lineRule="auto" w:line="288" w:before="0" w:after="240"/>
        <w:ind w:left="0" w:right="0" w:hanging="34"/>
        <w:jc w:val="both"/>
        <w:rPr>
          <w:rFonts w:ascii="Times New Roman;sans-serif" w:hAnsi="Times New Roman;sans-serif"/>
          <w:b w:val="false"/>
          <w:color w:val="000000"/>
          <w:sz w:val="20"/>
        </w:rPr>
      </w:pPr>
      <w:r>
        <w:rPr>
          <w:rFonts w:ascii="Times New Roman;sans-serif" w:hAnsi="Times New Roman;sans-serif"/>
          <w:b w:val="false"/>
          <w:color w:val="000000"/>
          <w:sz w:val="20"/>
        </w:rPr>
        <w:t>This exclusion applies whether such drone or similar unmanned device makes contact with the aircraft or not.</w:t>
      </w:r>
    </w:p>
    <w:p>
      <w:pPr>
        <w:pStyle w:val="TextBody"/>
        <w:bidi w:val="0"/>
        <w:spacing w:lineRule="auto" w:line="288" w:before="0" w:after="240"/>
        <w:ind w:left="0" w:right="0" w:firstLine="2"/>
        <w:jc w:val="both"/>
        <w:rPr/>
      </w:pPr>
      <w:r>
        <w:rPr>
          <w:rFonts w:ascii="Times New Roman;sans-serif" w:hAnsi="Times New Roman;sans-serif"/>
          <w:b/>
          <w:color w:val="000000"/>
          <w:sz w:val="20"/>
        </w:rPr>
        <w:t>Personal watercraft</w:t>
      </w:r>
      <w:r>
        <w:rPr>
          <w:rFonts w:ascii="Times New Roman;sans-serif" w:hAnsi="Times New Roman;sans-serif"/>
          <w:b w:val="false"/>
          <w:color w:val="000000"/>
          <w:sz w:val="20"/>
        </w:rPr>
        <w:t>. We do not cover any damages arising out of the operation of any personal watercraft: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from sunset to sunrise;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while towing any person;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by any person who does not have a valid motor vehicle driver's license, other than you or a family member age 16 or older.</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"Personal watercraft" means a vessel powered by internal water jet propulsion designed to be operated by a person sitting, standing, or kneeling on it rather than within the confines of a hull.</w:t>
      </w:r>
    </w:p>
    <w:p>
      <w:pPr>
        <w:pStyle w:val="TextBody"/>
        <w:bidi w:val="0"/>
        <w:spacing w:lineRule="auto" w:line="288" w:before="0" w:after="240"/>
        <w:ind w:left="0" w:right="0" w:firstLine="2"/>
        <w:jc w:val="both"/>
        <w:rPr/>
      </w:pPr>
      <w:r>
        <w:rPr>
          <w:rFonts w:ascii="Times New Roman;sans-serif" w:hAnsi="Times New Roman;sans-serif"/>
          <w:b/>
          <w:color w:val="000000"/>
          <w:sz w:val="20"/>
        </w:rPr>
        <w:t>Large watercraft</w:t>
      </w:r>
      <w:r>
        <w:rPr>
          <w:rFonts w:ascii="Times New Roman;sans-serif" w:hAnsi="Times New Roman;sans-serif"/>
          <w:b w:val="false"/>
          <w:color w:val="000000"/>
          <w:sz w:val="20"/>
        </w:rPr>
        <w:t>. We do not cover any damages arising out of the ownership, maintenance, use, loading, unloading or towing of any watercraft 26 feet or longer or with more than 50 engine rated horsepower which is:</w:t>
      </w:r>
    </w:p>
    <w:p>
      <w:pPr>
        <w:pStyle w:val="TextBody"/>
        <w:bidi w:val="0"/>
        <w:spacing w:lineRule="auto" w:line="288" w:before="0" w:after="240"/>
        <w:ind w:left="0" w:right="0" w:firstLine="2"/>
        <w:jc w:val="both"/>
        <w:rPr>
          <w:color w:val="000000"/>
        </w:rPr>
      </w:pPr>
      <w:r>
        <w:rPr>
          <w:color w:val="000000"/>
        </w:rPr>
        <w:t>•    </w:t>
      </w:r>
      <w:r>
        <w:rPr>
          <w:rFonts w:ascii="Times New Roman;sans-serif" w:hAnsi="Times New Roman;sans-serif"/>
          <w:b w:val="false"/>
          <w:color w:val="000000"/>
          <w:sz w:val="20"/>
        </w:rPr>
        <w:t>owned, directly or indirectly, by a covered person; or</w:t>
      </w:r>
    </w:p>
    <w:p>
      <w:pPr>
        <w:pStyle w:val="TextBody"/>
        <w:bidi w:val="0"/>
        <w:spacing w:lineRule="auto" w:line="288" w:before="0" w:after="240"/>
        <w:ind w:left="0" w:right="0" w:firstLine="2"/>
        <w:jc w:val="both"/>
        <w:rPr>
          <w:color w:val="000000"/>
        </w:rPr>
      </w:pPr>
      <w:r>
        <w:rPr>
          <w:color w:val="000000"/>
        </w:rPr>
        <w:t>•    </w:t>
      </w:r>
      <w:r>
        <w:rPr>
          <w:rFonts w:ascii="Times New Roman;sans-serif" w:hAnsi="Times New Roman;sans-serif"/>
          <w:b w:val="false"/>
          <w:color w:val="000000"/>
          <w:sz w:val="20"/>
        </w:rPr>
        <w:t>rented by, furnished to, or made available to a covered person for longer than 60 consecutive days.</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However, coverage is provided on a follow form basis for watercraft 26 feet or longer up to 42 feet or with more than 50 engine rated horsepower up to 300 engine rated horsepower if such watercraft is covered under the Required Primary Underlying Insurance, unless another exclusion applies.</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We also cover watercraft being stored, even if not covered under the Required Primary Underlying Insurance, unless another exclusion applies.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
        <w:jc w:val="both"/>
        <w:rPr/>
      </w:pPr>
      <w:r>
        <w:rPr>
          <w:rFonts w:ascii="Times New Roman;sans-serif" w:hAnsi="Times New Roman;sans-serif"/>
          <w:b/>
          <w:color w:val="000000"/>
          <w:sz w:val="20"/>
        </w:rPr>
        <w:t xml:space="preserve">Hovercraft. </w:t>
      </w:r>
      <w:r>
        <w:rPr>
          <w:rFonts w:ascii="Times New Roman;sans-serif" w:hAnsi="Times New Roman;sans-serif"/>
          <w:b w:val="false"/>
          <w:color w:val="000000"/>
          <w:sz w:val="20"/>
        </w:rPr>
        <w:t>We do not cover any damages arising out of the ownership, maintenance, use, loading, unloading or towing of any hovercraft. We do not cover any property damages to hovercraft rented to, owned by, or in the care, custody or control of a covered person.</w:t>
      </w:r>
    </w:p>
    <w:p>
      <w:pPr>
        <w:pStyle w:val="TextBody"/>
        <w:bidi w:val="0"/>
        <w:spacing w:lineRule="auto" w:line="288" w:before="0" w:after="240"/>
        <w:ind w:left="0" w:right="0" w:firstLine="2"/>
        <w:jc w:val="both"/>
        <w:rPr/>
      </w:pPr>
      <w:r>
        <w:rPr>
          <w:rFonts w:ascii="Times New Roman;sans-serif" w:hAnsi="Times New Roman;sans-serif"/>
          <w:b/>
          <w:color w:val="000000"/>
          <w:sz w:val="20"/>
        </w:rPr>
        <w:t>Owned, rented or furnished registered motorized land vehicle</w:t>
      </w:r>
      <w:r>
        <w:rPr>
          <w:rFonts w:ascii="Times New Roman;sans-serif" w:hAnsi="Times New Roman;sans-serif"/>
          <w:b w:val="false"/>
          <w:color w:val="000000"/>
          <w:sz w:val="20"/>
        </w:rPr>
        <w:t>. We do not cover any damages arising out of the ownership, maintenance, use, loading or unloading of any registered motorized land vehicle owned or controlled directly or indirectly by a covered person, or rented to, furnished to or made available to a covered person for longer than 60 consecutive days. But we do provide coverage if at least one registered motorized land vehicle is covered under the Required Primary Underlying Insurance.</w:t>
      </w:r>
    </w:p>
    <w:p>
      <w:pPr>
        <w:pStyle w:val="TextBody"/>
        <w:bidi w:val="0"/>
        <w:spacing w:lineRule="auto" w:line="288" w:before="0" w:after="240"/>
        <w:ind w:left="0" w:right="0" w:firstLine="2"/>
        <w:jc w:val="both"/>
        <w:rPr/>
      </w:pPr>
      <w:r>
        <w:rPr>
          <w:rFonts w:ascii="Times New Roman;sans-serif" w:hAnsi="Times New Roman;sans-serif"/>
          <w:b/>
          <w:color w:val="000000"/>
          <w:sz w:val="20"/>
        </w:rPr>
        <w:t>Vehicles used for a fee</w:t>
      </w:r>
      <w:r>
        <w:rPr>
          <w:rFonts w:ascii="Times New Roman;sans-serif" w:hAnsi="Times New Roman;sans-serif"/>
          <w:b w:val="false"/>
          <w:color w:val="000000"/>
          <w:sz w:val="20"/>
        </w:rPr>
        <w:t>. We do not cover any person for damages arising out of the ownership, maintenance or use of a vehicle while it is being used as a public or livery conveyance for a fee, including while the vehicle is being used for: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ride sharing in connection with a ride sharing program;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delivery services, including courier services, whether or not the food, goods, items or products to be delivered are in the vehicle, in connection with a delivery network program.</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This exclusion does not apply to a shared-expenses carpool, unless another exclusion applies.</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"Delivery network platform" means an online enabled application or digital network used to connect customers with drivers or local vendors using drivers for the purpose of providing prearranged delivery services, including courier services, for compensation. A "delivery network platform" does not include a "Ride sharing program".</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"Ride sharing" means the use of the any vehicle in connection with a ride sharing program during any time period when the driver is logged in to an online-enabled ride sharing application or digital network as a driver, when the driver accepts a requested ride, is en route to pick up a passenger, or is transporting a passenger until the passenger departs the vehicle.</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"Ride sharing program" means a transportation network, service, or any arrangement in which drivers and passengers arrange transportation services, including through an online-enabled ride sharing application or digital network.</w:t>
      </w:r>
    </w:p>
    <w:p>
      <w:pPr>
        <w:pStyle w:val="TextBody"/>
        <w:bidi w:val="0"/>
        <w:spacing w:lineRule="auto" w:line="288" w:before="0" w:after="240"/>
        <w:ind w:left="0" w:right="0" w:firstLine="2"/>
        <w:jc w:val="both"/>
        <w:rPr/>
      </w:pPr>
      <w:r>
        <w:rPr>
          <w:rFonts w:ascii="Times New Roman;sans-serif" w:hAnsi="Times New Roman;sans-serif"/>
          <w:b/>
          <w:color w:val="000000"/>
          <w:sz w:val="20"/>
        </w:rPr>
        <w:t>Personal vehicle sharing</w:t>
      </w:r>
      <w:r>
        <w:rPr>
          <w:rFonts w:ascii="Times New Roman;sans-serif" w:hAnsi="Times New Roman;sans-serif"/>
          <w:b w:val="false"/>
          <w:color w:val="000000"/>
          <w:sz w:val="20"/>
        </w:rPr>
        <w:t>. We do not cover any person for damages arising out of the ownership, maintenance, or use of any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while it is being used in connection with a personal vehicle sharing program for a fee;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you or a family member privately rents to another person, and the vehicle is being used by anyone other than you or a family member.</w:t>
      </w:r>
    </w:p>
    <w:p>
      <w:pPr>
        <w:pStyle w:val="TextBody"/>
        <w:bidi w:val="0"/>
        <w:spacing w:lineRule="auto" w:line="288" w:before="0" w:after="240"/>
        <w:ind w:left="0" w:right="0" w:firstLine="2"/>
        <w:jc w:val="both"/>
        <w:rPr>
          <w:rFonts w:ascii="Times New Roman;sans-serif" w:hAnsi="Times New Roman;sans-serif"/>
          <w:b w:val="false"/>
          <w:color w:val="000000"/>
          <w:sz w:val="20"/>
        </w:rPr>
      </w:pPr>
      <w:r>
        <w:rPr>
          <w:rFonts w:ascii="Times New Roman;sans-serif" w:hAnsi="Times New Roman;sans-serif"/>
          <w:b w:val="false"/>
          <w:color w:val="000000"/>
          <w:sz w:val="20"/>
        </w:rPr>
        <w:t>"Personal vehicles sharing program" means a network, service, or any arrangement to facilitate the sharing of private passenger motor vehicles for use by individuals other than the vehicle's registered owner.</w:t>
      </w:r>
    </w:p>
    <w:p>
      <w:pPr>
        <w:pStyle w:val="TextBody"/>
        <w:bidi w:val="0"/>
        <w:spacing w:lineRule="auto" w:line="288" w:before="0" w:after="240"/>
        <w:ind w:left="0" w:right="0" w:firstLine="2"/>
        <w:jc w:val="both"/>
        <w:rPr/>
      </w:pPr>
      <w:r>
        <w:rPr>
          <w:rFonts w:ascii="Times New Roman;sans-serif" w:hAnsi="Times New Roman;sans-serif"/>
          <w:b/>
          <w:color w:val="000000"/>
          <w:sz w:val="20"/>
        </w:rPr>
        <w:t>Motorized land vehicle racing or track usage</w:t>
      </w:r>
      <w:r>
        <w:rPr>
          <w:rFonts w:ascii="Times New Roman;sans-serif" w:hAnsi="Times New Roman;sans-serif"/>
          <w:b w:val="false"/>
          <w:color w:val="000000"/>
          <w:sz w:val="20"/>
        </w:rPr>
        <w:t>. We do not cover any damages arising out of the ownership, maintenance or use of any motorized land vehicle:</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during any instruction, practice, preparation for, or participation in, any competitive, prearranged or organized racing, speed contest, rally, gymkhana, sports event, stunting activity, or timed event of any kind;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on a race track, test track or other course of any kind;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street racing of any kind.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However, this exclusion does not apply to a rally on a public road where the legal speed limit remains in effect for the duration of the rally.</w:t>
      </w:r>
    </w:p>
    <w:p>
      <w:pPr>
        <w:pStyle w:val="TextBody"/>
        <w:bidi w:val="0"/>
        <w:spacing w:lineRule="auto" w:line="288" w:before="0" w:after="240"/>
        <w:ind w:left="0" w:right="0" w:hanging="1"/>
        <w:jc w:val="both"/>
        <w:rPr/>
      </w:pPr>
      <w:r>
        <w:rPr>
          <w:rFonts w:ascii="Times New Roman;sans-serif" w:hAnsi="Times New Roman;sans-serif"/>
          <w:b/>
          <w:color w:val="000000"/>
          <w:sz w:val="20"/>
        </w:rPr>
        <w:t xml:space="preserve">Watercraft and aircraft racing or track usage. </w:t>
      </w:r>
      <w:r>
        <w:rPr>
          <w:rFonts w:ascii="Times New Roman;sans-serif" w:hAnsi="Times New Roman;sans-serif"/>
          <w:b w:val="false"/>
          <w:color w:val="000000"/>
          <w:sz w:val="20"/>
        </w:rPr>
        <w:t xml:space="preserve">We do not cover any damages arising out of the ownership, maintenance or use of any watercraft or aircraft during any instruction, practice, preparation for, or participation in, any competitive, prearranged or organized racing, speed contest, rally, sports event, stunting activity or timed event of any kind. This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exclusion does not apply to you or a family member for sailboat racing even if the sailboat is equipped with an auxiliary motor.</w:t>
      </w:r>
    </w:p>
    <w:p>
      <w:pPr>
        <w:pStyle w:val="TextBody"/>
        <w:bidi w:val="0"/>
        <w:spacing w:lineRule="auto" w:line="288" w:before="0" w:after="240"/>
        <w:ind w:left="0" w:right="0" w:firstLine="3"/>
        <w:jc w:val="both"/>
        <w:rPr/>
      </w:pPr>
      <w:r>
        <w:rPr>
          <w:rFonts w:ascii="Times New Roman;sans-serif" w:hAnsi="Times New Roman;sans-serif"/>
          <w:b/>
          <w:color w:val="000000"/>
          <w:sz w:val="20"/>
        </w:rPr>
        <w:t xml:space="preserve">Motorized land vehicle-related jobs. </w:t>
      </w:r>
      <w:r>
        <w:rPr>
          <w:rFonts w:ascii="Times New Roman;sans-serif" w:hAnsi="Times New Roman;sans-serif"/>
          <w:b w:val="false"/>
          <w:color w:val="000000"/>
          <w:sz w:val="20"/>
        </w:rPr>
        <w:t>We do not cover any damages arising out of the ownership, maintenance, or use of a motorized land vehicle by any person 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pStyle w:val="TextBody"/>
        <w:bidi w:val="0"/>
        <w:spacing w:lineRule="auto" w:line="288" w:before="0" w:after="240"/>
        <w:ind w:left="0" w:right="0" w:firstLine="4"/>
        <w:jc w:val="both"/>
        <w:rPr/>
      </w:pPr>
      <w:r>
        <w:rPr>
          <w:rFonts w:ascii="Times New Roman;sans-serif" w:hAnsi="Times New Roman;sans-serif"/>
          <w:b/>
          <w:color w:val="000000"/>
          <w:sz w:val="20"/>
        </w:rPr>
        <w:t xml:space="preserve">Watercraft related jobs. </w:t>
      </w:r>
      <w:r>
        <w:rPr>
          <w:rFonts w:ascii="Times New Roman;sans-serif" w:hAnsi="Times New Roman;sans-serif"/>
          <w:b w:val="false"/>
          <w:color w:val="000000"/>
          <w:sz w:val="20"/>
        </w:rPr>
        <w:t>We do not cover any damages arising out of the ownership, maintenance, or use of a watercraft by any person who is engaged by or 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pStyle w:val="TextBody"/>
        <w:bidi w:val="0"/>
        <w:spacing w:lineRule="auto" w:line="288" w:before="0" w:after="240"/>
        <w:ind w:left="0" w:right="0" w:firstLine="4"/>
        <w:jc w:val="both"/>
        <w:rPr/>
      </w:pPr>
      <w:r>
        <w:rPr>
          <w:rFonts w:ascii="Times New Roman;sans-serif" w:hAnsi="Times New Roman;sans-serif"/>
          <w:b/>
          <w:color w:val="000000"/>
          <w:sz w:val="20"/>
        </w:rPr>
        <w:t xml:space="preserve">Motorized land vehicle and watercraft loading. </w:t>
      </w:r>
      <w:r>
        <w:rPr>
          <w:rFonts w:ascii="Times New Roman;sans-serif" w:hAnsi="Times New Roman;sans-serif"/>
          <w:b w:val="false"/>
          <w:color w:val="000000"/>
          <w:sz w:val="20"/>
        </w:rPr>
        <w:t>We do not cover any person or organization, other than you or a family member or your or a family member's employees, with respect to the loading or unloading of motorized land vehicles or watercraft.</w:t>
      </w:r>
    </w:p>
    <w:p>
      <w:pPr>
        <w:pStyle w:val="TextBody"/>
        <w:bidi w:val="0"/>
        <w:spacing w:lineRule="auto" w:line="288" w:before="0" w:after="240"/>
        <w:jc w:val="left"/>
        <w:rPr/>
      </w:pPr>
      <w:r>
        <w:rPr>
          <w:rFonts w:ascii="Times New Roman;sans-serif" w:hAnsi="Times New Roman;sans-serif"/>
          <w:b/>
          <w:color w:val="000000"/>
          <w:sz w:val="20"/>
        </w:rPr>
        <w:t xml:space="preserve">Workers' compensation or disability. </w:t>
      </w:r>
      <w:r>
        <w:rPr>
          <w:rFonts w:ascii="Times New Roman;sans-serif" w:hAnsi="Times New Roman;sans-serif"/>
          <w:b w:val="false"/>
          <w:color w:val="000000"/>
          <w:sz w:val="20"/>
        </w:rPr>
        <w:t>We do not cover any damages a covered person is legally:</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required to provide;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 xml:space="preserve">voluntarily provides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under any:</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worker’s compensation;</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disability benefits;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unemployment compensation;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other similar laws.</w:t>
      </w:r>
    </w:p>
    <w:p>
      <w:pPr>
        <w:pStyle w:val="TextBody"/>
        <w:bidi w:val="0"/>
        <w:spacing w:lineRule="auto" w:line="288" w:before="0" w:after="240"/>
        <w:ind w:left="0" w:right="0" w:firstLine="13"/>
        <w:jc w:val="both"/>
        <w:rPr>
          <w:rFonts w:ascii="Times New Roman;sans-serif" w:hAnsi="Times New Roman;sans-serif"/>
          <w:b w:val="false"/>
          <w:color w:val="000000"/>
          <w:sz w:val="20"/>
        </w:rPr>
      </w:pPr>
      <w:r>
        <w:rPr>
          <w:rFonts w:ascii="Times New Roman;sans-serif" w:hAnsi="Times New Roman;sans-serif"/>
          <w:b w:val="false"/>
          <w:color w:val="000000"/>
          <w:sz w:val="20"/>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pStyle w:val="TextBody"/>
        <w:bidi w:val="0"/>
        <w:spacing w:lineRule="auto" w:line="288" w:before="0" w:after="240"/>
        <w:ind w:left="0" w:right="0" w:hanging="1"/>
        <w:jc w:val="both"/>
        <w:rPr/>
      </w:pPr>
      <w:r>
        <w:rPr>
          <w:rFonts w:ascii="Times New Roman;sans-serif" w:hAnsi="Times New Roman;sans-serif"/>
          <w:b/>
          <w:color w:val="000000"/>
          <w:sz w:val="20"/>
        </w:rPr>
        <w:t>Director's liability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do not cover any damages for any covered person's actions or failure to act as an officer or member of a board of directors of any corporation or organization. However, we do cover such damages if you are or a family member is an officer or member of a board of directors of a:</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homeowner, condominium or cooperative association; or</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not for profit corporation or organization for which he or she is not compensated; unless another exclusion applies.</w:t>
      </w:r>
    </w:p>
    <w:p>
      <w:pPr>
        <w:pStyle w:val="TextBody"/>
        <w:bidi w:val="0"/>
        <w:spacing w:lineRule="auto" w:line="288" w:before="0" w:after="240"/>
        <w:ind w:left="0" w:right="0" w:firstLine="1"/>
        <w:jc w:val="both"/>
        <w:rPr/>
      </w:pPr>
      <w:r>
        <w:rPr>
          <w:rFonts w:ascii="Times New Roman;sans-serif" w:hAnsi="Times New Roman;sans-serif"/>
          <w:b/>
          <w:color w:val="000000"/>
          <w:sz w:val="20"/>
        </w:rPr>
        <w:t xml:space="preserve">Damage to covered person's property. </w:t>
      </w:r>
      <w:r>
        <w:rPr>
          <w:rFonts w:ascii="Times New Roman;sans-serif" w:hAnsi="Times New Roman;sans-serif"/>
          <w:b w:val="false"/>
          <w:color w:val="000000"/>
          <w:sz w:val="20"/>
        </w:rPr>
        <w:t>We do not cover any person for property damage to property owned by any covered person.</w:t>
      </w:r>
    </w:p>
    <w:p>
      <w:pPr>
        <w:pStyle w:val="TextBody"/>
        <w:bidi w:val="0"/>
        <w:spacing w:lineRule="auto" w:line="288" w:before="0" w:after="240"/>
        <w:ind w:left="0" w:right="0" w:firstLine="1"/>
        <w:jc w:val="both"/>
        <w:rPr/>
      </w:pPr>
      <w:r>
        <w:rPr>
          <w:rFonts w:ascii="Times New Roman;sans-serif" w:hAnsi="Times New Roman;sans-serif"/>
          <w:b/>
          <w:color w:val="000000"/>
          <w:sz w:val="20"/>
        </w:rPr>
        <w:t xml:space="preserve">Damage to property </w:t>
      </w:r>
      <w:r>
        <w:rPr>
          <w:rFonts w:ascii="Times New Roman;sans-serif" w:hAnsi="Times New Roman;sans-serif"/>
          <w:b w:val="false"/>
          <w:color w:val="000000"/>
          <w:sz w:val="20"/>
        </w:rPr>
        <w:t xml:space="preserve">in </w:t>
      </w:r>
      <w:r>
        <w:rPr>
          <w:rFonts w:ascii="Times New Roman;sans-serif" w:hAnsi="Times New Roman;sans-serif"/>
          <w:b/>
          <w:color w:val="000000"/>
          <w:sz w:val="20"/>
        </w:rPr>
        <w:t xml:space="preserve">your care. </w:t>
      </w:r>
      <w:r>
        <w:rPr>
          <w:rFonts w:ascii="Times New Roman;sans-serif" w:hAnsi="Times New Roman;sans-serif"/>
          <w:b w:val="false"/>
          <w:color w:val="000000"/>
          <w:sz w:val="20"/>
        </w:rPr>
        <w:t>We do not cover any person for property damage to property of others rented to, occupied by, used by, or in the care of any covered person, to the extent that the covered person is required by contract to provide insurance. But we do cover such damages for loss caused by fire, smoke, or explosion unless another exclusion applies. This exclusion does not apply to property damage to a motorized land vehicle rented to a covered person if no underlying insurance is required under this policy and no underlying insurance exists.</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
        <w:jc w:val="both"/>
        <w:rPr/>
      </w:pPr>
      <w:r>
        <w:rPr>
          <w:rFonts w:ascii="Times New Roman;sans-serif" w:hAnsi="Times New Roman;sans-serif"/>
          <w:b/>
          <w:color w:val="000000"/>
          <w:sz w:val="20"/>
        </w:rPr>
        <w:t>Electronic software or data</w:t>
      </w:r>
      <w:r>
        <w:rPr>
          <w:rFonts w:ascii="Times New Roman;sans-serif" w:hAnsi="Times New Roman;sans-serif"/>
          <w:b w:val="false"/>
          <w:color w:val="000000"/>
          <w:sz w:val="20"/>
        </w:rPr>
        <w:t>. We do not cover any damages for the cost of recreating or replacing any software, data or other information that is in electronic form.</w:t>
      </w:r>
    </w:p>
    <w:p>
      <w:pPr>
        <w:pStyle w:val="TextBody"/>
        <w:bidi w:val="0"/>
        <w:spacing w:lineRule="auto" w:line="288" w:before="0" w:after="240"/>
        <w:ind w:left="0" w:right="0" w:firstLine="1"/>
        <w:jc w:val="both"/>
        <w:rPr/>
      </w:pPr>
      <w:r>
        <w:rPr>
          <w:rFonts w:ascii="Times New Roman;sans-serif" w:hAnsi="Times New Roman;sans-serif"/>
          <w:b/>
          <w:color w:val="000000"/>
          <w:sz w:val="20"/>
        </w:rPr>
        <w:t>Wrongful employment act</w:t>
      </w:r>
      <w:r>
        <w:rPr>
          <w:rFonts w:ascii="Times New Roman;sans-serif" w:hAnsi="Times New Roman;sans-serif"/>
          <w:b w:val="false"/>
          <w:color w:val="000000"/>
          <w:sz w:val="20"/>
        </w:rPr>
        <w:t>. We do not cover any damages arising out of a wrongful employment act.</w:t>
      </w:r>
    </w:p>
    <w:p>
      <w:pPr>
        <w:pStyle w:val="TextBody"/>
        <w:bidi w:val="0"/>
        <w:spacing w:lineRule="auto" w:line="288" w:before="0" w:after="240"/>
        <w:ind w:left="0" w:right="0" w:firstLine="1"/>
        <w:jc w:val="both"/>
        <w:rPr/>
      </w:pPr>
      <w:r>
        <w:rPr>
          <w:rFonts w:ascii="Times New Roman;sans-serif" w:hAnsi="Times New Roman;sans-serif"/>
          <w:b/>
          <w:color w:val="000000"/>
          <w:sz w:val="20"/>
        </w:rPr>
        <w:t>Discrimination</w:t>
      </w:r>
      <w:r>
        <w:rPr>
          <w:rFonts w:ascii="Times New Roman;sans-serif" w:hAnsi="Times New Roman;sans-serif"/>
          <w:b w:val="false"/>
          <w:color w:val="000000"/>
          <w:sz w:val="20"/>
        </w:rPr>
        <w:t>. We do not cover any damages arising out of discrimination due to age, race, color, sex, creed, national origin, or any other discrimination.</w:t>
      </w:r>
    </w:p>
    <w:p>
      <w:pPr>
        <w:pStyle w:val="TextBody"/>
        <w:bidi w:val="0"/>
        <w:spacing w:lineRule="auto" w:line="288" w:before="0" w:after="240"/>
        <w:ind w:left="0" w:right="0" w:firstLine="1"/>
        <w:jc w:val="both"/>
        <w:rPr/>
      </w:pPr>
      <w:r>
        <w:rPr>
          <w:rFonts w:ascii="Times New Roman;sans-serif" w:hAnsi="Times New Roman;sans-serif"/>
          <w:b/>
          <w:color w:val="000000"/>
          <w:sz w:val="20"/>
        </w:rPr>
        <w:t>Intentional Acts</w:t>
      </w:r>
      <w:r>
        <w:rPr>
          <w:rFonts w:ascii="Times New Roman;sans-serif" w:hAnsi="Times New Roman;sans-serif"/>
          <w:b w:val="false"/>
          <w:color w:val="000000"/>
          <w:sz w:val="20"/>
        </w:rPr>
        <w:t>. We do not cover any damages arising out of a willful, malicious, criminal, fraudulent or dishonest act or any act intended by any covered person to cause 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pStyle w:val="TextBody"/>
        <w:bidi w:val="0"/>
        <w:spacing w:lineRule="auto" w:line="288" w:before="0" w:after="240"/>
        <w:ind w:left="0" w:right="0" w:firstLine="1"/>
        <w:jc w:val="both"/>
        <w:rPr/>
      </w:pPr>
      <w:r>
        <w:rPr>
          <w:rFonts w:ascii="Times New Roman;sans-serif" w:hAnsi="Times New Roman;sans-serif"/>
          <w:b/>
          <w:color w:val="000000"/>
          <w:sz w:val="20"/>
        </w:rPr>
        <w:t>Punitive damages</w:t>
      </w:r>
      <w:r>
        <w:rPr>
          <w:rFonts w:ascii="Times New Roman;sans-serif" w:hAnsi="Times New Roman;sans-serif"/>
          <w:b w:val="false"/>
          <w:color w:val="000000"/>
          <w:sz w:val="20"/>
        </w:rPr>
        <w:t>. We do not cover any punitive damages, including but not limited to, fines, penalties, punitive damages, exemplary damages, or multiplied damages.</w:t>
      </w:r>
    </w:p>
    <w:p>
      <w:pPr>
        <w:pStyle w:val="TextBody"/>
        <w:bidi w:val="0"/>
        <w:spacing w:lineRule="auto" w:line="288" w:before="0" w:after="240"/>
        <w:jc w:val="left"/>
        <w:rPr/>
      </w:pPr>
      <w:r>
        <w:rPr>
          <w:rFonts w:ascii="Times New Roman;sans-serif" w:hAnsi="Times New Roman;sans-serif"/>
          <w:b/>
          <w:color w:val="000000"/>
          <w:sz w:val="20"/>
        </w:rPr>
        <w:t xml:space="preserve">Molestation, misconduct or abuse. </w:t>
      </w:r>
      <w:r>
        <w:rPr>
          <w:rFonts w:ascii="Times New Roman;sans-serif" w:hAnsi="Times New Roman;sans-serif"/>
          <w:b w:val="false"/>
          <w:color w:val="000000"/>
          <w:sz w:val="20"/>
        </w:rPr>
        <w:t>We do not cover any damages arising out of any actual, alleged or threatened: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sexual molestation;</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sexual misconduct or harassment;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abuse.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this exclusion applies to the entirety of all allegations in any claim or suit, if such claim or suit includes an allegation of or reference to any actual, alleged or threatened, sexual molestation, sexual misconduct or harassment, or abuse, even if this insurance would otherwise apply to any part of the allegations in the claim or suit.</w:t>
      </w:r>
    </w:p>
    <w:p>
      <w:pPr>
        <w:pStyle w:val="TextBody"/>
        <w:bidi w:val="0"/>
        <w:spacing w:lineRule="auto" w:line="288" w:before="0" w:after="240"/>
        <w:ind w:left="0" w:right="0" w:hanging="1"/>
        <w:jc w:val="both"/>
        <w:rPr/>
      </w:pPr>
      <w:r>
        <w:rPr>
          <w:rFonts w:ascii="Times New Roman;sans-serif" w:hAnsi="Times New Roman;sans-serif"/>
          <w:b/>
          <w:color w:val="000000"/>
          <w:sz w:val="20"/>
        </w:rPr>
        <w:t xml:space="preserve">Nonpermissive use. </w:t>
      </w:r>
      <w:r>
        <w:rPr>
          <w:rFonts w:ascii="Times New Roman;sans-serif" w:hAnsi="Times New Roman;sans-serif"/>
          <w:b w:val="false"/>
          <w:color w:val="000000"/>
          <w:sz w:val="20"/>
        </w:rPr>
        <w:t>We do not cover any person who uses a motorized land vehicle or watercraft without permission from you or a family member.</w:t>
      </w:r>
    </w:p>
    <w:p>
      <w:pPr>
        <w:pStyle w:val="TextBody"/>
        <w:bidi w:val="0"/>
        <w:spacing w:lineRule="auto" w:line="288" w:before="0" w:after="240"/>
        <w:ind w:left="0" w:right="0" w:firstLine="3"/>
        <w:jc w:val="both"/>
        <w:rPr/>
      </w:pPr>
      <w:r>
        <w:rPr>
          <w:rFonts w:ascii="Times New Roman;sans-serif" w:hAnsi="Times New Roman;sans-serif"/>
          <w:b/>
          <w:color w:val="000000"/>
          <w:sz w:val="20"/>
        </w:rPr>
        <w:t>Business pursuits</w:t>
      </w:r>
      <w:r>
        <w:rPr>
          <w:rFonts w:ascii="Times New Roman;sans-serif" w:hAnsi="Times New Roman;sans-serif"/>
          <w:b w:val="false"/>
          <w:color w:val="000000"/>
          <w:sz w:val="20"/>
        </w:rPr>
        <w:t>. We do not cover any damages arising out of business activities or business property in which a covered person has ownership or other interest or is conducted by or on behalf of a covered person or others, except on a follow form basis.</w:t>
      </w:r>
    </w:p>
    <w:p>
      <w:pPr>
        <w:pStyle w:val="TextBody"/>
        <w:bidi w:val="0"/>
        <w:spacing w:lineRule="auto" w:line="288" w:before="0" w:after="240"/>
        <w:ind w:left="0" w:right="0" w:firstLine="3"/>
        <w:jc w:val="both"/>
        <w:rPr>
          <w:rFonts w:ascii="Times New Roman;sans-serif" w:hAnsi="Times New Roman;sans-serif"/>
          <w:b w:val="false"/>
          <w:color w:val="000000"/>
          <w:sz w:val="20"/>
        </w:rPr>
      </w:pPr>
      <w:r>
        <w:rPr>
          <w:rFonts w:ascii="Times New Roman;sans-serif" w:hAnsi="Times New Roman;sans-serif"/>
          <w:b w:val="false"/>
          <w:color w:val="000000"/>
          <w:sz w:val="20"/>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activities other than selling, repairing, servicing, storing, parking, testing, or delivering motorized land vehicles.</w:t>
      </w:r>
    </w:p>
    <w:p>
      <w:pPr>
        <w:pStyle w:val="TextBody"/>
        <w:bidi w:val="0"/>
        <w:spacing w:lineRule="auto" w:line="288" w:before="0" w:after="24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"Incidental business away from home" is a self-employed sales activity, or a self-employed business activity normally undertaken by persons under the age of 18 or if a full-time student, under the age of 21, such as newspaper delivery, babysitting, caddying, and lawn care. Either of these activities must: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not yield gross revenues in excess of $15,000 in any year;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have no employees subject to any worker's compensation, disability benefits, unemployment compensation or other similar disability laws;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conform to local, state, and federal laws.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"Incidental business at home" is a business activity, other than farming, conducted by you in whole or in part on your residence premises which must: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not yield gross revenues in excess of $15,000, in any year, except for the business activity of managing one's own personal investments;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have no employees subject to worker's compensation, disability benefits, unemployment compensation or other similar disability laws;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conform to local, state, and federal laws.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"Incidental business at home" does not include business related to the use, sale, manufacturing, growing, delivering, transferring or processing of cannabis or any good or product that consists of or contains any amount of Tetrahydrocannabinol (THC) or any other cannabinoid, whether natural or synthetic.</w:t>
      </w:r>
    </w:p>
    <w:p>
      <w:pPr>
        <w:pStyle w:val="TextBody"/>
        <w:bidi w:val="0"/>
        <w:spacing w:lineRule="auto" w:line="288" w:before="0" w:after="240"/>
        <w:ind w:left="0" w:right="0" w:firstLine="14"/>
        <w:jc w:val="both"/>
        <w:rPr>
          <w:rFonts w:ascii="Times New Roman;sans-serif" w:hAnsi="Times New Roman;sans-serif"/>
          <w:b w:val="false"/>
          <w:color w:val="000000"/>
          <w:sz w:val="20"/>
        </w:rPr>
      </w:pPr>
      <w:r>
        <w:rPr>
          <w:rFonts w:ascii="Times New Roman;sans-serif" w:hAnsi="Times New Roman;sans-serif"/>
          <w:b w:val="false"/>
          <w:color w:val="000000"/>
          <w:sz w:val="20"/>
        </w:rPr>
        <w:t>"Incidental business property" is limited to the rental or holding for rental, to be used as a residence, of a condominium or cooperative unit owned by a covered person, an apartment unit rented by a covered person, a one or two family dwelling owned by a covered person, or a three or four family dwelling owned by a covered person and occupied by you. We provide this coverage only for premises covered under the Required Primary Underlying Insurance unless the rental or holding for rental is for: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 residence of yours that is occasionally rented and that is used exclusively as a residence;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part of a residence of yours by one or two roomers or boarders;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part of a residence of yours as an office, school, studio, or private garage.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"Incidental farming" is a farming activity which meets all of the following requirements: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is incidental to your use of the premises as your residence;</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does not involve employment of others for more than 1,500 hours of farm work during the policy period;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does not produce more than $25,000 in gross annual revenue from agricultural operations;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and with respect to the raising or care of animals: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does not produce more than $50,000 in gross annual revenues;</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does not involve more than 25 sales transactions during the policy period;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does not involve the sale of more than 50 animals during the policy period.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"Incidental farming" does not include farming related to the use, sale, manufacturing, growing, delivering, transferring or processing of cannabis or any good or product that consists of or contains any amount of Tetrahydrocannabinol (THC) or any other cannabinoid, whether natural or synthetic.</w:t>
      </w:r>
    </w:p>
    <w:p>
      <w:pPr>
        <w:pStyle w:val="TextBody"/>
        <w:bidi w:val="0"/>
        <w:spacing w:lineRule="auto" w:line="288" w:before="0" w:after="240"/>
        <w:ind w:left="0" w:right="0" w:firstLine="3"/>
        <w:jc w:val="both"/>
        <w:rPr>
          <w:rFonts w:ascii="Times New Roman;sans-serif" w:hAnsi="Times New Roman;sans-serif"/>
          <w:b w:val="false"/>
          <w:color w:val="000000"/>
          <w:sz w:val="20"/>
        </w:rPr>
      </w:pPr>
      <w:r>
        <w:rPr>
          <w:rFonts w:ascii="Times New Roman;sans-serif" w:hAnsi="Times New Roman;sans-serif"/>
          <w:b w:val="false"/>
          <w:color w:val="000000"/>
          <w:sz w:val="20"/>
        </w:rPr>
        <w:t>"Residence premises conditional business liability" is limited to business or professional activities when legally conducted by you or a family member at your residence. If there is no other valid and collectible insurance, we provide coverage only for personal injury or property damage arising out of the physical condition of that residence if:</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you do not have any employees involved in your business or professional activities who are subject to any workers' compensation disability benefits, unemployment compensation, or other similar laws; or, if you are a doctor or dentist, you do not have more than two employees subject to such laws; or</w:t>
      </w:r>
    </w:p>
    <w:p>
      <w:pPr>
        <w:pStyle w:val="TextBody"/>
        <w:bidi w:val="0"/>
        <w:spacing w:lineRule="auto" w:line="288" w:before="2" w:after="240"/>
        <w:ind w:left="0" w:right="0" w:hanging="360"/>
        <w:jc w:val="both"/>
        <w:rPr/>
      </w:pPr>
      <w:r>
        <w:rPr>
          <w:color w:val="000000"/>
        </w:rPr>
        <w:t>•</w:t>
      </w:r>
      <w:r>
        <w:rPr>
          <w:rFonts w:ascii="Times New Roman;sans-serif" w:hAnsi="Times New Roman;sans-serif"/>
          <w:b w:val="false"/>
          <w:color w:val="000000"/>
          <w:sz w:val="20"/>
        </w:rPr>
        <w:t>you are a home day care provider whose annual gross revenues from this activity do not exceed $5,000.</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cover damages or consequences resulting from business or professional care or services performed or not performed.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The following additional exclusion applies only to "incidental farming" as described under the exclusion, Business pursuits.</w:t>
      </w:r>
    </w:p>
    <w:p>
      <w:pPr>
        <w:pStyle w:val="TextBody"/>
        <w:bidi w:val="0"/>
        <w:spacing w:lineRule="auto" w:line="288" w:before="0" w:after="240"/>
        <w:ind w:left="0" w:right="0" w:firstLine="3"/>
        <w:jc w:val="left"/>
        <w:rPr/>
      </w:pPr>
      <w:r>
        <w:rPr>
          <w:rFonts w:ascii="Times New Roman;sans-serif" w:hAnsi="Times New Roman;sans-serif"/>
          <w:b/>
          <w:color w:val="000000"/>
          <w:sz w:val="20"/>
        </w:rPr>
        <w:t xml:space="preserve">Contamination. </w:t>
      </w:r>
      <w:r>
        <w:rPr>
          <w:rFonts w:ascii="Times New Roman;sans-serif" w:hAnsi="Times New Roman;sans-serif"/>
          <w:b w:val="false"/>
          <w:color w:val="000000"/>
          <w:sz w:val="20"/>
        </w:rPr>
        <w:t>We do not cover any actual or alleged damages arising out of the discharge, dispersal, seepage, migration or release or escape of pollutants. Nor do we cover any cost or expense arising out of any request, demand or order to:</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extract pollutants from land or water;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remove, restore or replace polluted or contaminated land or water; or</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test for, monitor, clean up, remove, contain, treat, detoxify or neutralize pollutants, or in any way respond to or assess the effects of pollutants.</w:t>
      </w:r>
    </w:p>
    <w:p>
      <w:pPr>
        <w:pStyle w:val="TextBody"/>
        <w:bidi w:val="0"/>
        <w:spacing w:lineRule="auto" w:line="288" w:before="0" w:after="24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However, this exclusion does not apply if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pStyle w:val="TextBody"/>
        <w:bidi w:val="0"/>
        <w:spacing w:lineRule="auto" w:line="288" w:before="0" w:after="240"/>
        <w:ind w:left="0" w:right="0" w:hanging="2"/>
        <w:jc w:val="both"/>
        <w:rPr/>
      </w:pPr>
      <w:r>
        <w:rPr>
          <w:rFonts w:ascii="Times New Roman;sans-serif" w:hAnsi="Times New Roman;sans-serif"/>
          <w:b/>
          <w:color w:val="000000"/>
          <w:sz w:val="20"/>
        </w:rPr>
        <w:t>Communicable disease</w:t>
      </w:r>
      <w:r>
        <w:rPr>
          <w:rFonts w:ascii="Times New Roman;sans-serif" w:hAnsi="Times New Roman;sans-serif"/>
          <w:b w:val="false"/>
          <w:color w:val="000000"/>
          <w:sz w:val="20"/>
        </w:rPr>
        <w:t>. We do not cover any actual or alleged damages arising out of any virus, bacteria, or other microorganism(s) that induce(s) or is capable of inducing physical distress, illness, or disease, or the fear or threat (whether actual or perceived) of any such virus, bacteria, or microorganism, including any and all damage, liability, or expenses directly or indirectly caused by any action or inaction of a covered person or any action or order of a government undertaken in response to, or intended to detect, control, prevent, suppress, mitigate or remediate, the actual, suspected, or anticipated presence of any virus, bacteria or other microorganism that induces, or is capable of inducing physical distress, illness, or disease.</w:t>
      </w:r>
    </w:p>
    <w:p>
      <w:pPr>
        <w:pStyle w:val="TextBody"/>
        <w:bidi w:val="0"/>
        <w:spacing w:lineRule="auto" w:line="288" w:before="0" w:after="24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This exclusion does not apply to damage arising out of or caused by fungi or mold, or any mycotoxins, spores, scents, or other by- products of fungi or mold.</w:t>
      </w:r>
    </w:p>
    <w:p>
      <w:pPr>
        <w:pStyle w:val="TextBody"/>
        <w:bidi w:val="0"/>
        <w:spacing w:lineRule="auto" w:line="288" w:before="0" w:after="240"/>
        <w:ind w:left="0" w:right="0" w:hanging="2"/>
        <w:jc w:val="both"/>
        <w:rPr/>
      </w:pPr>
      <w:r>
        <w:rPr>
          <w:rFonts w:ascii="Times New Roman;sans-serif" w:hAnsi="Times New Roman;sans-serif"/>
          <w:b/>
          <w:color w:val="000000"/>
          <w:sz w:val="20"/>
        </w:rPr>
        <w:t>Controlled Substance</w:t>
      </w:r>
      <w:r>
        <w:rPr>
          <w:rFonts w:ascii="Times New Roman;sans-serif" w:hAnsi="Times New Roman;sans-serif"/>
          <w:b w:val="false"/>
          <w:color w:val="000000"/>
          <w:sz w:val="20"/>
        </w:rPr>
        <w:t>. We do not cover any damages arising out of the use, sale, manufacture, delivery, transfer or possession by any person of a Controlled Substance as defined by the Federal Food and Drug Law at 21 U.S.C.A. Sections 811 and 812. Controlled Substances include but are not limited to cocaine, LSD, marijuana and all narcotic drugs. However, this exclusion does not apply to the legitimate use of prescription drugs by a person following the lawful orders of a licensed healthcare professional.</w:t>
      </w:r>
    </w:p>
    <w:p>
      <w:pPr>
        <w:pStyle w:val="TextBody"/>
        <w:bidi w:val="0"/>
        <w:spacing w:lineRule="auto" w:line="288" w:before="0" w:after="240"/>
        <w:ind w:left="0" w:right="0" w:hanging="2"/>
        <w:jc w:val="both"/>
        <w:rPr/>
      </w:pPr>
      <w:r>
        <w:rPr>
          <w:rFonts w:ascii="Times New Roman;sans-serif" w:hAnsi="Times New Roman;sans-serif"/>
          <w:b/>
          <w:color w:val="000000"/>
          <w:sz w:val="20"/>
        </w:rPr>
        <w:t>Pursuit or holding public office</w:t>
      </w:r>
      <w:r>
        <w:rPr>
          <w:rFonts w:ascii="Times New Roman;sans-serif" w:hAnsi="Times New Roman;sans-serif"/>
          <w:b w:val="false"/>
          <w:color w:val="000000"/>
          <w:sz w:val="20"/>
        </w:rPr>
        <w:t>. We do not cover any damages arising out of a covered person's pursuit or holding of an elected public office. But we do cover such damages for you or a family member if:</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annual compensation of the office, whether accepted or not, does not exceed $20,000;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hours required to perform the duties of the office do not exceed an annual average of 20 hours of work per week during the policy period.</w:t>
      </w:r>
    </w:p>
    <w:p>
      <w:pPr>
        <w:pStyle w:val="TextBody"/>
        <w:bidi w:val="0"/>
        <w:spacing w:lineRule="auto" w:line="288" w:before="0" w:after="240"/>
        <w:ind w:left="0" w:right="0" w:hanging="3"/>
        <w:jc w:val="both"/>
        <w:rPr/>
      </w:pPr>
      <w:r>
        <w:rPr>
          <w:rFonts w:ascii="Times New Roman;sans-serif" w:hAnsi="Times New Roman;sans-serif"/>
          <w:b/>
          <w:color w:val="000000"/>
          <w:sz w:val="20"/>
        </w:rPr>
        <w:t xml:space="preserve">Financial guarantees. </w:t>
      </w:r>
      <w:r>
        <w:rPr>
          <w:rFonts w:ascii="Times New Roman;sans-serif" w:hAnsi="Times New Roman;sans-serif"/>
          <w:b w:val="false"/>
          <w:color w:val="000000"/>
          <w:sz w:val="20"/>
        </w:rPr>
        <w:t>We do not cover any damages for any covered person's financial guarantee of the financial performance of any covered person, other individual or organization.</w:t>
      </w:r>
    </w:p>
    <w:p>
      <w:pPr>
        <w:pStyle w:val="TextBody"/>
        <w:bidi w:val="0"/>
        <w:spacing w:lineRule="auto" w:line="288" w:before="0" w:after="240"/>
        <w:ind w:left="0" w:right="0" w:hanging="1"/>
        <w:jc w:val="both"/>
        <w:rPr/>
      </w:pPr>
      <w:r>
        <w:rPr>
          <w:rFonts w:ascii="Times New Roman;sans-serif" w:hAnsi="Times New Roman;sans-serif"/>
          <w:b/>
          <w:color w:val="000000"/>
          <w:sz w:val="20"/>
        </w:rPr>
        <w:t xml:space="preserve">Cyber disruption. </w:t>
      </w:r>
      <w:r>
        <w:rPr>
          <w:rFonts w:ascii="Times New Roman;sans-serif" w:hAnsi="Times New Roman;sans-serif"/>
          <w:b w:val="false"/>
          <w:color w:val="000000"/>
          <w:sz w:val="20"/>
        </w:rPr>
        <w:t>We do not cover any damages arising out of a cyber attack.</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"Cyber attack" means the following malicious or fraudulent acts: unauthorized access to or use of electronic data processing property; alteration, corruption, damage, reduction in functionality, manipulation, misappropriation, theft, deletion, or destruction of electronic data processing property; transmission or introduction of a computer virus or harmful code, including ransomware, into electronic data processing property; or restriction or inhibition of access targeted at or directed against electronic data processing property.</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 attack" does not mean the following non-malicious acts: human operating error or omission, including the choice of the program used, an error in setting parameters or any inappropriate single intervention by you, a family member, or a third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party providing services to you; mistakes in legitimate electronic code or damage from code installed on your electronic data processing property during the manufacturing process, upgrade process, or normal maintenance; or power failure, surge or diminution of electronic systems.</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"Electronic data" means information, concepts, knowledge, facts, or instructions which are stored digitally. "Electronic data" does not mean tangible property, nor is tangible property electronic data.</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"Electronic contents" means non-recoverable purchased eBooks, software, application software (apps), and photo, video, music, and movie files.</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"Electronic data processing property" means: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electronic data processing equipment, and their accessories;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portable electronic devices such as smartphones, electronic reading devices, tablets, handheld or wearable computers, or similar devices;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software;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electronic contents;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electronic data, including the capacity of electronic data to be stored, processed, or transmitted over the Internet.</w:t>
      </w:r>
    </w:p>
    <w:p>
      <w:pPr>
        <w:pStyle w:val="TextBody"/>
        <w:bidi w:val="0"/>
        <w:spacing w:lineRule="auto" w:line="288" w:before="0" w:after="240"/>
        <w:ind w:left="0" w:right="0" w:hanging="1"/>
        <w:jc w:val="both"/>
        <w:rPr/>
      </w:pPr>
      <w:r>
        <w:rPr>
          <w:rFonts w:ascii="Times New Roman;sans-serif" w:hAnsi="Times New Roman;sans-serif"/>
          <w:b/>
          <w:color w:val="000000"/>
          <w:sz w:val="20"/>
        </w:rPr>
        <w:t xml:space="preserve">Professional services. </w:t>
      </w:r>
      <w:r>
        <w:rPr>
          <w:rFonts w:ascii="Times New Roman;sans-serif" w:hAnsi="Times New Roman;sans-serif"/>
          <w:b w:val="false"/>
          <w:color w:val="000000"/>
          <w:sz w:val="20"/>
        </w:rPr>
        <w:t>We do not cover any damages for any covered person's performing or failure to perform professional services, or for professional services for which any covered person is legally responsible or licensed.</w:t>
      </w:r>
    </w:p>
    <w:p>
      <w:pPr>
        <w:pStyle w:val="TextBody"/>
        <w:bidi w:val="0"/>
        <w:spacing w:lineRule="auto" w:line="288" w:before="0" w:after="240"/>
        <w:jc w:val="both"/>
        <w:rPr/>
      </w:pPr>
      <w:r>
        <w:rPr>
          <w:rFonts w:ascii="Times New Roman;sans-serif" w:hAnsi="Times New Roman;sans-serif"/>
          <w:b/>
          <w:color w:val="000000"/>
          <w:sz w:val="20"/>
        </w:rPr>
        <w:t xml:space="preserve">Acts of war. </w:t>
      </w:r>
      <w:r>
        <w:rPr>
          <w:rFonts w:ascii="Times New Roman;sans-serif" w:hAnsi="Times New Roman;sans-serif"/>
          <w:b w:val="false"/>
          <w:color w:val="000000"/>
          <w:sz w:val="20"/>
        </w:rPr>
        <w:t>We do not cover any damages caused directly or indirectly by war, undeclared war, civil war, insurrection, rebellion, revolution, warlike acts by military forces or personnel, the destruction or seizure of property for a military purpose, or the consequences of any of these actions.</w:t>
      </w:r>
    </w:p>
    <w:p>
      <w:pPr>
        <w:pStyle w:val="TextBody"/>
        <w:bidi w:val="0"/>
        <w:spacing w:lineRule="auto" w:line="288" w:before="0" w:after="240"/>
        <w:ind w:left="0" w:right="0" w:firstLine="3"/>
        <w:jc w:val="both"/>
        <w:rPr/>
      </w:pPr>
      <w:r>
        <w:rPr>
          <w:rFonts w:ascii="Times New Roman;sans-serif" w:hAnsi="Times New Roman;sans-serif"/>
          <w:b/>
          <w:color w:val="000000"/>
          <w:sz w:val="20"/>
        </w:rPr>
        <w:t xml:space="preserve">Contractual liability. </w:t>
      </w:r>
      <w:r>
        <w:rPr>
          <w:rFonts w:ascii="Times New Roman;sans-serif" w:hAnsi="Times New Roman;sans-serif"/>
          <w:b w:val="false"/>
          <w:color w:val="000000"/>
          <w:sz w:val="20"/>
        </w:rPr>
        <w:t>We do not cover any damages arising from contracts or agreements made in connection with any covered person's business. Nor do we cover any liability for unwritten contracts, or contracts in which the liability of others is assumed after a covered loss.</w:t>
      </w:r>
    </w:p>
    <w:p>
      <w:pPr>
        <w:pStyle w:val="TextBody"/>
        <w:bidi w:val="0"/>
        <w:spacing w:lineRule="auto" w:line="288" w:before="0" w:after="240"/>
        <w:ind w:left="0" w:right="0" w:firstLine="1"/>
        <w:jc w:val="both"/>
        <w:rPr/>
      </w:pPr>
      <w:r>
        <w:rPr>
          <w:rFonts w:ascii="Times New Roman;sans-serif" w:hAnsi="Times New Roman;sans-serif"/>
          <w:b/>
          <w:color w:val="000000"/>
          <w:sz w:val="20"/>
        </w:rPr>
        <w:t>Assessments</w:t>
      </w:r>
      <w:r>
        <w:rPr>
          <w:rFonts w:ascii="Times New Roman;sans-serif" w:hAnsi="Times New Roman;sans-serif"/>
          <w:b w:val="false"/>
          <w:color w:val="000000"/>
          <w:sz w:val="20"/>
        </w:rPr>
        <w:t>. We do not cover any assessments charged against a covered person as a member of a homeowners, condominium or cooperative association.</w:t>
      </w:r>
    </w:p>
    <w:p>
      <w:pPr>
        <w:pStyle w:val="TextBody"/>
        <w:bidi w:val="0"/>
        <w:spacing w:lineRule="auto" w:line="288" w:before="0" w:after="240"/>
        <w:ind w:left="0" w:right="0" w:firstLine="1"/>
        <w:jc w:val="both"/>
        <w:rPr/>
      </w:pPr>
      <w:r>
        <w:rPr>
          <w:rFonts w:ascii="Times New Roman;sans-serif" w:hAnsi="Times New Roman;sans-serif"/>
          <w:b/>
          <w:color w:val="000000"/>
          <w:sz w:val="20"/>
        </w:rPr>
        <w:t>Covered person's or dependent's personal injury</w:t>
      </w:r>
      <w:r>
        <w:rPr>
          <w:rFonts w:ascii="Times New Roman;sans-serif" w:hAnsi="Times New Roman;sans-serif"/>
          <w:b w:val="false"/>
          <w:color w:val="000000"/>
          <w:sz w:val="20"/>
        </w:rPr>
        <w:t>. We do not cover any damages for personal injury for any covered person or their dependents where the ultimate beneficiary is you, the offending party or defendant. We also do not cover any damages for personal injury for which you or a family member can be held legally liable, in any way, to a family member, a person who lives with you, or a person named in the Coverage Summary Certificate. We also do not cover any damages for personal injury for which a family member, a person who lives with you, or a person named in the Coverage Summary Certificate can be held legally liable, in any way, to you or a family member.</w:t>
      </w:r>
    </w:p>
    <w:p>
      <w:pPr>
        <w:pStyle w:val="TextBody"/>
        <w:bidi w:val="0"/>
        <w:spacing w:lineRule="auto" w:line="288" w:before="0" w:after="240"/>
        <w:ind w:left="0" w:right="0" w:firstLine="3"/>
        <w:jc w:val="both"/>
        <w:rPr>
          <w:rFonts w:ascii="Times New Roman;sans-serif" w:hAnsi="Times New Roman;sans-serif"/>
          <w:b w:val="false"/>
          <w:color w:val="000000"/>
          <w:sz w:val="20"/>
        </w:rPr>
      </w:pPr>
      <w:r>
        <w:rPr>
          <w:rFonts w:ascii="Times New Roman;sans-serif" w:hAnsi="Times New Roman;sans-serif"/>
          <w:b w:val="false"/>
          <w:color w:val="000000"/>
          <w:sz w:val="20"/>
        </w:rPr>
        <w:t>However, we do cover damages for bodily injury arising out of the use of a motorized land vehicle for which you or a family member can be held legally liable to a family member, or a person named in the Coverage Summary Certificate, or for which a family member or a person named in the Coverage Summary Certificate can be held legally liable to you or a family member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pStyle w:val="TextBody"/>
        <w:bidi w:val="0"/>
        <w:spacing w:lineRule="auto" w:line="288" w:before="0" w:after="240"/>
        <w:ind w:left="0" w:right="0" w:firstLine="1"/>
        <w:jc w:val="both"/>
        <w:rPr/>
      </w:pPr>
      <w:r>
        <w:rPr>
          <w:rFonts w:ascii="Times New Roman;sans-serif" w:hAnsi="Times New Roman;sans-serif"/>
          <w:b/>
          <w:color w:val="000000"/>
          <w:sz w:val="20"/>
        </w:rPr>
        <w:t xml:space="preserve">Liability for dependent care. </w:t>
      </w:r>
      <w:r>
        <w:rPr>
          <w:rFonts w:ascii="Times New Roman;sans-serif" w:hAnsi="Times New Roman;sans-serif"/>
          <w:b w:val="false"/>
          <w:color w:val="000000"/>
          <w:sz w:val="20"/>
        </w:rPr>
        <w:t>We do not cover any damages for personal injury for which a covered person's only legal liability is by virtue of a contract or other responsibility for a dependent's care.</w:t>
      </w:r>
    </w:p>
    <w:p>
      <w:pPr>
        <w:pStyle w:val="TextBody"/>
        <w:bidi w:val="0"/>
        <w:spacing w:lineRule="auto" w:line="288" w:before="0" w:after="240"/>
        <w:ind w:left="0" w:right="0" w:firstLine="3"/>
        <w:jc w:val="both"/>
        <w:rPr/>
      </w:pPr>
      <w:r>
        <w:rPr>
          <w:rFonts w:ascii="Times New Roman;sans-serif" w:hAnsi="Times New Roman;sans-serif"/>
          <w:b/>
          <w:color w:val="000000"/>
          <w:sz w:val="20"/>
        </w:rPr>
        <w:t xml:space="preserve">Illness. </w:t>
      </w:r>
      <w:r>
        <w:rPr>
          <w:rFonts w:ascii="Times New Roman;sans-serif" w:hAnsi="Times New Roman;sans-serif"/>
          <w:b w:val="false"/>
          <w:color w:val="000000"/>
          <w:sz w:val="20"/>
        </w:rPr>
        <w:t xml:space="preserve">We do not cover personal injury or property damage resulting from any illness, sickness or disease transmitted intentionally or unintentionally by a covered person to anyone, or any consequence resulting from that illness, sickness or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disease. We also do not cover any damages for personal injury resulting from the fear of contracting any illness, sickness or disease, or any consequence resulting from the fear of contracting any illness, sickness or disease.</w:t>
      </w:r>
    </w:p>
    <w:p>
      <w:pPr>
        <w:pStyle w:val="TextBody"/>
        <w:bidi w:val="0"/>
        <w:spacing w:lineRule="auto" w:line="288" w:before="0" w:after="240"/>
        <w:ind w:left="0" w:right="0" w:hanging="3"/>
        <w:jc w:val="both"/>
        <w:rPr/>
      </w:pPr>
      <w:r>
        <w:rPr>
          <w:rFonts w:ascii="Times New Roman;sans-serif" w:hAnsi="Times New Roman;sans-serif"/>
          <w:b/>
          <w:color w:val="000000"/>
          <w:sz w:val="20"/>
        </w:rPr>
        <w:t>Fungi and mold</w:t>
      </w:r>
      <w:r>
        <w:rPr>
          <w:rFonts w:ascii="Times New Roman;sans-serif" w:hAnsi="Times New Roman;sans-serif"/>
          <w:b w:val="false"/>
          <w:color w:val="000000"/>
          <w:sz w:val="20"/>
        </w:rPr>
        <w:t>. We do not cover any actual or alleged damages arising out of mold, the fear of mold, or any consequences resulting from mold or the fear of mold. "Mold" means fungi, mold, mold spores, mycotoxins, and the scents and other byproducts of any of these.</w:t>
      </w:r>
    </w:p>
    <w:p>
      <w:pPr>
        <w:pStyle w:val="TextBody"/>
        <w:bidi w:val="0"/>
        <w:spacing w:lineRule="auto" w:line="288" w:before="0" w:after="240"/>
        <w:ind w:left="0" w:right="0" w:hanging="3"/>
        <w:jc w:val="both"/>
        <w:rPr/>
      </w:pPr>
      <w:r>
        <w:rPr>
          <w:rFonts w:ascii="Times New Roman;sans-serif" w:hAnsi="Times New Roman;sans-serif"/>
          <w:b/>
          <w:color w:val="000000"/>
          <w:sz w:val="20"/>
        </w:rPr>
        <w:t>Liability for the acts of others</w:t>
      </w:r>
      <w:r>
        <w:rPr>
          <w:rFonts w:ascii="Times New Roman;sans-serif" w:hAnsi="Times New Roman;sans-serif"/>
          <w:b w:val="false"/>
          <w:color w:val="000000"/>
          <w:sz w:val="20"/>
        </w:rPr>
        <w:t>. We do not cover any person for damages arising from:</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any entrustment of property;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failure to supervise or the negligent supervision of any person;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any parental or ownership liability.</w:t>
      </w:r>
    </w:p>
    <w:p>
      <w:pPr>
        <w:pStyle w:val="TextBody"/>
        <w:bidi w:val="0"/>
        <w:spacing w:lineRule="auto" w:line="288" w:before="0" w:after="240"/>
        <w:ind w:left="0" w:right="0" w:hanging="3"/>
        <w:jc w:val="both"/>
        <w:rPr>
          <w:rFonts w:ascii="Times New Roman;sans-serif" w:hAnsi="Times New Roman;sans-serif"/>
          <w:b w:val="false"/>
          <w:color w:val="000000"/>
          <w:sz w:val="20"/>
        </w:rPr>
      </w:pPr>
      <w:r>
        <w:rPr>
          <w:rFonts w:ascii="Times New Roman;sans-serif" w:hAnsi="Times New Roman;sans-serif"/>
          <w:b w:val="false"/>
          <w:color w:val="000000"/>
          <w:sz w:val="20"/>
        </w:rPr>
        <w:t>This exclusion applies only to damages arising out of the ownership, maintenance or use of any motorized land vehicle, watercraft 26 feet or longer or with more than 50 engine rated horsepower, aircraft or hovercraft. But we do cover these damages on a follow form basis for the type of motorized land vehicle involved, unless another exclusion applies. This exclusion does not apply to any other coverage provided under an exclusion in this policy.</w:t>
      </w:r>
    </w:p>
    <w:p>
      <w:pPr>
        <w:pStyle w:val="TextBody"/>
        <w:bidi w:val="0"/>
        <w:spacing w:lineRule="auto" w:line="288" w:before="0" w:after="240"/>
        <w:ind w:left="0" w:right="0" w:firstLine="8"/>
        <w:jc w:val="left"/>
        <w:rPr/>
      </w:pPr>
      <w:r>
        <w:rPr>
          <w:rFonts w:ascii="Times New Roman;sans-serif" w:hAnsi="Times New Roman;sans-serif"/>
          <w:b/>
          <w:color w:val="000000"/>
          <w:sz w:val="20"/>
        </w:rPr>
        <w:t xml:space="preserve">Nuclear or radiation hazard. </w:t>
      </w:r>
      <w:r>
        <w:rPr>
          <w:rFonts w:ascii="Times New Roman;sans-serif" w:hAnsi="Times New Roman;sans-serif"/>
          <w:b w:val="false"/>
          <w:color w:val="000000"/>
          <w:sz w:val="20"/>
        </w:rPr>
        <w:t>We do not cover any damages caused directly or indirectly by nuclear reaction, radiation, or radioactive contamination, regardless of how it was caused.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POLICY TERMS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part of your Group Personal Excess Liability Policy explains the conditions that apply to your policy.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General Conditions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conditions apply to your policy in general, and to each coverage provided in the policy.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Policy period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dates of your policy are shown in the Coverage Summary Certificate. Those dates begin at 12:01 a.m. standard time at the mailing address shown.</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All coverages on this policy apply only to occurrences that take place while this policy is in effect.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Transfer of rights</w:t>
      </w:r>
    </w:p>
    <w:p>
      <w:pPr>
        <w:pStyle w:val="TextBody"/>
        <w:bidi w:val="0"/>
        <w:spacing w:lineRule="auto" w:line="288" w:before="0" w:after="240"/>
        <w:ind w:left="0" w:right="0" w:hanging="15"/>
        <w:jc w:val="left"/>
        <w:rPr>
          <w:rFonts w:ascii="Times New Roman;sans-serif" w:hAnsi="Times New Roman;sans-serif"/>
          <w:b w:val="false"/>
          <w:color w:val="000000"/>
          <w:sz w:val="20"/>
        </w:rPr>
      </w:pPr>
      <w:r>
        <w:rPr>
          <w:rFonts w:ascii="Times New Roman;sans-serif" w:hAnsi="Times New Roman;sans-serif"/>
          <w:b w:val="false"/>
          <w:color w:val="000000"/>
          <w:sz w:val="20"/>
        </w:rPr>
        <w:t>If we make a payment under this policy, we will assume any recovery rights a covered person has in connection with that loss, to the extent we have paid for the loss.</w:t>
      </w:r>
    </w:p>
    <w:p>
      <w:pPr>
        <w:pStyle w:val="TextBody"/>
        <w:bidi w:val="0"/>
        <w:spacing w:lineRule="auto" w:line="288" w:before="0" w:after="240"/>
        <w:ind w:left="0" w:right="0" w:hanging="5"/>
        <w:jc w:val="both"/>
        <w:rPr>
          <w:rFonts w:ascii="Times New Roman;sans-serif" w:hAnsi="Times New Roman;sans-serif"/>
          <w:b w:val="false"/>
          <w:color w:val="000000"/>
          <w:sz w:val="20"/>
        </w:rPr>
      </w:pPr>
      <w:r>
        <w:rPr>
          <w:rFonts w:ascii="Times New Roman;sans-serif" w:hAnsi="Times New Roman;sans-serif"/>
          <w:b w:val="false"/>
          <w:color w:val="000000"/>
          <w:sz w:val="20"/>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Concealment or fraud</w:t>
      </w:r>
    </w:p>
    <w:p>
      <w:pPr>
        <w:pStyle w:val="TextBody"/>
        <w:bidi w:val="0"/>
        <w:spacing w:lineRule="auto" w:line="288" w:before="0" w:after="240"/>
        <w:ind w:left="0" w:right="0" w:hanging="11"/>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provide coverage if you or any covered person has intentionally concealed or misrepresented any material fact relating to this policy before or after a loss.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Application of coverage</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Coverage applies separately to each covered person. However, this provision does not increase the amount of coverage for any one occurrence.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Assignment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You cannot transfer your interest in this policy to anyone else unless we agree in writing to the transfer.</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Policy changes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can be changed only by a written amendment we issue.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Bankruptcy or insolvency</w:t>
      </w:r>
    </w:p>
    <w:p>
      <w:pPr>
        <w:pStyle w:val="TextBody"/>
        <w:bidi w:val="0"/>
        <w:spacing w:lineRule="auto" w:line="288" w:before="0" w:after="240"/>
        <w:ind w:left="0" w:right="0" w:hanging="18"/>
        <w:jc w:val="both"/>
        <w:rPr>
          <w:rFonts w:ascii="Times New Roman;sans-serif" w:hAnsi="Times New Roman;sans-serif"/>
          <w:b w:val="false"/>
          <w:color w:val="000000"/>
          <w:sz w:val="20"/>
        </w:rPr>
      </w:pPr>
      <w:r>
        <w:rPr>
          <w:rFonts w:ascii="Times New Roman;sans-serif" w:hAnsi="Times New Roman;sans-serif"/>
          <w:b w:val="false"/>
          <w:color w:val="000000"/>
          <w:sz w:val="20"/>
        </w:rPr>
        <w:t>We will meet all our obligations under this policy regardless of whether you, your estate, or anyone else or their estate becomes bankrupt or insolvent.</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 case of death</w:t>
      </w:r>
    </w:p>
    <w:p>
      <w:pPr>
        <w:pStyle w:val="TextBody"/>
        <w:bidi w:val="0"/>
        <w:spacing w:lineRule="auto" w:line="288" w:before="0" w:after="240"/>
        <w:ind w:left="0" w:right="0" w:hanging="1"/>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your death, we cover your legal representative or any person having proper temporary custody of your property until a legal representative is appointed and qualified, but only with respect to your premises and other property covered under the policy at the time of death. We will also cover any member of your household who is a covered person at the time of death.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Liberalization</w:t>
      </w:r>
    </w:p>
    <w:p>
      <w:pPr>
        <w:pStyle w:val="TextBody"/>
        <w:bidi w:val="0"/>
        <w:spacing w:lineRule="auto" w:line="288" w:before="0" w:after="240"/>
        <w:ind w:left="0" w:right="0" w:hanging="2"/>
        <w:jc w:val="both"/>
        <w:rPr>
          <w:rFonts w:ascii="Times New Roman;sans-serif" w:hAnsi="Times New Roman;sans-serif"/>
          <w:b w:val="false"/>
          <w:color w:val="000000"/>
          <w:sz w:val="20"/>
        </w:rPr>
      </w:pPr>
      <w:r>
        <w:rPr>
          <w:rFonts w:ascii="Times New Roman;sans-serif" w:hAnsi="Times New Roman;sans-serif"/>
          <w:b w:val="false"/>
          <w:color w:val="000000"/>
          <w:sz w:val="20"/>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Conforming to state law</w:t>
      </w:r>
    </w:p>
    <w:p>
      <w:pPr>
        <w:pStyle w:val="TextBody"/>
        <w:bidi w:val="0"/>
        <w:spacing w:lineRule="auto" w:line="288" w:before="0" w:after="240"/>
        <w:ind w:left="0" w:right="0" w:hanging="15"/>
        <w:jc w:val="both"/>
        <w:rPr>
          <w:rFonts w:ascii="Times New Roman;sans-serif" w:hAnsi="Times New Roman;sans-serif"/>
          <w:b w:val="false"/>
          <w:color w:val="000000"/>
          <w:sz w:val="20"/>
        </w:rPr>
      </w:pPr>
      <w:r>
        <w:rPr>
          <w:rFonts w:ascii="Times New Roman;sans-serif" w:hAnsi="Times New Roman;sans-serif"/>
          <w:b w:val="false"/>
          <w:color w:val="000000"/>
          <w:sz w:val="20"/>
        </w:rPr>
        <w:t>If any provision of this policy conflicts with any applicable laws of the state you live in, this policy is amended to conform to those laws.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Conforming to trade sanction laws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does not apply to the extent that trade or economic sanctions or other laws or regulations prohibit us from providing insurance.</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Liability Conditions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These conditions apply to all liability coverages in this policy.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Other Insurance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This insurance is excess over any other insurance, and we shall not have any obligation to defend or indemnify if other insurance, whether primary, excess, umbrella, contingent, or on any other policy, covers the loss except for those policies that</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are written specifically to cover excess over the amount of coverage that applies in this policy; and</w:t>
      </w:r>
    </w:p>
    <w:p>
      <w:pPr>
        <w:pStyle w:val="TextBody"/>
        <w:bidi w:val="0"/>
        <w:spacing w:lineRule="auto" w:line="288" w:before="2" w:after="240"/>
        <w:ind w:left="0" w:right="0" w:hanging="360"/>
        <w:jc w:val="left"/>
        <w:rPr/>
      </w:pPr>
      <w:r>
        <w:rPr>
          <w:color w:val="000000"/>
        </w:rPr>
        <w:t>•</w:t>
      </w:r>
      <w:r>
        <w:rPr>
          <w:rFonts w:ascii="Times New Roman;sans-serif" w:hAnsi="Times New Roman;sans-serif"/>
          <w:b w:val="false"/>
          <w:color w:val="000000"/>
          <w:sz w:val="20"/>
        </w:rPr>
        <w:t>schedule this policy as underlying insurance.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Your duties after a loss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case of an accident or occurrence, you must perform these duties:</w:t>
      </w:r>
    </w:p>
    <w:p>
      <w:pPr>
        <w:pStyle w:val="TextBody"/>
        <w:bidi w:val="0"/>
        <w:spacing w:lineRule="auto" w:line="288" w:before="0" w:after="240"/>
        <w:jc w:val="left"/>
        <w:rPr/>
      </w:pPr>
      <w:r>
        <w:rPr>
          <w:rFonts w:ascii="Times New Roman;sans-serif" w:hAnsi="Times New Roman;sans-serif"/>
          <w:b/>
          <w:color w:val="000000"/>
          <w:sz w:val="20"/>
        </w:rPr>
        <w:t xml:space="preserve">Notification. </w:t>
      </w:r>
      <w:r>
        <w:rPr>
          <w:rFonts w:ascii="Times New Roman;sans-serif" w:hAnsi="Times New Roman;sans-serif"/>
          <w:b w:val="false"/>
          <w:color w:val="000000"/>
          <w:sz w:val="20"/>
        </w:rPr>
        <w:t>You must notify us or your agent or broker as soon as possible.</w:t>
      </w:r>
    </w:p>
    <w:p>
      <w:pPr>
        <w:pStyle w:val="TextBody"/>
        <w:bidi w:val="0"/>
        <w:spacing w:lineRule="auto" w:line="288" w:before="0" w:after="240"/>
        <w:ind w:left="0" w:right="0" w:hanging="1"/>
        <w:jc w:val="both"/>
        <w:rPr/>
      </w:pPr>
      <w:r>
        <w:rPr>
          <w:rFonts w:ascii="Times New Roman;sans-serif" w:hAnsi="Times New Roman;sans-serif"/>
          <w:b/>
          <w:color w:val="000000"/>
          <w:sz w:val="20"/>
        </w:rPr>
        <w:t xml:space="preserve">Assistance. </w:t>
      </w:r>
      <w:r>
        <w:rPr>
          <w:rFonts w:ascii="Times New Roman;sans-serif" w:hAnsi="Times New Roman;sans-serif"/>
          <w:b w:val="false"/>
          <w:color w:val="000000"/>
          <w:sz w:val="20"/>
        </w:rPr>
        <w:t>You must provide us with all available information. This includes any suit papers or other documents which help us in the event that we defend you.</w:t>
      </w:r>
    </w:p>
    <w:p>
      <w:pPr>
        <w:pStyle w:val="TextBody"/>
        <w:bidi w:val="0"/>
        <w:spacing w:lineRule="auto" w:line="288" w:before="0" w:after="240"/>
        <w:ind w:left="0" w:right="0" w:firstLine="1"/>
        <w:jc w:val="both"/>
        <w:rPr/>
      </w:pPr>
      <w:r>
        <w:rPr>
          <w:rFonts w:ascii="Times New Roman;sans-serif" w:hAnsi="Times New Roman;sans-serif"/>
          <w:b/>
          <w:color w:val="000000"/>
          <w:sz w:val="20"/>
        </w:rPr>
        <w:t xml:space="preserve">Cooperation. </w:t>
      </w:r>
      <w:r>
        <w:rPr>
          <w:rFonts w:ascii="Times New Roman;sans-serif" w:hAnsi="Times New Roman;sans-serif"/>
          <w:b w:val="false"/>
          <w:color w:val="000000"/>
          <w:sz w:val="20"/>
        </w:rPr>
        <w:t>You must cooperate with us fully in any legal defense. This may include any association by us with the covered person in defense of a claim reasonably likely to involve us.</w:t>
      </w:r>
    </w:p>
    <w:p>
      <w:pPr>
        <w:pStyle w:val="TextBody"/>
        <w:bidi w:val="0"/>
        <w:spacing w:lineRule="auto" w:line="288" w:before="0" w:after="240"/>
        <w:jc w:val="left"/>
        <w:rPr/>
      </w:pPr>
      <w:r>
        <w:rPr>
          <w:rFonts w:ascii="Times New Roman;sans-serif" w:hAnsi="Times New Roman;sans-serif"/>
          <w:b/>
          <w:color w:val="000000"/>
          <w:sz w:val="20"/>
        </w:rPr>
        <w:t xml:space="preserve">Examination. </w:t>
      </w:r>
      <w:r>
        <w:rPr>
          <w:rFonts w:ascii="Times New Roman;sans-serif" w:hAnsi="Times New Roman;sans-serif"/>
          <w:b w:val="false"/>
          <w:color w:val="000000"/>
          <w:sz w:val="20"/>
        </w:rPr>
        <w:t>A person making a claim under this policy must submit as often as we reasonably require:</w:t>
      </w:r>
    </w:p>
    <w:p>
      <w:pPr>
        <w:pStyle w:val="TextBody"/>
        <w:bidi w:val="0"/>
        <w:spacing w:lineRule="auto" w:line="288" w:before="2" w:after="240"/>
        <w:ind w:left="0" w:right="0" w:hanging="332"/>
        <w:jc w:val="left"/>
        <w:rPr/>
      </w:pPr>
      <w:r>
        <w:rPr>
          <w:color w:val="000000"/>
        </w:rPr>
        <w:t>•</w:t>
      </w:r>
      <w:r>
        <w:rPr>
          <w:rFonts w:ascii="Times New Roman;sans-serif" w:hAnsi="Times New Roman;sans-serif"/>
          <w:b w:val="false"/>
          <w:color w:val="000000"/>
          <w:sz w:val="20"/>
        </w:rPr>
        <w:t>to physical exams by physicians we select, which we will pay for; and</w:t>
      </w:r>
    </w:p>
    <w:p>
      <w:pPr>
        <w:pStyle w:val="TextBody"/>
        <w:bidi w:val="0"/>
        <w:spacing w:lineRule="auto" w:line="288" w:before="2" w:after="240"/>
        <w:ind w:left="0" w:right="0" w:hanging="332"/>
        <w:jc w:val="left"/>
        <w:rPr/>
      </w:pPr>
      <w:r>
        <w:rPr>
          <w:color w:val="000000"/>
        </w:rPr>
        <w:t>•</w:t>
      </w:r>
      <w:r>
        <w:rPr>
          <w:rFonts w:ascii="Times New Roman;sans-serif" w:hAnsi="Times New Roman;sans-serif"/>
          <w:b w:val="false"/>
          <w:color w:val="000000"/>
          <w:sz w:val="20"/>
        </w:rPr>
        <w:t xml:space="preserve">to examination under oath and subscribe the same;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and authorize us to obtain:</w:t>
      </w:r>
    </w:p>
    <w:p>
      <w:pPr>
        <w:pStyle w:val="TextBody"/>
        <w:bidi w:val="0"/>
        <w:spacing w:lineRule="auto" w:line="288" w:before="2" w:after="240"/>
        <w:ind w:left="0" w:right="0" w:hanging="332"/>
        <w:jc w:val="left"/>
        <w:rPr/>
      </w:pPr>
      <w:r>
        <w:rPr>
          <w:color w:val="000000"/>
        </w:rPr>
        <w:t>•</w:t>
      </w:r>
      <w:r>
        <w:rPr>
          <w:rFonts w:ascii="Times New Roman;sans-serif" w:hAnsi="Times New Roman;sans-serif"/>
          <w:b w:val="false"/>
          <w:color w:val="000000"/>
          <w:sz w:val="20"/>
        </w:rPr>
        <w:t>medical reports; and</w:t>
      </w:r>
    </w:p>
    <w:p>
      <w:pPr>
        <w:pStyle w:val="TextBody"/>
        <w:bidi w:val="0"/>
        <w:spacing w:lineRule="auto" w:line="288" w:before="2" w:after="240"/>
        <w:ind w:left="0" w:right="0" w:hanging="332"/>
        <w:jc w:val="left"/>
        <w:rPr/>
      </w:pPr>
      <w:r>
        <w:rPr>
          <w:color w:val="000000"/>
        </w:rPr>
        <w:t>•</w:t>
      </w:r>
      <w:r>
        <w:rPr>
          <w:rFonts w:ascii="Times New Roman;sans-serif" w:hAnsi="Times New Roman;sans-serif"/>
          <w:b w:val="false"/>
          <w:color w:val="000000"/>
          <w:sz w:val="20"/>
        </w:rPr>
        <w:t>other pertinent records.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Appeals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
        <w:jc w:val="both"/>
        <w:rPr>
          <w:rFonts w:ascii="Times New Roman;sans-serif" w:hAnsi="Times New Roman;sans-serif"/>
          <w:b w:val="false"/>
          <w:color w:val="000000"/>
          <w:sz w:val="20"/>
        </w:rPr>
      </w:pPr>
      <w:r>
        <w:rPr>
          <w:rFonts w:ascii="Times New Roman;sans-serif" w:hAnsi="Times New Roman;sans-serif"/>
          <w:b w:val="false"/>
          <w:color w:val="000000"/>
          <w:sz w:val="20"/>
        </w:rPr>
        <w:t>If a covered person, or any primary insurer, does not appeal a judgment for covered damages, we may choose to do so. We will then become responsible for all expenses, taxable costs, and interest arising out of the appeal. However, the amount of coverage for damages will not be increased.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Special Conditions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conflict with any other conditions of your policy, these conditions supersede.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Legal action against us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You agree not to bring action against us unless you have first complied with all conditions of this policy.</w:t>
      </w:r>
    </w:p>
    <w:p>
      <w:pPr>
        <w:pStyle w:val="TextBody"/>
        <w:bidi w:val="0"/>
        <w:spacing w:lineRule="auto" w:line="288" w:before="0" w:after="240"/>
        <w:ind w:left="0" w:right="0" w:hanging="10"/>
        <w:jc w:val="both"/>
        <w:rPr>
          <w:rFonts w:ascii="Times New Roman;sans-serif" w:hAnsi="Times New Roman;sans-serif"/>
          <w:b w:val="false"/>
          <w:color w:val="000000"/>
          <w:sz w:val="20"/>
        </w:rPr>
      </w:pPr>
      <w:r>
        <w:rPr>
          <w:rFonts w:ascii="Times New Roman;sans-serif" w:hAnsi="Times New Roman;sans-serif"/>
          <w:b w:val="false"/>
          <w:color w:val="000000"/>
          <w:sz w:val="20"/>
        </w:rPr>
        <w:t>You also agree not to bring any action against us until the amount of damages you are legally obligated to pay has been finally determined after an actual trial or appeal, if any, or by a written agreement between you, us and the claimant. No person or organization has any right under this policy to bring us into any action to determine the liability of a covered person.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Notice of cancellation and coverage termination conditions</w:t>
      </w:r>
    </w:p>
    <w:p>
      <w:pPr>
        <w:pStyle w:val="TextBody"/>
        <w:bidi w:val="0"/>
        <w:spacing w:lineRule="auto" w:line="288" w:before="0" w:after="240"/>
        <w:ind w:left="0" w:right="0" w:firstLine="11"/>
        <w:jc w:val="left"/>
        <w:rPr>
          <w:rFonts w:ascii="Times New Roman;sans-serif" w:hAnsi="Times New Roman;sans-serif"/>
          <w:b w:val="false"/>
          <w:color w:val="000000"/>
          <w:sz w:val="20"/>
        </w:rPr>
      </w:pPr>
      <w:r>
        <w:rPr>
          <w:rFonts w:ascii="Times New Roman;sans-serif" w:hAnsi="Times New Roman;sans-serif"/>
          <w:b w:val="false"/>
          <w:color w:val="000000"/>
          <w:sz w:val="20"/>
        </w:rPr>
        <w:t>The Sponsoring Organization may cancel this policy by returning it to us or notifying us in writing at any time subject to the following:</w:t>
      </w:r>
    </w:p>
    <w:p>
      <w:pPr>
        <w:pStyle w:val="TextBody"/>
        <w:bidi w:val="0"/>
        <w:spacing w:lineRule="auto" w:line="288" w:before="2" w:after="240"/>
        <w:ind w:left="0" w:right="0" w:hanging="332"/>
        <w:jc w:val="left"/>
        <w:rPr/>
      </w:pPr>
      <w:r>
        <w:rPr>
          <w:color w:val="000000"/>
        </w:rPr>
        <w:t>•</w:t>
      </w:r>
      <w:r>
        <w:rPr>
          <w:rFonts w:ascii="Times New Roman;sans-serif" w:hAnsi="Times New Roman;sans-serif"/>
          <w:b w:val="false"/>
          <w:color w:val="000000"/>
          <w:sz w:val="20"/>
        </w:rPr>
        <w:t>the Sponsoring Organization must notify us in advance of the requested cancellation date; and</w:t>
      </w:r>
    </w:p>
    <w:p>
      <w:pPr>
        <w:pStyle w:val="TextBody"/>
        <w:bidi w:val="0"/>
        <w:spacing w:lineRule="auto" w:line="288" w:before="2" w:after="240"/>
        <w:ind w:left="0" w:right="0" w:hanging="332"/>
        <w:jc w:val="left"/>
        <w:rPr/>
      </w:pPr>
      <w:r>
        <w:rPr>
          <w:color w:val="000000"/>
        </w:rPr>
        <w:t>•</w:t>
      </w:r>
      <w:r>
        <w:rPr>
          <w:rFonts w:ascii="Times New Roman;sans-serif" w:hAnsi="Times New Roman;sans-serif"/>
          <w:b w:val="false"/>
          <w:color w:val="000000"/>
          <w:sz w:val="20"/>
        </w:rPr>
        <w:t>the Sponsoring Organization must provide proof of notification to each member of the Defined Group covered under this policy.</w:t>
      </w:r>
    </w:p>
    <w:p>
      <w:pPr>
        <w:pStyle w:val="TextBody"/>
        <w:bidi w:val="0"/>
        <w:spacing w:lineRule="auto" w:line="288" w:before="0" w:after="240"/>
        <w:ind w:left="0" w:right="0" w:hanging="13"/>
        <w:jc w:val="both"/>
        <w:rPr/>
      </w:pPr>
      <w:r>
        <w:rPr>
          <w:rFonts w:ascii="Times New Roman;sans-serif" w:hAnsi="Times New Roman;sans-serif"/>
          <w:b w:val="false"/>
          <w:color w:val="000000"/>
          <w:sz w:val="20"/>
        </w:rPr>
        <w:t>We</w:t>
      </w:r>
      <w:r>
        <w:rPr>
          <w:color w:val="000000"/>
        </w:rPr>
        <w:t xml:space="preserve"> </w:t>
      </w:r>
      <w:r>
        <w:rPr>
          <w:rFonts w:ascii="Times New Roman;sans-serif" w:hAnsi="Times New Roman;sans-serif"/>
          <w:b w:val="false"/>
          <w:color w:val="000000"/>
          <w:sz w:val="20"/>
        </w:rPr>
        <w:t>may cancel this policy or any part of it subject to the following conditions. Our right to cancel applies to each coverage or limit in this policy. In the event we cancel this policy, we are under no obligation to provide you with an opportunity to purchase equivalent coverage.</w:t>
      </w:r>
    </w:p>
    <w:p>
      <w:pPr>
        <w:pStyle w:val="TextBody"/>
        <w:bidi w:val="0"/>
        <w:spacing w:lineRule="auto" w:line="288" w:before="0" w:after="240"/>
        <w:ind w:left="0" w:right="0" w:firstLine="10"/>
        <w:jc w:val="both"/>
        <w:rPr/>
      </w:pPr>
      <w:r>
        <w:rPr>
          <w:rFonts w:ascii="Times New Roman;sans-serif" w:hAnsi="Times New Roman;sans-serif"/>
          <w:b/>
          <w:color w:val="000000"/>
          <w:sz w:val="20"/>
        </w:rPr>
        <w:t xml:space="preserve">Within 60 days. </w:t>
      </w:r>
      <w:r>
        <w:rPr>
          <w:rFonts w:ascii="Times New Roman;sans-serif" w:hAnsi="Times New Roman;sans-serif"/>
          <w:b w:val="false"/>
          <w:color w:val="000000"/>
          <w:sz w:val="20"/>
        </w:rPr>
        <w:t>When this policy or any part of it has been in effect for less than 60 days, we may cancel with 30 days notice for any reason.</w:t>
      </w:r>
    </w:p>
    <w:p>
      <w:pPr>
        <w:pStyle w:val="TextBody"/>
        <w:bidi w:val="0"/>
        <w:spacing w:lineRule="auto" w:line="288" w:before="0" w:after="240"/>
        <w:ind w:left="0" w:right="0" w:firstLine="4"/>
        <w:jc w:val="both"/>
        <w:rPr/>
      </w:pPr>
      <w:r>
        <w:rPr>
          <w:rFonts w:ascii="Times New Roman;sans-serif" w:hAnsi="Times New Roman;sans-serif"/>
          <w:b/>
          <w:color w:val="000000"/>
          <w:sz w:val="20"/>
        </w:rPr>
        <w:t xml:space="preserve">Non payment of premium. </w:t>
      </w:r>
      <w:r>
        <w:rPr>
          <w:rFonts w:ascii="Times New Roman;sans-serif" w:hAnsi="Times New Roman;sans-serif"/>
          <w:b w:val="false"/>
          <w:color w:val="000000"/>
          <w:sz w:val="20"/>
        </w:rPr>
        <w:t>We may cancel this policy or any part of it with 10 days notice if the Sponsoring Organization or you fail to pay the premium by the due date, regardless of whether the premium is payable to us, to our agent, or under any financial credit.</w:t>
      </w:r>
    </w:p>
    <w:p>
      <w:pPr>
        <w:pStyle w:val="TextBody"/>
        <w:bidi w:val="0"/>
        <w:spacing w:lineRule="auto" w:line="288" w:before="0" w:after="240"/>
        <w:ind w:left="0" w:right="0" w:hanging="2"/>
        <w:jc w:val="both"/>
        <w:rPr/>
      </w:pPr>
      <w:r>
        <w:rPr>
          <w:rFonts w:ascii="Times New Roman;sans-serif" w:hAnsi="Times New Roman;sans-serif"/>
          <w:b/>
          <w:color w:val="000000"/>
          <w:sz w:val="20"/>
        </w:rPr>
        <w:t xml:space="preserve">Misrepresentation. </w:t>
      </w:r>
      <w:r>
        <w:rPr>
          <w:rFonts w:ascii="Times New Roman;sans-serif" w:hAnsi="Times New Roman;sans-serif"/>
          <w:b w:val="false"/>
          <w:color w:val="000000"/>
          <w:sz w:val="20"/>
        </w:rPr>
        <w:t>We may cancel this policy or any part of it with 30 days notice if the coverage was obtained through misrepresentation, fraudulent statements, or omissions or concealment of a fact that is relevant to the acceptance of the risk or to the hazard we assumed.</w:t>
      </w:r>
    </w:p>
    <w:p>
      <w:pPr>
        <w:pStyle w:val="TextBody"/>
        <w:bidi w:val="0"/>
        <w:spacing w:lineRule="auto" w:line="288" w:before="0" w:after="240"/>
        <w:ind w:left="0" w:right="0" w:firstLine="2"/>
        <w:jc w:val="both"/>
        <w:rPr/>
      </w:pPr>
      <w:r>
        <w:rPr>
          <w:rFonts w:ascii="Times New Roman;sans-serif" w:hAnsi="Times New Roman;sans-serif"/>
          <w:b/>
          <w:color w:val="000000"/>
          <w:sz w:val="20"/>
        </w:rPr>
        <w:t xml:space="preserve">Increase in hazard. </w:t>
      </w:r>
      <w:r>
        <w:rPr>
          <w:rFonts w:ascii="Times New Roman;sans-serif" w:hAnsi="Times New Roman;sans-serif"/>
          <w:b w:val="false"/>
          <w:color w:val="000000"/>
          <w:sz w:val="20"/>
        </w:rPr>
        <w:t>We may cancel this policy or any part of it with 30 days notice if there has been a substantial change in the risk which increases the chance of loss after insurance coverage has been issued or renewed, including but not limited to an increase in exposure due to rules, legislation, or court decision.</w:t>
      </w:r>
    </w:p>
    <w:p>
      <w:pPr>
        <w:pStyle w:val="TextBody"/>
        <w:bidi w:val="0"/>
        <w:spacing w:lineRule="auto" w:line="288" w:before="0" w:after="240"/>
        <w:ind w:left="0" w:right="0" w:firstLine="1"/>
        <w:jc w:val="both"/>
        <w:rPr/>
      </w:pPr>
      <w:r>
        <w:rPr>
          <w:rFonts w:ascii="Times New Roman;sans-serif" w:hAnsi="Times New Roman;sans-serif"/>
          <w:b/>
          <w:color w:val="000000"/>
          <w:sz w:val="20"/>
        </w:rPr>
        <w:t>Ineligible for coverage</w:t>
      </w:r>
      <w:r>
        <w:rPr>
          <w:rFonts w:ascii="Times New Roman;sans-serif" w:hAnsi="Times New Roman;sans-serif"/>
          <w:b w:val="false"/>
          <w:color w:val="000000"/>
          <w:sz w:val="20"/>
        </w:rPr>
        <w:t>. We may cancel this policy or any part of it with 30 days notice if you no longer qualify as a member of the Defined Group.</w:t>
      </w:r>
    </w:p>
    <w:p>
      <w:pPr>
        <w:pStyle w:val="TextBody"/>
        <w:bidi w:val="0"/>
        <w:spacing w:lineRule="auto" w:line="288" w:before="0" w:after="240"/>
        <w:ind w:left="0" w:right="0" w:firstLine="1"/>
        <w:jc w:val="both"/>
        <w:rPr/>
      </w:pPr>
      <w:r>
        <w:rPr>
          <w:rFonts w:ascii="Times New Roman;sans-serif" w:hAnsi="Times New Roman;sans-serif"/>
          <w:b/>
          <w:color w:val="000000"/>
          <w:sz w:val="20"/>
        </w:rPr>
        <w:t xml:space="preserve">Procedure. </w:t>
      </w:r>
      <w:r>
        <w:rPr>
          <w:rFonts w:ascii="Times New Roman;sans-serif" w:hAnsi="Times New Roman;sans-serif"/>
          <w:b w:val="false"/>
          <w:color w:val="000000"/>
          <w:sz w:val="20"/>
        </w:rPr>
        <w:t>To cancel this policy or any part of it, we must notify you in writing. This notice will be mailed to the Sponsoring Organization at the mailing address shown in the Coverage Summary Certificate and we will obtain a certificate of mailing. This notice will include the date the cancellation is to take effect.</w:t>
      </w:r>
    </w:p>
    <w:p>
      <w:pPr>
        <w:pStyle w:val="TextBody"/>
        <w:bidi w:val="0"/>
        <w:spacing w:lineRule="auto" w:line="288" w:before="0" w:after="240"/>
        <w:jc w:val="both"/>
        <w:rPr/>
      </w:pPr>
      <w:r>
        <w:rPr>
          <w:rFonts w:ascii="Times New Roman;sans-serif" w:hAnsi="Times New Roman;sans-serif"/>
          <w:b/>
          <w:color w:val="000000"/>
          <w:sz w:val="20"/>
        </w:rPr>
        <w:t xml:space="preserve">Termination. </w:t>
      </w:r>
      <w:r>
        <w:rPr>
          <w:rFonts w:ascii="Times New Roman;sans-serif" w:hAnsi="Times New Roman;sans-serif"/>
          <w:b w:val="false"/>
          <w:color w:val="000000"/>
          <w:sz w:val="20"/>
        </w:rPr>
        <w:t>Should an individual for any reason no longer qualify as a member of the Defined Group, coverage will cease sixty (60) days from the date that individual no longer qualifies as a member of the Defined Group, or the policy expiration or cancellation date, or the effective date of termination shown for the individual on the Sponsoring Organization's Defined Group Member Participant Change Endorsement, whichever comes first.</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
        <w:jc w:val="both"/>
        <w:rPr/>
      </w:pPr>
      <w:r>
        <w:rPr>
          <w:rFonts w:ascii="Times New Roman;sans-serif" w:hAnsi="Times New Roman;sans-serif"/>
          <w:b/>
          <w:color w:val="000000"/>
          <w:sz w:val="20"/>
        </w:rPr>
        <w:t xml:space="preserve">Refund. </w:t>
      </w:r>
      <w:r>
        <w:rPr>
          <w:rFonts w:ascii="Times New Roman;sans-serif" w:hAnsi="Times New Roman;sans-serif"/>
          <w:b w:val="false"/>
          <w:color w:val="000000"/>
          <w:sz w:val="20"/>
        </w:rPr>
        <w:t>In the event of cancellation by the Sponsoring Organization or us, we will refund any unearned premium on the effective date of cancellation, or as soon as possible afterwards to the Sponsoring Organization. The unearned premium will be computed short rate for the unexpired term of the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NORTHROP GRUMMAN CORPORATION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EXHIBIT 15</w:t>
      </w:r>
    </w:p>
    <w:p>
      <w:pPr>
        <w:pStyle w:val="TextBody"/>
        <w:bidi w:val="0"/>
        <w:spacing w:before="100" w:after="100"/>
        <w:jc w:val="left"/>
        <w:rPr/>
      </w:pPr>
      <w:r>
        <w:rPr/>
      </w:r>
    </w:p>
    <w:p>
      <w:pPr>
        <w:pStyle w:val="TextBody"/>
        <w:bidi w:val="0"/>
        <w:spacing w:lineRule="auto" w:line="288" w:before="0" w:after="100"/>
        <w:ind w:left="0" w:right="0" w:hanging="225"/>
        <w:jc w:val="left"/>
        <w:rPr>
          <w:rFonts w:ascii="Times New Roman;sans-serif" w:hAnsi="Times New Roman;sans-serif"/>
          <w:b/>
          <w:color w:val="000000"/>
          <w:sz w:val="20"/>
        </w:rPr>
      </w:pPr>
      <w:r>
        <w:rPr>
          <w:rFonts w:ascii="Times New Roman;sans-serif" w:hAnsi="Times New Roman;sans-serif"/>
          <w:b/>
          <w:color w:val="000000"/>
          <w:sz w:val="20"/>
        </w:rPr>
        <w:t xml:space="preserve">LETTER FROM INDEPENDENT REGISTERED PUBLIC ACCOUNTING FIRM </w:t>
      </w:r>
    </w:p>
    <w:p>
      <w:pPr>
        <w:pStyle w:val="TextBody"/>
        <w:bidi w:val="0"/>
        <w:spacing w:before="0" w:after="100"/>
        <w:ind w:left="0" w:right="0" w:hanging="225"/>
        <w:jc w:val="left"/>
        <w:rPr/>
      </w:pPr>
      <w:r>
        <w:rPr/>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April 21, 2025</w:t>
      </w:r>
    </w:p>
    <w:p>
      <w:pPr>
        <w:pStyle w:val="TextBody"/>
        <w:bidi w:val="0"/>
        <w:spacing w:before="0" w:after="100"/>
        <w:ind w:left="0" w:right="0" w:hanging="225"/>
        <w:jc w:val="left"/>
        <w:rPr/>
      </w:pPr>
      <w:r>
        <w:rPr/>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and Shareholders of Northrop Grumman Corporation</w:t>
      </w:r>
    </w:p>
    <w:p>
      <w:pPr>
        <w:pStyle w:val="TextBody"/>
        <w:bidi w:val="0"/>
        <w:spacing w:before="0" w:after="100"/>
        <w:ind w:left="0" w:right="0" w:hanging="225"/>
        <w:jc w:val="left"/>
        <w:rPr/>
      </w:pPr>
      <w:r>
        <w:rPr/>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Northrop Grumman Corporation </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2980 Fairview Park Drive </w:t>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Falls Church, Virginia 22042 </w:t>
      </w:r>
    </w:p>
    <w:p>
      <w:pPr>
        <w:pStyle w:val="TextBody"/>
        <w:bidi w:val="0"/>
        <w:spacing w:before="0" w:after="10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aware that our report dated April 21, 2025, on our review of the interim financial information of Northrop Grumman Corporation and subsidiaries appearing in this Quarterly Report on Form 10-Q for the quarter ended March 31, 2025, is incorporated by reference in Registration Statement Nos. 033-59815, 033-59853, 333-67266, 333-100179, 333-107734, 333-121104, 333-125120, 333-127317, 333-175798, 333-273482, and 333-281008 on Form S-8, 333-270497 on Form S-3, and 333-264549 on Form S-4. </w:t>
      </w:r>
    </w:p>
    <w:p>
      <w:pPr>
        <w:pStyle w:val="TextBody"/>
        <w:bidi w:val="0"/>
        <w:spacing w:before="0" w:after="100"/>
        <w:jc w:val="left"/>
        <w:rPr/>
      </w:pPr>
      <w:r>
        <w:rPr/>
      </w:r>
    </w:p>
    <w:p>
      <w:pPr>
        <w:pStyle w:val="TextBody"/>
        <w:bidi w:val="0"/>
        <w:spacing w:before="0" w:after="0"/>
        <w:ind w:left="0" w:right="0" w:hanging="225"/>
        <w:jc w:val="left"/>
        <w:rPr/>
      </w:pPr>
      <w:r>
        <w:rPr/>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lineRule="auto" w:line="288" w:before="0" w:after="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McLean, Virginia</w:t>
      </w:r>
    </w:p>
    <w:p>
      <w:pPr>
        <w:pStyle w:val="TextBody"/>
        <w:bidi w:val="0"/>
        <w:spacing w:before="180" w:after="283"/>
        <w:ind w:left="0" w:right="0" w:hanging="225"/>
        <w:jc w:val="left"/>
        <w:rPr/>
      </w:pPr>
      <w:r>
        <w:rPr/>
      </w:r>
    </w:p>
    <w:p>
      <w:pPr>
        <w:pStyle w:val="TextBody"/>
        <w:bidi w:val="0"/>
        <w:spacing w:before="180" w:after="283"/>
        <w:ind w:left="0" w:right="0" w:hanging="22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I, Kathy J. Warden, certify that:</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of Northrop Grumman Corporation (“company”); </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2025</w:t>
      </w:r>
    </w:p>
    <w:p>
      <w:pPr>
        <w:pStyle w:val="TextBody"/>
        <w:bidi w:val="0"/>
        <w:spacing w:before="0" w:after="0"/>
        <w:jc w:val="right"/>
        <w:rPr/>
      </w:pPr>
      <w:r>
        <w:rPr/>
      </w:r>
    </w:p>
    <w:tbl>
      <w:tblPr>
        <w:tblW w:w="3765" w:type="dxa"/>
        <w:jc w:val="righ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Kathy J. Warden</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Kathy J. Warden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NORTHROP GRUMMAN CORPORATION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I, Kenneth B. Crews, certify that:</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Northrop Grumman Corporation (“company”);</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company's internal control over financial reporting.</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2025</w:t>
      </w:r>
    </w:p>
    <w:p>
      <w:pPr>
        <w:pStyle w:val="TextBody"/>
        <w:bidi w:val="0"/>
        <w:spacing w:lineRule="auto" w:line="288" w:before="0" w:after="0"/>
        <w:ind w:left="0" w:right="0" w:hanging="225"/>
        <w:jc w:val="right"/>
        <w:rPr>
          <w:color w:val="000000"/>
        </w:rPr>
      </w:pPr>
      <w:r>
        <w:rPr>
          <w:color w:val="000000"/>
        </w:rPr>
        <w:t> </w:t>
      </w:r>
    </w:p>
    <w:tbl>
      <w:tblPr>
        <w:tblW w:w="4440" w:type="dxa"/>
        <w:jc w:val="right"/>
        <w:tblInd w:w="0" w:type="dxa"/>
        <w:tblLayout w:type="fixed"/>
        <w:tblCellMar>
          <w:top w:w="28" w:type="dxa"/>
          <w:left w:w="28" w:type="dxa"/>
          <w:bottom w:w="28" w:type="dxa"/>
          <w:right w:w="28" w:type="dxa"/>
        </w:tblCellMar>
      </w:tblPr>
      <w:tblGrid>
        <w:gridCol w:w="1419"/>
        <w:gridCol w:w="1247"/>
        <w:gridCol w:w="177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Kenneth B. Crews</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hanging="225"/>
              <w:jc w:val="center"/>
              <w:rPr>
                <w:rFonts w:ascii="Times New Roman;sans-serif" w:hAnsi="Times New Roman;sans-serif"/>
                <w:b w:val="false"/>
                <w:color w:val="000000"/>
                <w:sz w:val="20"/>
              </w:rPr>
            </w:pPr>
            <w:r>
              <w:rPr>
                <w:rFonts w:ascii="Times New Roman;sans-serif" w:hAnsi="Times New Roman;sans-serif"/>
                <w:b w:val="false"/>
                <w:color w:val="000000"/>
                <w:sz w:val="20"/>
              </w:rPr>
              <w:t>Kenneth B. Crews</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Chief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NORTHROP GRUMMAN CORPORATION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Northrop Grumman Corporation (the “company”) on Form 10-Q for the period ended March 31, 2025, as filed with the Securities and Exchange Commission on the date hereof (the “Report”), I, Kathy J. Warden, Chair, Chief Executive Officer and President of the company, certify, pursuant to 18 U.S.C. § 1350, as adopted pursuant to § 906 of the Sarbanes-Oxley Act of 2002, that: </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2025</w:t>
      </w:r>
    </w:p>
    <w:p>
      <w:pPr>
        <w:pStyle w:val="TextBody"/>
        <w:bidi w:val="0"/>
        <w:spacing w:before="0" w:after="0"/>
        <w:jc w:val="right"/>
        <w:rPr/>
      </w:pPr>
      <w:r>
        <w:rPr/>
      </w:r>
    </w:p>
    <w:tbl>
      <w:tblPr>
        <w:tblW w:w="3765" w:type="dxa"/>
        <w:jc w:val="right"/>
        <w:tblInd w:w="0" w:type="dxa"/>
        <w:tblLayout w:type="fixed"/>
        <w:tblCellMar>
          <w:top w:w="28" w:type="dxa"/>
          <w:left w:w="28" w:type="dxa"/>
          <w:bottom w:w="28" w:type="dxa"/>
          <w:right w:w="28" w:type="dxa"/>
        </w:tblCellMar>
      </w:tblPr>
      <w:tblGrid>
        <w:gridCol w:w="1205"/>
        <w:gridCol w:w="1059"/>
        <w:gridCol w:w="150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Kathy J. Warden</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Kathy J. Warden</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Chief Executive Officer and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NORTHROP GRUMMAN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Northrop Grumman Corporation (the “company”) on Form 10-Q for the period ended March 31, 2025, as filed with the Securities and Exchange Commission on the date hereof (the “Report”), I, Kenneth B. Crews, Corporate Vice President and Chief Financial Officer of the company, certify, pursuant to 18 U.S.C. § 1350, as adopted pursuant to § 906 of the Sarbanes-Oxley Act of 2002, that: </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100"/>
        <w:ind w:left="0" w:right="0" w:hanging="225"/>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21, 2025</w:t>
      </w:r>
    </w:p>
    <w:p>
      <w:pPr>
        <w:pStyle w:val="TextBody"/>
        <w:bidi w:val="0"/>
        <w:spacing w:before="0" w:after="0"/>
        <w:jc w:val="right"/>
        <w:rPr/>
      </w:pPr>
      <w:r>
        <w:rPr/>
      </w:r>
    </w:p>
    <w:tbl>
      <w:tblPr>
        <w:tblW w:w="4440" w:type="dxa"/>
        <w:jc w:val="right"/>
        <w:tblInd w:w="0" w:type="dxa"/>
        <w:tblLayout w:type="fixed"/>
        <w:tblCellMar>
          <w:top w:w="28" w:type="dxa"/>
          <w:left w:w="28" w:type="dxa"/>
          <w:bottom w:w="28" w:type="dxa"/>
          <w:right w:w="28" w:type="dxa"/>
        </w:tblCellMar>
      </w:tblPr>
      <w:tblGrid>
        <w:gridCol w:w="1419"/>
        <w:gridCol w:w="1247"/>
        <w:gridCol w:w="177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Kenneth B. Crews</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ind w:left="0" w:right="0" w:hanging="225"/>
              <w:jc w:val="center"/>
              <w:rPr>
                <w:rFonts w:ascii="Times New Roman;sans-serif" w:hAnsi="Times New Roman;sans-serif"/>
                <w:b w:val="false"/>
                <w:color w:val="000000"/>
                <w:sz w:val="20"/>
              </w:rPr>
            </w:pPr>
            <w:r>
              <w:rPr>
                <w:rFonts w:ascii="Times New Roman;sans-serif" w:hAnsi="Times New Roman;sans-serif"/>
                <w:b w:val="false"/>
                <w:color w:val="000000"/>
                <w:sz w:val="20"/>
              </w:rPr>
              <w:t>Kenneth B. Crews</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and 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47695</Words>
  <Characters>254569</Characters>
  <CharactersWithSpaces>301288</CharactersWithSpaces>
  <Paragraphs>3239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