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86360</wp:posOffset>
            </wp:positionV>
            <wp:extent cx="25114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34290</wp:posOffset>
            </wp:positionV>
            <wp:extent cx="2511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88" w:lineRule="exact"/>
        <w:rPr>
          <w:sz w:val="24"/>
          <w:szCs w:val="24"/>
          <w:color w:val="auto"/>
        </w:rPr>
      </w:pPr>
    </w:p>
    <w:p>
      <w:pPr>
        <w:ind w:left="1400" w:right="2000" w:hanging="845"/>
        <w:spacing w:after="0" w:line="250" w:lineRule="auto"/>
        <w:tabs>
          <w:tab w:leader="none" w:pos="140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QUARTERLY REPORT PURSUANT TO SECTION 13 OR 15(d) OF THE SECURITIES EXCHANGE ACT OF 1934</w:t>
      </w:r>
    </w:p>
    <w:p>
      <w:pPr>
        <w:spacing w:after="0" w:line="7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Quarterly Period Ended September 30, 2020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or</w:t>
      </w:r>
    </w:p>
    <w:p>
      <w:pPr>
        <w:spacing w:after="0" w:line="144" w:lineRule="exact"/>
        <w:rPr>
          <w:sz w:val="24"/>
          <w:szCs w:val="24"/>
          <w:color w:val="auto"/>
        </w:rPr>
      </w:pPr>
    </w:p>
    <w:p>
      <w:pPr>
        <w:ind w:left="1400" w:right="1980" w:hanging="845"/>
        <w:spacing w:after="0" w:line="250" w:lineRule="auto"/>
        <w:tabs>
          <w:tab w:leader="none" w:pos="1400" w:val="left"/>
        </w:tabs>
        <w:numPr>
          <w:ilvl w:val="0"/>
          <w:numId w:val="2"/>
        </w:numPr>
        <w:rPr>
          <w:rFonts w:ascii="MS PGothic" w:cs="MS PGothic" w:eastAsia="MS PGothic" w:hAnsi="MS PGothic"/>
          <w:sz w:val="18"/>
          <w:szCs w:val="18"/>
          <w:color w:val="auto"/>
        </w:rPr>
      </w:pPr>
      <w:r>
        <w:rPr>
          <w:rFonts w:ascii="Arial" w:cs="Arial" w:eastAsia="Arial" w:hAnsi="Arial"/>
          <w:sz w:val="22"/>
          <w:szCs w:val="22"/>
          <w:color w:val="auto"/>
        </w:rPr>
        <w:t>TRANSITION REPORT PURSUANT TO SECTION 13 OR 15(d) OF THE SECURITIES EXCHANGE ACT OF 1934</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Commission File Number 1-16411</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NORTHROP GRUMMAN CORPORATION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tcPr>
          <w:p>
            <w:pPr>
              <w:jc w:val="right"/>
              <w:ind w:right="2230"/>
              <w:spacing w:after="0"/>
              <w:rPr>
                <w:sz w:val="20"/>
                <w:szCs w:val="20"/>
                <w:color w:val="auto"/>
              </w:rPr>
            </w:pPr>
            <w:r>
              <w:rPr>
                <w:rFonts w:ascii="Arial" w:cs="Arial" w:eastAsia="Arial" w:hAnsi="Arial"/>
                <w:sz w:val="18"/>
                <w:szCs w:val="18"/>
                <w:b w:val="1"/>
                <w:bCs w:val="1"/>
                <w:color w:val="auto"/>
              </w:rPr>
              <w:t>80-0640649</w:t>
            </w:r>
          </w:p>
        </w:tc>
      </w:tr>
      <w:tr>
        <w:trPr>
          <w:trHeight w:val="256"/>
        </w:trPr>
        <w:tc>
          <w:tcPr>
            <w:tcW w:w="1480" w:type="dxa"/>
            <w:vAlign w:val="bottom"/>
          </w:tcPr>
          <w:p>
            <w:pPr>
              <w:spacing w:after="0"/>
              <w:rPr>
                <w:sz w:val="22"/>
                <w:szCs w:val="22"/>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color w:val="auto"/>
                <w:w w:val="92"/>
              </w:rPr>
              <w:t>(State or other jurisdiction of</w:t>
            </w: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2"/>
              </w:rPr>
              <w:t>(I.R.S. Employer</w:t>
            </w:r>
          </w:p>
        </w:tc>
      </w:tr>
      <w:tr>
        <w:trPr>
          <w:trHeight w:val="230"/>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Arial" w:cs="Arial" w:eastAsia="Arial" w:hAnsi="Arial"/>
                <w:sz w:val="18"/>
                <w:szCs w:val="18"/>
                <w:color w:val="auto"/>
                <w:w w:val="92"/>
              </w:rPr>
              <w:t>incorporation or organization)</w:t>
            </w: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1480" w:type="dxa"/>
            <w:vAlign w:val="bottom"/>
          </w:tcPr>
          <w:p>
            <w:pPr>
              <w:spacing w:after="0"/>
              <w:rPr>
                <w:sz w:val="24"/>
                <w:szCs w:val="24"/>
                <w:color w:val="auto"/>
              </w:rPr>
            </w:pPr>
          </w:p>
        </w:tc>
        <w:tc>
          <w:tcPr>
            <w:tcW w:w="564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w w:val="93"/>
              </w:rPr>
              <w:t>2980 Fairview Park Drive</w:t>
            </w:r>
          </w:p>
        </w:tc>
        <w:tc>
          <w:tcPr>
            <w:tcW w:w="4140" w:type="dxa"/>
            <w:vAlign w:val="bottom"/>
          </w:tcPr>
          <w:p>
            <w:pPr>
              <w:spacing w:after="0"/>
              <w:rPr>
                <w:sz w:val="24"/>
                <w:szCs w:val="24"/>
                <w:color w:val="auto"/>
              </w:rPr>
            </w:pPr>
          </w:p>
        </w:tc>
      </w:tr>
      <w:tr>
        <w:trPr>
          <w:trHeight w:val="270"/>
        </w:trPr>
        <w:tc>
          <w:tcPr>
            <w:tcW w:w="1480" w:type="dxa"/>
            <w:vAlign w:val="bottom"/>
          </w:tcPr>
          <w:p>
            <w:pPr>
              <w:spacing w:after="0"/>
              <w:rPr>
                <w:sz w:val="23"/>
                <w:szCs w:val="23"/>
                <w:color w:val="auto"/>
              </w:rPr>
            </w:pPr>
          </w:p>
        </w:tc>
        <w:tc>
          <w:tcPr>
            <w:tcW w:w="5640" w:type="dxa"/>
            <w:vAlign w:val="bottom"/>
            <w:gridSpan w:val="2"/>
          </w:tcPr>
          <w:p>
            <w:pPr>
              <w:ind w:left="380"/>
              <w:spacing w:after="0"/>
              <w:rPr>
                <w:sz w:val="20"/>
                <w:szCs w:val="20"/>
                <w:color w:val="auto"/>
              </w:rPr>
            </w:pPr>
            <w:r>
              <w:rPr>
                <w:rFonts w:ascii="Arial" w:cs="Arial" w:eastAsia="Arial" w:hAnsi="Arial"/>
                <w:sz w:val="18"/>
                <w:szCs w:val="18"/>
                <w:b w:val="1"/>
                <w:bCs w:val="1"/>
                <w:color w:val="auto"/>
              </w:rPr>
              <w:t>Falls Church, Virginia</w:t>
            </w:r>
          </w:p>
        </w:tc>
        <w:tc>
          <w:tcPr>
            <w:tcW w:w="4140" w:type="dxa"/>
            <w:vAlign w:val="bottom"/>
          </w:tcPr>
          <w:p>
            <w:pPr>
              <w:jc w:val="right"/>
              <w:ind w:right="2430"/>
              <w:spacing w:after="0"/>
              <w:rPr>
                <w:sz w:val="20"/>
                <w:szCs w:val="20"/>
                <w:color w:val="auto"/>
              </w:rPr>
            </w:pPr>
            <w:r>
              <w:rPr>
                <w:rFonts w:ascii="Arial" w:cs="Arial" w:eastAsia="Arial" w:hAnsi="Arial"/>
                <w:sz w:val="18"/>
                <w:szCs w:val="18"/>
                <w:b w:val="1"/>
                <w:bCs w:val="1"/>
                <w:color w:val="auto"/>
              </w:rPr>
              <w:t>22042</w:t>
            </w:r>
          </w:p>
        </w:tc>
      </w:tr>
      <w:tr>
        <w:trPr>
          <w:trHeight w:val="270"/>
        </w:trPr>
        <w:tc>
          <w:tcPr>
            <w:tcW w:w="7120" w:type="dxa"/>
            <w:vAlign w:val="bottom"/>
            <w:gridSpan w:val="3"/>
          </w:tcPr>
          <w:p>
            <w:pPr>
              <w:jc w:val="center"/>
              <w:ind w:right="1650"/>
              <w:spacing w:after="0"/>
              <w:rPr>
                <w:sz w:val="20"/>
                <w:szCs w:val="20"/>
                <w:color w:val="auto"/>
              </w:rPr>
            </w:pPr>
            <w:r>
              <w:rPr>
                <w:rFonts w:ascii="Arial" w:cs="Arial" w:eastAsia="Arial" w:hAnsi="Arial"/>
                <w:sz w:val="18"/>
                <w:szCs w:val="18"/>
                <w:color w:val="auto"/>
                <w:w w:val="92"/>
              </w:rPr>
              <w:t>(Address of principal executive offices)</w:t>
            </w:r>
          </w:p>
        </w:tc>
        <w:tc>
          <w:tcPr>
            <w:tcW w:w="4140" w:type="dxa"/>
            <w:vAlign w:val="bottom"/>
          </w:tcPr>
          <w:p>
            <w:pPr>
              <w:jc w:val="center"/>
              <w:ind w:right="1290"/>
              <w:spacing w:after="0"/>
              <w:rPr>
                <w:sz w:val="20"/>
                <w:szCs w:val="20"/>
                <w:color w:val="auto"/>
              </w:rPr>
            </w:pPr>
            <w:r>
              <w:rPr>
                <w:rFonts w:ascii="Arial" w:cs="Arial" w:eastAsia="Arial" w:hAnsi="Arial"/>
                <w:sz w:val="18"/>
                <w:szCs w:val="18"/>
                <w:color w:val="auto"/>
                <w:w w:val="94"/>
              </w:rPr>
              <w:t>(Zip Code)</w:t>
            </w:r>
          </w:p>
        </w:tc>
      </w:tr>
      <w:tr>
        <w:trPr>
          <w:trHeight w:val="229"/>
        </w:trPr>
        <w:tc>
          <w:tcPr>
            <w:tcW w:w="1480" w:type="dxa"/>
            <w:vAlign w:val="bottom"/>
          </w:tcPr>
          <w:p>
            <w:pPr>
              <w:spacing w:after="0"/>
              <w:rPr>
                <w:sz w:val="19"/>
                <w:szCs w:val="19"/>
                <w:color w:val="auto"/>
              </w:rPr>
            </w:pPr>
          </w:p>
        </w:tc>
        <w:tc>
          <w:tcPr>
            <w:tcW w:w="564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(703) 280-2900</w:t>
            </w:r>
          </w:p>
        </w:tc>
        <w:tc>
          <w:tcPr>
            <w:tcW w:w="4140" w:type="dxa"/>
            <w:vAlign w:val="bottom"/>
          </w:tcPr>
          <w:p>
            <w:pPr>
              <w:spacing w:after="0"/>
              <w:rPr>
                <w:sz w:val="19"/>
                <w:szCs w:val="19"/>
                <w:color w:val="auto"/>
              </w:rPr>
            </w:pPr>
          </w:p>
        </w:tc>
      </w:tr>
      <w:tr>
        <w:trPr>
          <w:trHeight w:val="230"/>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297"/>
        </w:trPr>
        <w:tc>
          <w:tcPr>
            <w:tcW w:w="71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35"/>
        </w:trPr>
        <w:tc>
          <w:tcPr>
            <w:tcW w:w="148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4140" w:type="dxa"/>
            <w:vAlign w:val="bottom"/>
            <w:tcBorders>
              <w:bottom w:val="single" w:sz="8" w:color="auto"/>
            </w:tcBorders>
          </w:tcPr>
          <w:p>
            <w:pPr>
              <w:spacing w:after="0"/>
              <w:rPr>
                <w:sz w:val="11"/>
                <w:szCs w:val="11"/>
                <w:color w:val="auto"/>
              </w:rPr>
            </w:pPr>
          </w:p>
        </w:tc>
      </w:tr>
      <w:tr>
        <w:trPr>
          <w:trHeight w:val="237"/>
        </w:trPr>
        <w:tc>
          <w:tcPr>
            <w:tcW w:w="1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8"/>
              </w:rPr>
              <w:t>Title of each class</w:t>
            </w:r>
          </w:p>
        </w:tc>
        <w:tc>
          <w:tcPr>
            <w:tcW w:w="260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1480" w:type="dxa"/>
            <w:vAlign w:val="bottom"/>
            <w:tcBorders>
              <w:left w:val="single" w:sz="8" w:color="auto"/>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237"/>
        </w:trPr>
        <w:tc>
          <w:tcPr>
            <w:tcW w:w="14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00" w:type="dxa"/>
            <w:vAlign w:val="bottom"/>
            <w:tcBorders>
              <w:right w:val="single" w:sz="8" w:color="auto"/>
            </w:tcBorders>
          </w:tcPr>
          <w:p>
            <w:pPr>
              <w:spacing w:after="0"/>
              <w:rPr>
                <w:sz w:val="20"/>
                <w:szCs w:val="20"/>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NOC</w:t>
            </w:r>
          </w:p>
        </w:tc>
        <w:tc>
          <w:tcPr>
            <w:tcW w:w="4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1480" w:type="dxa"/>
            <w:vAlign w:val="bottom"/>
            <w:tcBorders>
              <w:left w:val="single" w:sz="8" w:color="auto"/>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304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bl>
    <w:p>
      <w:pPr>
        <w:spacing w:after="0" w:line="40" w:lineRule="exact"/>
        <w:rPr>
          <w:sz w:val="24"/>
          <w:szCs w:val="24"/>
          <w:color w:val="auto"/>
        </w:rPr>
      </w:pPr>
    </w:p>
    <w:p>
      <w:pPr>
        <w:ind w:right="320"/>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40"/>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8"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p>
      <w:pPr>
        <w:ind w:left="80"/>
        <w:spacing w:after="0" w:line="207" w:lineRule="exact"/>
        <w:tabs>
          <w:tab w:leader="none" w:pos="2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7" w:lineRule="exact"/>
        <w:rPr>
          <w:sz w:val="24"/>
          <w:szCs w:val="24"/>
          <w:color w:val="auto"/>
        </w:rPr>
      </w:pPr>
    </w:p>
    <w:p>
      <w:pPr>
        <w:ind w:left="80"/>
        <w:spacing w:after="0" w:line="207" w:lineRule="exact"/>
        <w:tabs>
          <w:tab w:leader="none" w:pos="202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0" w:lineRule="exact"/>
        <w:rPr>
          <w:sz w:val="24"/>
          <w:szCs w:val="24"/>
          <w:color w:val="auto"/>
        </w:rPr>
      </w:pPr>
    </w:p>
    <w:p>
      <w:pPr>
        <w:ind w:left="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16"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7" w:lineRule="exact"/>
        <w:rPr>
          <w:sz w:val="24"/>
          <w:szCs w:val="24"/>
          <w:color w:val="auto"/>
        </w:rPr>
      </w:pPr>
    </w:p>
    <w:p>
      <w:pPr>
        <w:ind w:left="2040"/>
        <w:spacing w:after="0" w:line="207" w:lineRule="exact"/>
        <w:tabs>
          <w:tab w:leader="none" w:pos="2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 of October 19, 2020, 166,715,982 shares of common stock were outstanding.</w:t>
      </w:r>
    </w:p>
    <w:p>
      <w:pPr>
        <w:sectPr>
          <w:pgSz w:w="11900" w:h="16838" w:orient="portrait"/>
          <w:cols w:equalWidth="0" w:num="1">
            <w:col w:w="11260"/>
          </w:cols>
          <w:pgMar w:left="320" w:top="216" w:right="31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264"/>
        </w:trPr>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80" w:type="dxa"/>
            <w:vAlign w:val="bottom"/>
          </w:tcPr>
          <w:p>
            <w:pPr>
              <w:ind w:left="20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16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Statements of Earnings and Comprehensive Income</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Financial Position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Changes in Shareholders’ Equity</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7">
              <w:r>
                <w:rPr>
                  <w:rFonts w:ascii="Arial" w:cs="Arial" w:eastAsia="Arial" w:hAnsi="Arial"/>
                  <w:sz w:val="18"/>
                  <w:szCs w:val="18"/>
                  <w:u w:val="single" w:color="auto"/>
                  <w:color w:val="0000EE"/>
                  <w:w w:val="92"/>
                </w:rPr>
                <w:t>1.</w:t>
              </w:r>
            </w:hyperlink>
          </w:p>
        </w:tc>
        <w:tc>
          <w:tcPr>
            <w:tcW w:w="7280" w:type="dxa"/>
            <w:vAlign w:val="bottom"/>
          </w:tcPr>
          <w:p>
            <w:pPr>
              <w:ind w:lef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Basis of Presentation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9">
              <w:r>
                <w:rPr>
                  <w:rFonts w:ascii="Arial" w:cs="Arial" w:eastAsia="Arial" w:hAnsi="Arial"/>
                  <w:sz w:val="18"/>
                  <w:szCs w:val="18"/>
                  <w:u w:val="single" w:color="auto"/>
                  <w:color w:val="0000EE"/>
                  <w:w w:val="92"/>
                </w:rPr>
                <w:t>2.</w:t>
              </w:r>
            </w:hyperlink>
          </w:p>
        </w:tc>
        <w:tc>
          <w:tcPr>
            <w:tcW w:w="7280" w:type="dxa"/>
            <w:vAlign w:val="bottom"/>
          </w:tcPr>
          <w:p>
            <w:pPr>
              <w:ind w:lef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Earnings Per Share, Share Repurchases and Dividends on Common Stock</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0">
              <w:r>
                <w:rPr>
                  <w:rFonts w:ascii="Arial" w:cs="Arial" w:eastAsia="Arial" w:hAnsi="Arial"/>
                  <w:sz w:val="18"/>
                  <w:szCs w:val="18"/>
                  <w:u w:val="single" w:color="auto"/>
                  <w:color w:val="0000EE"/>
                  <w:w w:val="92"/>
                </w:rPr>
                <w:t>3.</w:t>
              </w:r>
            </w:hyperlink>
          </w:p>
        </w:tc>
        <w:tc>
          <w:tcPr>
            <w:tcW w:w="728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Income Taxes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1">
              <w:r>
                <w:rPr>
                  <w:rFonts w:ascii="Arial" w:cs="Arial" w:eastAsia="Arial" w:hAnsi="Arial"/>
                  <w:sz w:val="18"/>
                  <w:szCs w:val="18"/>
                  <w:u w:val="single" w:color="auto"/>
                  <w:color w:val="0000EE"/>
                  <w:w w:val="92"/>
                </w:rPr>
                <w:t>4.</w:t>
              </w:r>
            </w:hyperlink>
          </w:p>
        </w:tc>
        <w:tc>
          <w:tcPr>
            <w:tcW w:w="7280" w:type="dxa"/>
            <w:vAlign w:val="bottom"/>
          </w:tcPr>
          <w:p>
            <w:pPr>
              <w:ind w:left="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Fair Value of Financial Instruments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2">
              <w:r>
                <w:rPr>
                  <w:rFonts w:ascii="Arial" w:cs="Arial" w:eastAsia="Arial" w:hAnsi="Arial"/>
                  <w:sz w:val="18"/>
                  <w:szCs w:val="18"/>
                  <w:u w:val="single" w:color="auto"/>
                  <w:color w:val="0000EE"/>
                  <w:w w:val="92"/>
                </w:rPr>
                <w:t>5.</w:t>
              </w:r>
            </w:hyperlink>
          </w:p>
        </w:tc>
        <w:tc>
          <w:tcPr>
            <w:tcW w:w="728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Investigations, Claims and Litigation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10</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3">
              <w:r>
                <w:rPr>
                  <w:rFonts w:ascii="Arial" w:cs="Arial" w:eastAsia="Arial" w:hAnsi="Arial"/>
                  <w:sz w:val="18"/>
                  <w:szCs w:val="18"/>
                  <w:u w:val="single" w:color="auto"/>
                  <w:color w:val="0000EE"/>
                  <w:w w:val="92"/>
                </w:rPr>
                <w:t>6.</w:t>
              </w:r>
            </w:hyperlink>
          </w:p>
        </w:tc>
        <w:tc>
          <w:tcPr>
            <w:tcW w:w="7280" w:type="dxa"/>
            <w:vAlign w:val="bottom"/>
          </w:tcPr>
          <w:p>
            <w:pPr>
              <w:ind w:left="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Commitments and Contingencies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11</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5">
              <w:r>
                <w:rPr>
                  <w:rFonts w:ascii="Arial" w:cs="Arial" w:eastAsia="Arial" w:hAnsi="Arial"/>
                  <w:sz w:val="18"/>
                  <w:szCs w:val="18"/>
                  <w:u w:val="single" w:color="auto"/>
                  <w:color w:val="0000EE"/>
                  <w:w w:val="92"/>
                </w:rPr>
                <w:t>7.</w:t>
              </w:r>
            </w:hyperlink>
          </w:p>
        </w:tc>
        <w:tc>
          <w:tcPr>
            <w:tcW w:w="7280" w:type="dxa"/>
            <w:vAlign w:val="bottom"/>
          </w:tcPr>
          <w:p>
            <w:pPr>
              <w:ind w:left="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Retirement Benefits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13</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5">
              <w:r>
                <w:rPr>
                  <w:rFonts w:ascii="Arial" w:cs="Arial" w:eastAsia="Arial" w:hAnsi="Arial"/>
                  <w:sz w:val="18"/>
                  <w:szCs w:val="18"/>
                  <w:u w:val="single" w:color="auto"/>
                  <w:color w:val="0000EE"/>
                  <w:w w:val="92"/>
                </w:rPr>
                <w:t>8.</w:t>
              </w:r>
            </w:hyperlink>
          </w:p>
        </w:tc>
        <w:tc>
          <w:tcPr>
            <w:tcW w:w="7280" w:type="dxa"/>
            <w:vAlign w:val="bottom"/>
          </w:tcPr>
          <w:p>
            <w:pPr>
              <w:ind w:left="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Stock Compensation Plans and Other Compensation Arrangements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13</w:t>
              </w:r>
            </w:hyperlink>
          </w:p>
        </w:tc>
      </w:tr>
      <w:tr>
        <w:trPr>
          <w:trHeight w:val="270"/>
        </w:trPr>
        <w:tc>
          <w:tcPr>
            <w:tcW w:w="880" w:type="dxa"/>
            <w:vAlign w:val="bottom"/>
          </w:tcPr>
          <w:p>
            <w:pPr>
              <w:spacing w:after="0"/>
              <w:rPr>
                <w:sz w:val="23"/>
                <w:szCs w:val="23"/>
                <w:color w:val="auto"/>
              </w:rPr>
            </w:pPr>
          </w:p>
        </w:tc>
        <w:tc>
          <w:tcPr>
            <w:tcW w:w="1080" w:type="dxa"/>
            <w:vAlign w:val="bottom"/>
          </w:tcPr>
          <w:p>
            <w:pPr>
              <w:ind w:left="920"/>
              <w:spacing w:after="0"/>
              <w:rPr>
                <w:rFonts w:ascii="Arial" w:cs="Arial" w:eastAsia="Arial" w:hAnsi="Arial"/>
                <w:sz w:val="18"/>
                <w:szCs w:val="18"/>
                <w:u w:val="single" w:color="auto"/>
                <w:color w:val="0000EE"/>
                <w:w w:val="92"/>
              </w:rPr>
            </w:pPr>
            <w:hyperlink w:anchor="page16">
              <w:r>
                <w:rPr>
                  <w:rFonts w:ascii="Arial" w:cs="Arial" w:eastAsia="Arial" w:hAnsi="Arial"/>
                  <w:sz w:val="18"/>
                  <w:szCs w:val="18"/>
                  <w:u w:val="single" w:color="auto"/>
                  <w:color w:val="0000EE"/>
                  <w:w w:val="92"/>
                </w:rPr>
                <w:t>9.</w:t>
              </w:r>
            </w:hyperlink>
          </w:p>
        </w:tc>
        <w:tc>
          <w:tcPr>
            <w:tcW w:w="7280" w:type="dxa"/>
            <w:vAlign w:val="bottom"/>
          </w:tcPr>
          <w:p>
            <w:pPr>
              <w:ind w:left="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Segment Information</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14</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Report of Independent Registered Public Accounting Firm</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18</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Management’s Discussion and Analysis of Financial Condition and Results of Operations</w:t>
              </w:r>
            </w:hyperlink>
          </w:p>
        </w:tc>
        <w:tc>
          <w:tcPr>
            <w:tcW w:w="1640" w:type="dxa"/>
            <w:vAlign w:val="bottom"/>
          </w:tcPr>
          <w:p>
            <w:pPr>
              <w:spacing w:after="0"/>
              <w:rPr>
                <w:sz w:val="23"/>
                <w:szCs w:val="23"/>
                <w:color w:val="auto"/>
              </w:rPr>
            </w:pPr>
          </w:p>
        </w:tc>
        <w:tc>
          <w:tcPr>
            <w:tcW w:w="30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Overview</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19</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Consolidated Operating Results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20</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Segment Operating Results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22</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Product and Service Analysis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27</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Backlog</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Liquidity and Capital Resources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Critical Accounting Policies, Estimates and Judgments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Accounting Standards Updates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Forward-Looking Statements and Projections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30</w:t>
              </w:r>
            </w:hyperlink>
          </w:p>
        </w:tc>
      </w:tr>
      <w:tr>
        <w:trPr>
          <w:trHeight w:val="270"/>
        </w:trPr>
        <w:tc>
          <w:tcPr>
            <w:tcW w:w="880" w:type="dxa"/>
            <w:vAlign w:val="bottom"/>
          </w:tcPr>
          <w:p>
            <w:pPr>
              <w:spacing w:after="0"/>
              <w:rPr>
                <w:sz w:val="23"/>
                <w:szCs w:val="23"/>
                <w:color w:val="auto"/>
              </w:rPr>
            </w:pPr>
          </w:p>
        </w:tc>
        <w:tc>
          <w:tcPr>
            <w:tcW w:w="8360" w:type="dxa"/>
            <w:vAlign w:val="bottom"/>
            <w:gridSpan w:val="2"/>
          </w:tcPr>
          <w:p>
            <w:pPr>
              <w:ind w:left="6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Contractual Obligations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Quantitative and Qualitative Disclosures About Market Risk</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Controls and Procedures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w:t>
              </w:r>
            </w:hyperlink>
          </w:p>
        </w:tc>
      </w:tr>
      <w:tr>
        <w:trPr>
          <w:trHeight w:val="594"/>
        </w:trPr>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80" w:type="dxa"/>
            <w:vAlign w:val="bottom"/>
          </w:tcPr>
          <w:p>
            <w:pPr>
              <w:ind w:left="220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PART II – OTHER INFORMATION</w:t>
              </w:r>
            </w:hyperlink>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8360" w:type="dxa"/>
            <w:vAlign w:val="bottom"/>
            <w:gridSpan w:val="2"/>
          </w:tcPr>
          <w:p>
            <w:pPr>
              <w:ind w:left="2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Unregistered Sales of Equity Securities and Use of Proceeds</w:t>
              </w:r>
            </w:hyperlink>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33</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108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Exhibits</w:t>
              </w:r>
            </w:hyperlink>
          </w:p>
        </w:tc>
        <w:tc>
          <w:tcPr>
            <w:tcW w:w="7280" w:type="dxa"/>
            <w:vAlign w:val="bottom"/>
          </w:tcPr>
          <w:p>
            <w:pPr>
              <w:spacing w:after="0"/>
              <w:rPr>
                <w:sz w:val="23"/>
                <w:szCs w:val="23"/>
                <w:color w:val="auto"/>
              </w:rPr>
            </w:pPr>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34</w:t>
              </w:r>
            </w:hyperlink>
          </w:p>
        </w:tc>
      </w:tr>
      <w:tr>
        <w:trPr>
          <w:trHeight w:val="270"/>
        </w:trPr>
        <w:tc>
          <w:tcPr>
            <w:tcW w:w="880" w:type="dxa"/>
            <w:vAlign w:val="bottom"/>
          </w:tcPr>
          <w:p>
            <w:pPr>
              <w:spacing w:after="0"/>
              <w:rPr>
                <w:sz w:val="23"/>
                <w:szCs w:val="23"/>
                <w:color w:val="auto"/>
              </w:rPr>
            </w:pPr>
          </w:p>
        </w:tc>
        <w:tc>
          <w:tcPr>
            <w:tcW w:w="1080" w:type="dxa"/>
            <w:vAlign w:val="bottom"/>
          </w:tcPr>
          <w:p>
            <w:pPr>
              <w:ind w:left="240"/>
              <w:spacing w:after="0"/>
              <w:rPr>
                <w:rFonts w:ascii="Arial" w:cs="Arial" w:eastAsia="Arial" w:hAnsi="Arial"/>
                <w:sz w:val="18"/>
                <w:szCs w:val="18"/>
                <w:u w:val="single" w:color="auto"/>
                <w:color w:val="0000EE"/>
                <w:w w:val="95"/>
              </w:rPr>
            </w:pPr>
            <w:hyperlink w:anchor="page37">
              <w:r>
                <w:rPr>
                  <w:rFonts w:ascii="Arial" w:cs="Arial" w:eastAsia="Arial" w:hAnsi="Arial"/>
                  <w:sz w:val="18"/>
                  <w:szCs w:val="18"/>
                  <w:u w:val="single" w:color="auto"/>
                  <w:color w:val="0000EE"/>
                  <w:w w:val="95"/>
                </w:rPr>
                <w:t>Signatures</w:t>
              </w:r>
            </w:hyperlink>
          </w:p>
        </w:tc>
        <w:tc>
          <w:tcPr>
            <w:tcW w:w="7280" w:type="dxa"/>
            <w:vAlign w:val="bottom"/>
          </w:tcPr>
          <w:p>
            <w:pPr>
              <w:spacing w:after="0"/>
              <w:rPr>
                <w:sz w:val="23"/>
                <w:szCs w:val="23"/>
                <w:color w:val="auto"/>
              </w:rPr>
            </w:pPr>
          </w:p>
        </w:tc>
        <w:tc>
          <w:tcPr>
            <w:tcW w:w="1940" w:type="dxa"/>
            <w:vAlign w:val="bottom"/>
            <w:gridSpan w:val="2"/>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35</w:t>
              </w:r>
            </w:hyperlink>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1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5"/>
        </w:trPr>
        <w:tc>
          <w:tcPr>
            <w:tcW w:w="5980" w:type="dxa"/>
            <w:vAlign w:val="bottom"/>
            <w:gridSpan w:val="2"/>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1940" w:type="dxa"/>
            <w:vAlign w:val="bottom"/>
          </w:tcPr>
          <w:p>
            <w:pPr>
              <w:spacing w:after="0"/>
              <w:rPr>
                <w:sz w:val="24"/>
                <w:szCs w:val="24"/>
                <w:color w:val="auto"/>
              </w:rPr>
            </w:pPr>
          </w:p>
        </w:tc>
        <w:tc>
          <w:tcPr>
            <w:tcW w:w="54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PART I. FINANCIAL INFORMATION</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0"/>
        </w:trPr>
        <w:tc>
          <w:tcPr>
            <w:tcW w:w="8780" w:type="dxa"/>
            <w:vAlign w:val="bottom"/>
            <w:gridSpan w:val="6"/>
          </w:tcPr>
          <w:p>
            <w:pP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99"/>
        </w:trPr>
        <w:tc>
          <w:tcPr>
            <w:tcW w:w="19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60" w:type="dxa"/>
            <w:vAlign w:val="bottom"/>
            <w:gridSpan w:val="4"/>
          </w:tcPr>
          <w:p>
            <w:pPr>
              <w:ind w:left="200"/>
              <w:spacing w:after="0"/>
              <w:rPr>
                <w:sz w:val="20"/>
                <w:szCs w:val="20"/>
                <w:color w:val="auto"/>
              </w:rPr>
            </w:pPr>
            <w:r>
              <w:rPr>
                <w:rFonts w:ascii="Arial" w:cs="Arial" w:eastAsia="Arial" w:hAnsi="Arial"/>
                <w:sz w:val="18"/>
                <w:szCs w:val="18"/>
                <w:color w:val="auto"/>
                <w:w w:val="89"/>
              </w:rPr>
              <w:t>Nine Months Ended September</w:t>
            </w:r>
          </w:p>
        </w:tc>
      </w:tr>
      <w:tr>
        <w:trPr>
          <w:trHeight w:val="230"/>
        </w:trPr>
        <w:tc>
          <w:tcPr>
            <w:tcW w:w="19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800" w:type="dxa"/>
            <w:vAlign w:val="bottom"/>
            <w:gridSpan w:val="4"/>
          </w:tcPr>
          <w:p>
            <w:pPr>
              <w:jc w:val="right"/>
              <w:ind w:right="90"/>
              <w:spacing w:after="0"/>
              <w:rPr>
                <w:sz w:val="20"/>
                <w:szCs w:val="20"/>
                <w:color w:val="auto"/>
              </w:rPr>
            </w:pPr>
            <w:r>
              <w:rPr>
                <w:rFonts w:ascii="Arial" w:cs="Arial" w:eastAsia="Arial" w:hAnsi="Arial"/>
                <w:sz w:val="18"/>
                <w:szCs w:val="18"/>
                <w:color w:val="auto"/>
                <w:w w:val="90"/>
              </w:rPr>
              <w:t>Three Months Ended September 30</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30</w:t>
            </w:r>
          </w:p>
        </w:tc>
        <w:tc>
          <w:tcPr>
            <w:tcW w:w="860" w:type="dxa"/>
            <w:vAlign w:val="bottom"/>
          </w:tcPr>
          <w:p>
            <w:pPr>
              <w:spacing w:after="0"/>
              <w:rPr>
                <w:sz w:val="20"/>
                <w:szCs w:val="20"/>
                <w:color w:val="auto"/>
              </w:rPr>
            </w:pPr>
          </w:p>
        </w:tc>
      </w:tr>
      <w:tr>
        <w:trPr>
          <w:trHeight w:val="27"/>
        </w:trPr>
        <w:tc>
          <w:tcPr>
            <w:tcW w:w="1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r>
      <w:tr>
        <w:trPr>
          <w:trHeight w:val="27"/>
        </w:trPr>
        <w:tc>
          <w:tcPr>
            <w:tcW w:w="19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6,667</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5,997</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19,325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17,605</w:t>
            </w:r>
          </w:p>
        </w:tc>
      </w:tr>
      <w:tr>
        <w:trPr>
          <w:trHeight w:val="27"/>
        </w:trPr>
        <w:tc>
          <w:tcPr>
            <w:tcW w:w="1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2,416</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2,478</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7,262</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7,515</w:t>
            </w:r>
          </w:p>
        </w:tc>
      </w:tr>
      <w:tr>
        <w:trPr>
          <w:trHeight w:val="237"/>
        </w:trPr>
        <w:tc>
          <w:tcPr>
            <w:tcW w:w="59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sales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9,083</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8,475</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26,587</w:t>
            </w: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25,120</w:t>
            </w:r>
          </w:p>
        </w:tc>
      </w:tr>
      <w:tr>
        <w:trPr>
          <w:trHeight w:val="27"/>
        </w:trPr>
        <w:tc>
          <w:tcPr>
            <w:tcW w:w="19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5,346</w:t>
            </w:r>
          </w:p>
        </w:tc>
        <w:tc>
          <w:tcPr>
            <w:tcW w:w="4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4,777</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15,425</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13,955</w:t>
            </w:r>
          </w:p>
        </w:tc>
      </w:tr>
      <w:tr>
        <w:trPr>
          <w:trHeight w:val="27"/>
        </w:trPr>
        <w:tc>
          <w:tcPr>
            <w:tcW w:w="1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1,897</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1,971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5,774</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6,012</w:t>
            </w: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855</w:t>
            </w:r>
          </w:p>
        </w:tc>
        <w:tc>
          <w:tcPr>
            <w:tcW w:w="4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776</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2,475</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2,320</w:t>
            </w:r>
          </w:p>
        </w:tc>
      </w:tr>
      <w:tr>
        <w:trPr>
          <w:trHeight w:val="27"/>
        </w:trPr>
        <w:tc>
          <w:tcPr>
            <w:tcW w:w="19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985</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951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2,913</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w:t>
            </w:r>
          </w:p>
        </w:tc>
      </w:tr>
      <w:tr>
        <w:trPr>
          <w:trHeight w:val="243"/>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(154)</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FAS (non-service) pension benefit</w:t>
            </w:r>
          </w:p>
        </w:tc>
        <w:tc>
          <w:tcPr>
            <w:tcW w:w="2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302</w:t>
            </w:r>
          </w:p>
        </w:tc>
        <w:tc>
          <w:tcPr>
            <w:tcW w:w="4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907</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1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34</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37"/>
        </w:trPr>
        <w:tc>
          <w:tcPr>
            <w:tcW w:w="59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Earnings before income taxes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1,167</w:t>
            </w: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1,055</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3,423</w:t>
            </w: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3,117</w:t>
            </w:r>
          </w:p>
        </w:tc>
      </w:tr>
      <w:tr>
        <w:trPr>
          <w:trHeight w:val="27"/>
        </w:trPr>
        <w:tc>
          <w:tcPr>
            <w:tcW w:w="1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181</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r>
      <w:tr>
        <w:trPr>
          <w:trHeight w:val="237"/>
        </w:trPr>
        <w:tc>
          <w:tcPr>
            <w:tcW w:w="59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986</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933</w:t>
            </w: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2,859</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2,657</w:t>
            </w:r>
          </w:p>
        </w:tc>
      </w:tr>
      <w:tr>
        <w:trPr>
          <w:trHeight w:val="34"/>
        </w:trPr>
        <w:tc>
          <w:tcPr>
            <w:tcW w:w="19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0"/>
        </w:trPr>
        <w:tc>
          <w:tcPr>
            <w:tcW w:w="1940" w:type="dxa"/>
            <w:vAlign w:val="bottom"/>
            <w:shd w:val="clear" w:color="auto" w:fill="CCEEFF"/>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5980" w:type="dxa"/>
            <w:vAlign w:val="bottom"/>
            <w:gridSpan w:val="2"/>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5.91</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5.52</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17.11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15.67</w:t>
            </w:r>
          </w:p>
        </w:tc>
      </w:tr>
      <w:tr>
        <w:trPr>
          <w:trHeight w:val="27"/>
        </w:trPr>
        <w:tc>
          <w:tcPr>
            <w:tcW w:w="1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166.8</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169.1</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167.1</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169.6</w:t>
            </w:r>
          </w:p>
        </w:tc>
      </w:tr>
      <w:tr>
        <w:trPr>
          <w:trHeight w:val="243"/>
        </w:trPr>
        <w:tc>
          <w:tcPr>
            <w:tcW w:w="5980" w:type="dxa"/>
            <w:vAlign w:val="bottom"/>
            <w:gridSpan w:val="2"/>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5.89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5.49</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17.05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15.60</w:t>
            </w:r>
          </w:p>
        </w:tc>
      </w:tr>
      <w:tr>
        <w:trPr>
          <w:trHeight w:val="27"/>
        </w:trPr>
        <w:tc>
          <w:tcPr>
            <w:tcW w:w="1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2"/>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diluted shares outstanding, in millions</w:t>
            </w: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167.3</w:t>
            </w:r>
          </w:p>
        </w:tc>
        <w:tc>
          <w:tcPr>
            <w:tcW w:w="4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169.9</w:t>
            </w:r>
          </w:p>
        </w:tc>
        <w:tc>
          <w:tcPr>
            <w:tcW w:w="4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167.7</w:t>
            </w: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70"/>
        </w:trPr>
        <w:tc>
          <w:tcPr>
            <w:tcW w:w="1940" w:type="dxa"/>
            <w:vAlign w:val="bottom"/>
            <w:tcBorders>
              <w:top w:val="single" w:sz="8" w:color="auto"/>
            </w:tcBorders>
          </w:tcPr>
          <w:p>
            <w:pPr>
              <w:spacing w:after="0"/>
              <w:rPr>
                <w:sz w:val="23"/>
                <w:szCs w:val="23"/>
                <w:color w:val="auto"/>
              </w:rPr>
            </w:pPr>
          </w:p>
        </w:tc>
        <w:tc>
          <w:tcPr>
            <w:tcW w:w="40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Net earnings (from above)</w:t>
            </w:r>
          </w:p>
        </w:tc>
        <w:tc>
          <w:tcPr>
            <w:tcW w:w="4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986</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933</w:t>
            </w:r>
          </w:p>
        </w:tc>
        <w:tc>
          <w:tcPr>
            <w:tcW w:w="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2,859</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2,657</w:t>
            </w:r>
          </w:p>
        </w:tc>
      </w:tr>
      <w:tr>
        <w:trPr>
          <w:trHeight w:val="243"/>
        </w:trPr>
        <w:tc>
          <w:tcPr>
            <w:tcW w:w="598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9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Change in unamortized prior service credit,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(10)</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980" w:type="dxa"/>
            <w:vAlign w:val="bottom"/>
            <w:gridSpan w:val="2"/>
          </w:tcPr>
          <w:p>
            <w:pPr>
              <w:ind w:left="280"/>
              <w:spacing w:after="0"/>
              <w:rPr>
                <w:sz w:val="20"/>
                <w:szCs w:val="20"/>
                <w:color w:val="auto"/>
              </w:rPr>
            </w:pPr>
            <w:r>
              <w:rPr>
                <w:rFonts w:ascii="Arial" w:cs="Arial" w:eastAsia="Arial" w:hAnsi="Arial"/>
                <w:sz w:val="18"/>
                <w:szCs w:val="18"/>
                <w:color w:val="auto"/>
              </w:rPr>
              <w:t>Change in cumulative translation adjustment and other, net</w:t>
            </w:r>
          </w:p>
        </w:tc>
        <w:tc>
          <w:tcPr>
            <w:tcW w:w="2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6</w:t>
            </w:r>
          </w:p>
        </w:tc>
        <w:tc>
          <w:tcPr>
            <w:tcW w:w="42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6"/>
        </w:trPr>
        <w:tc>
          <w:tcPr>
            <w:tcW w:w="59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982</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921</w:t>
            </w: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2,835</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2,622</w:t>
            </w:r>
          </w:p>
        </w:tc>
      </w:tr>
      <w:tr>
        <w:trPr>
          <w:trHeight w:val="34"/>
        </w:trPr>
        <w:tc>
          <w:tcPr>
            <w:tcW w:w="19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ind w:right="5080"/>
        <w:spacing w:after="0" w:line="282" w:lineRule="auto"/>
        <w:rPr>
          <w:sz w:val="20"/>
          <w:szCs w:val="20"/>
          <w:color w:val="auto"/>
        </w:rPr>
      </w:pPr>
      <w:r>
        <w:rPr>
          <w:rFonts w:ascii="Arial" w:cs="Arial" w:eastAsia="Arial" w:hAnsi="Arial"/>
          <w:sz w:val="18"/>
          <w:szCs w:val="18"/>
          <w:b w:val="1"/>
          <w:bCs w:val="1"/>
          <w:color w:val="auto"/>
        </w:rPr>
        <w:t>CONDENSED CONSOLIDATED STATEMENTS OF FINANCIAL POSITION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September 30,</w:t>
            </w:r>
          </w:p>
        </w:tc>
        <w:tc>
          <w:tcPr>
            <w:tcW w:w="2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4"/>
        </w:trPr>
        <w:tc>
          <w:tcPr>
            <w:tcW w:w="798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par value</w:t>
            </w: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4,995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1,958</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Unbilled receivables, net</w:t>
            </w: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5,723</w:t>
            </w: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Inventoried costs,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853</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1,023</w:t>
            </w: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14,552</w:t>
            </w: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37"/>
        </w:trPr>
        <w:tc>
          <w:tcPr>
            <w:tcW w:w="79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4"/>
              </w:rPr>
              <w:t>Property, plant and equipment, net of accumulated depreciation of $6,259 for 2020 and $5,850 for 2019</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7,187</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1,479</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18,711</w:t>
            </w: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18,708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844</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188</w:t>
            </w: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1,811</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37"/>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44,772</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41,089</w:t>
            </w:r>
          </w:p>
        </w:tc>
        <w:tc>
          <w:tcPr>
            <w:tcW w:w="0" w:type="dxa"/>
            <w:vAlign w:val="bottom"/>
          </w:tcPr>
          <w:p>
            <w:pPr>
              <w:spacing w:after="0"/>
              <w:rPr>
                <w:sz w:val="1"/>
                <w:szCs w:val="1"/>
                <w:color w:val="auto"/>
              </w:rPr>
            </w:pPr>
          </w:p>
        </w:tc>
      </w:tr>
      <w:tr>
        <w:trPr>
          <w:trHeight w:val="34"/>
        </w:trPr>
        <w:tc>
          <w:tcPr>
            <w:tcW w:w="7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7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Accrued employee compensation</w:t>
            </w: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1,847</w:t>
            </w: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 payments and billings in excess of costs incurred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2,235</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3,830</w:t>
            </w: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10,109</w:t>
            </w: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37"/>
        </w:trPr>
        <w:tc>
          <w:tcPr>
            <w:tcW w:w="79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Long-term debt, net of current portion of $1,806 for 2020 and $1,109 for 2019</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14,260</w:t>
            </w:r>
          </w:p>
        </w:tc>
        <w:tc>
          <w:tcPr>
            <w:tcW w:w="2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12,770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benefit plan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6,389</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1,292</w:t>
            </w: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2,216</w:t>
            </w: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34,305</w:t>
            </w: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32,270</w:t>
            </w:r>
          </w:p>
        </w:tc>
        <w:tc>
          <w:tcPr>
            <w:tcW w:w="0" w:type="dxa"/>
            <w:vAlign w:val="bottom"/>
          </w:tcPr>
          <w:p>
            <w:pPr>
              <w:spacing w:after="0"/>
              <w:rPr>
                <w:sz w:val="1"/>
                <w:szCs w:val="1"/>
                <w:color w:val="auto"/>
              </w:rPr>
            </w:pPr>
          </w:p>
        </w:tc>
      </w:tr>
      <w:tr>
        <w:trPr>
          <w:trHeight w:val="318"/>
        </w:trPr>
        <w:tc>
          <w:tcPr>
            <w:tcW w:w="79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(Note 6)</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$1 par value; 800,000,000 shares authorized; issued and outstanding: 2020—166,715,510</w:t>
            </w:r>
          </w:p>
        </w:tc>
        <w:tc>
          <w:tcPr>
            <w:tcW w:w="18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167</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2019—167,848,424</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27</w:t>
            </w: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10,394</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8,748</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10,467</w:t>
            </w: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8,819</w:t>
            </w:r>
          </w:p>
        </w:tc>
        <w:tc>
          <w:tcPr>
            <w:tcW w:w="0" w:type="dxa"/>
            <w:vAlign w:val="bottom"/>
          </w:tcPr>
          <w:p>
            <w:pPr>
              <w:spacing w:after="0"/>
              <w:rPr>
                <w:sz w:val="1"/>
                <w:szCs w:val="1"/>
                <w:color w:val="auto"/>
              </w:rPr>
            </w:pPr>
          </w:p>
        </w:tc>
      </w:tr>
      <w:tr>
        <w:trPr>
          <w:trHeight w:val="236"/>
        </w:trPr>
        <w:tc>
          <w:tcPr>
            <w:tcW w:w="79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44,772</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41,089</w:t>
            </w:r>
          </w:p>
        </w:tc>
        <w:tc>
          <w:tcPr>
            <w:tcW w:w="0" w:type="dxa"/>
            <w:vAlign w:val="bottom"/>
          </w:tcPr>
          <w:p>
            <w:pPr>
              <w:spacing w:after="0"/>
              <w:rPr>
                <w:sz w:val="1"/>
                <w:szCs w:val="1"/>
                <w:color w:val="auto"/>
              </w:rPr>
            </w:pPr>
          </w:p>
        </w:tc>
      </w:tr>
      <w:tr>
        <w:trPr>
          <w:trHeight w:val="34"/>
        </w:trPr>
        <w:tc>
          <w:tcPr>
            <w:tcW w:w="7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i w:val="1"/>
                <w:iCs w:val="1"/>
                <w:color w:val="auto"/>
                <w:w w:val="90"/>
              </w:rPr>
              <w:t>The accompanying notes are an integral part of these unaudited condensed consolidated financial statements.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80" w:type="dxa"/>
            <w:vAlign w:val="bottom"/>
          </w:tcPr>
          <w:p>
            <w:pPr>
              <w:ind w:left="55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40" w:type="dxa"/>
            <w:vAlign w:val="bottom"/>
            <w:gridSpan w:val="4"/>
          </w:tcPr>
          <w:p>
            <w:pPr>
              <w:jc w:val="right"/>
              <w:spacing w:after="0"/>
              <w:rPr>
                <w:sz w:val="20"/>
                <w:szCs w:val="20"/>
                <w:color w:val="auto"/>
              </w:rPr>
            </w:pPr>
            <w:r>
              <w:rPr>
                <w:rFonts w:ascii="Arial" w:cs="Arial" w:eastAsia="Arial" w:hAnsi="Arial"/>
                <w:sz w:val="18"/>
                <w:szCs w:val="18"/>
                <w:color w:val="auto"/>
                <w:w w:val="91"/>
              </w:rPr>
              <w:t>Nine Months Ended September</w:t>
            </w:r>
          </w:p>
        </w:tc>
      </w:tr>
      <w:tr>
        <w:trPr>
          <w:trHeight w:val="230"/>
        </w:trPr>
        <w:tc>
          <w:tcPr>
            <w:tcW w:w="8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30</w:t>
            </w:r>
          </w:p>
        </w:tc>
        <w:tc>
          <w:tcPr>
            <w:tcW w:w="880" w:type="dxa"/>
            <w:vAlign w:val="bottom"/>
          </w:tcPr>
          <w:p>
            <w:pPr>
              <w:spacing w:after="0"/>
              <w:rPr>
                <w:sz w:val="20"/>
                <w:szCs w:val="20"/>
                <w:color w:val="auto"/>
              </w:rPr>
            </w:pP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2,859</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2,657</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922</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924</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Inventoried costs, net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320</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Retiree benefits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2,703</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1,833</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90"/>
        </w:trPr>
        <w:tc>
          <w:tcPr>
            <w:tcW w:w="8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r>
      <w:tr>
        <w:trPr>
          <w:trHeight w:val="290"/>
        </w:trPr>
        <w:tc>
          <w:tcPr>
            <w:tcW w:w="8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Net proceeds from issuance of long-term debt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2,239</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Payments to credit facilities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borrowings on 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Common stock repurchases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(490)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Payments of employee taxes withheld from share-based awards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875</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2,245</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1,579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4,995</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r>
      <w:tr>
        <w:trPr>
          <w:trHeight w:val="27"/>
        </w:trPr>
        <w:tc>
          <w:tcPr>
            <w:tcW w:w="8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ind w:right="3520"/>
        <w:spacing w:after="0" w:line="282" w:lineRule="auto"/>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440" w:type="dxa"/>
            <w:vAlign w:val="bottom"/>
            <w:gridSpan w:val="4"/>
          </w:tcPr>
          <w:p>
            <w:pPr>
              <w:ind w:left="20"/>
              <w:spacing w:after="0"/>
              <w:rPr>
                <w:sz w:val="20"/>
                <w:szCs w:val="20"/>
                <w:color w:val="auto"/>
              </w:rPr>
            </w:pPr>
            <w:r>
              <w:rPr>
                <w:rFonts w:ascii="Arial" w:cs="Arial" w:eastAsia="Arial" w:hAnsi="Arial"/>
                <w:sz w:val="18"/>
                <w:szCs w:val="18"/>
                <w:color w:val="auto"/>
                <w:w w:val="91"/>
              </w:rPr>
              <w:t>Three Months Ended September</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3"/>
              </w:rPr>
              <w:t>Nine Months Ended September</w:t>
            </w:r>
          </w:p>
        </w:tc>
      </w:tr>
      <w:tr>
        <w:trPr>
          <w:trHeight w:val="230"/>
        </w:trPr>
        <w:tc>
          <w:tcPr>
            <w:tcW w:w="6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w w:val="79"/>
              </w:rPr>
              <w:t>30</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w w:val="79"/>
              </w:rPr>
              <w:t>30</w:t>
            </w:r>
          </w:p>
        </w:tc>
        <w:tc>
          <w:tcPr>
            <w:tcW w:w="84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8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2019</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169</w:t>
            </w:r>
          </w:p>
        </w:tc>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42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End of period</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169</w:t>
            </w: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4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6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Retained earnings</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9,652</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9,120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8,748</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8,068</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(479)</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986</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933</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2,859</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2,657</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Dividends declared</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(709)</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10,394</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9,649</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10,394</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9,649</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Other comprehensive loss, net of tax</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8"/>
        </w:trPr>
        <w:tc>
          <w:tcPr>
            <w:tcW w:w="64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10,467</w:t>
            </w: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9,731</w:t>
            </w: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10,467</w:t>
            </w: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9,731</w:t>
            </w:r>
          </w:p>
        </w:tc>
      </w:tr>
      <w:tr>
        <w:trPr>
          <w:trHeight w:val="34"/>
        </w:trPr>
        <w:tc>
          <w:tcPr>
            <w:tcW w:w="6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dividends declared per share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r>
      <w:tr>
        <w:trPr>
          <w:trHeight w:val="27"/>
        </w:trPr>
        <w:tc>
          <w:tcPr>
            <w:tcW w:w="64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0"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Reporting</w:t>
      </w:r>
    </w:p>
    <w:p>
      <w:pPr>
        <w:spacing w:after="0" w:line="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w:t>
      </w:r>
    </w:p>
    <w:p>
      <w:pPr>
        <w:spacing w:after="0" w:line="52"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color w:val="auto"/>
        </w:rPr>
        <w:t>Effective January 1, 2020, the company reorganized its operating sectors to better align the company’s broad portfolio to serve its customers’ needs. The four new sectors, which also comprise our reportable segments, are Aeronautics Systems, Defense Systems, Mission Systems and Space Systems.</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Beginning in the second quarter of 2020, the company no longer considers certain unallowable costs and environmental matters that are principally managed at the corporate office as part of management’s evaluation of segment operating performance. As a result, certain unallowable compensation and other costs, which were previously included in segment operating results, are now reported in Unallocated corporate expense within operating income. In addition, certain accrued and deferred costs, as well as unallowable costs, if any, associated with certain environmental matters that were previously reflected in segment assets and operating results are now reflected in corporate assets and Unallocated corporate expense within operating income. The impact of these changes are reflected in the amounts in this Form 10-Q. See Part II, Item 5 in the Quarterly Report on Form 10-Q for the quarter ended June 30, 2020 and Note 9 for further information regarding the impact of these changes on the company’s prior period segment operating income.</w:t>
      </w:r>
    </w:p>
    <w:p>
      <w:pPr>
        <w:spacing w:after="0" w:line="3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results reported in these financial statements are not necessarily indicative of results that may be expected for the entire year. These financial statements should be read in conjunction with the information contained in the company’s 2019 Annual Report on Form 10-K, the Form 8-K that we filed with the SEC on April 29, 2020, which recasts the disclosures in certain portions of the 2019 Annual Report on Form 10-K to reflect changes in the company’s reportable segments, and the Quarterly Reports on Form 10-Q for the quarters ended March 31, 2020 and June 30, 2020.</w:t>
      </w:r>
    </w:p>
    <w:p>
      <w:pPr>
        <w:spacing w:after="0" w:line="3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majority of our sales are derived from long-term contracts with the U.S. government for the development or production of goods, the provision of services, or a combination of both. We recognize revenue as control is transferred to the customer, either over time or at a point in time. For most of our contracts, control is effectively transferred during the period of performance, so we generally recognize revenue over time using the cost-to-cost method (cost incurred relative to total cost estimated at completion). The company believes this represents the most appropriate measurement towards satisfaction of our performance obligations. Revenue for contracts in which the control of goods produced does not transfer until delivery to the customer is recognized at a point in time (i.e., typically upon delivery).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Estimates</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Use of the cost-to-cost method requires us to make reasonably dependable estimates regarding the revenue and cost associated with the design, manufacture and delivery of our products and services. The company estimates profit on these contracts as the difference between total estimated sales and total estimated cost at completion and recognizes that profit as costs are incurred. Significant judgment is used to estimate total sales and cost at completion.</w:t>
      </w:r>
    </w:p>
    <w:p>
      <w:pPr>
        <w:spacing w:after="0" w:line="2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Contract sales may include estimates of variable consideration, including cost or performance incentives (such as award and incentive fees), contract claims and requests for equitable adjustment (REAs).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3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recognize changes in estimated contract sales or costs and the resulting changes in contract profit on a cumulative basis. Cumulative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 obligation, the entire amount of the estimable future loss, including an allocation of general and administrative (G&amp;A) expense, is charged against income in the period the loss is identified.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aggregate net EAC adjustments: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440" w:type="dxa"/>
            <w:vAlign w:val="bottom"/>
            <w:gridSpan w:val="4"/>
          </w:tcPr>
          <w:p>
            <w:pPr>
              <w:ind w:left="20"/>
              <w:spacing w:after="0"/>
              <w:rPr>
                <w:sz w:val="20"/>
                <w:szCs w:val="20"/>
                <w:color w:val="auto"/>
              </w:rPr>
            </w:pPr>
            <w:r>
              <w:rPr>
                <w:rFonts w:ascii="Arial" w:cs="Arial" w:eastAsia="Arial" w:hAnsi="Arial"/>
                <w:sz w:val="18"/>
                <w:szCs w:val="18"/>
                <w:color w:val="auto"/>
                <w:w w:val="91"/>
              </w:rPr>
              <w:t>Three Months Ended September</w:t>
            </w:r>
          </w:p>
        </w:tc>
        <w:tc>
          <w:tcPr>
            <w:tcW w:w="2380" w:type="dxa"/>
            <w:vAlign w:val="bottom"/>
            <w:gridSpan w:val="4"/>
          </w:tcPr>
          <w:p>
            <w:pPr>
              <w:jc w:val="center"/>
              <w:spacing w:after="0"/>
              <w:rPr>
                <w:sz w:val="20"/>
                <w:szCs w:val="20"/>
                <w:color w:val="auto"/>
              </w:rPr>
            </w:pPr>
            <w:r>
              <w:rPr>
                <w:rFonts w:ascii="Arial" w:cs="Arial" w:eastAsia="Arial" w:hAnsi="Arial"/>
                <w:sz w:val="18"/>
                <w:szCs w:val="18"/>
                <w:color w:val="auto"/>
                <w:w w:val="90"/>
              </w:rPr>
              <w:t>Nine Months Ended September</w:t>
            </w:r>
          </w:p>
        </w:tc>
      </w:tr>
      <w:tr>
        <w:trPr>
          <w:trHeight w:val="230"/>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30</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30</w:t>
            </w:r>
          </w:p>
        </w:tc>
        <w:tc>
          <w:tcPr>
            <w:tcW w:w="88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data</w:t>
            </w:r>
          </w:p>
        </w:tc>
        <w:tc>
          <w:tcPr>
            <w:tcW w:w="26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6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4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421</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earnings</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70"/>
        </w:trPr>
        <w:tc>
          <w:tcPr>
            <w:tcW w:w="64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0.58</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0.58</w:t>
            </w: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r>
    </w:tbl>
    <w:p>
      <w:pPr>
        <w:spacing w:after="0" w:line="11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Based on a 21 percent statutory tax rate.</w:t>
      </w:r>
    </w:p>
    <w:p>
      <w:pPr>
        <w:spacing w:after="0" w:line="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 adjustments on a single performance obligation can have a material effect on the company’s financial statements. When such adjustments occur, we generally disclose the nature, underlying conditions and financial impact of the adjustments. No such adjustments were material to the financial statements during the three months ended September 30, 2020 and 2019.</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Company backlog as of September 30, 2020 was $81.3 billion. We expect to recognize approximately 35 percent and 55 percent of our September 30, 2020 backlog as revenue over the next 12 and 24 months, respectively, with the remainder to be recognized thereafter.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nine months ended September 30, 2020 that was included in the December 31, 2019 contract liability balance was $232 million and $1.5 billion, respectively. The amount of revenue recognized for the three and nine months ended September 30, 2019 that was included in the December 31, 2018 contract liability balance was $209 million and $1.2 billion,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right="400"/>
        <w:spacing w:after="0" w:line="322" w:lineRule="auto"/>
        <w:rPr>
          <w:sz w:val="20"/>
          <w:szCs w:val="20"/>
          <w:color w:val="auto"/>
        </w:rPr>
      </w:pPr>
      <w:r>
        <w:rPr>
          <w:rFonts w:ascii="Arial" w:cs="Arial" w:eastAsia="Arial" w:hAnsi="Arial"/>
          <w:sz w:val="16"/>
          <w:szCs w:val="16"/>
          <w:color w:val="auto"/>
        </w:rPr>
        <w:t>See Note 9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September 30,</w:t>
            </w:r>
          </w:p>
        </w:tc>
        <w:tc>
          <w:tcPr>
            <w:tcW w:w="240" w:type="dxa"/>
            <w:vAlign w:val="bottom"/>
          </w:tcPr>
          <w:p>
            <w:pPr>
              <w:spacing w:after="0"/>
              <w:rPr>
                <w:sz w:val="18"/>
                <w:szCs w:val="18"/>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w w:val="99"/>
              </w:rPr>
              <w:t>December 31,</w:t>
            </w:r>
          </w:p>
        </w:tc>
      </w:tr>
      <w:tr>
        <w:trPr>
          <w:trHeight w:val="234"/>
        </w:trPr>
        <w:tc>
          <w:tcPr>
            <w:tcW w:w="6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98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color w:val="auto"/>
              </w:rPr>
              <w:t>2019</w:t>
            </w:r>
          </w:p>
        </w:tc>
      </w:tr>
      <w:tr>
        <w:trPr>
          <w:trHeight w:val="27"/>
        </w:trPr>
        <w:tc>
          <w:tcPr>
            <w:tcW w:w="6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prior service credit, net of tax expense of $6 for 2020 and $17 for 2019</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Cumulative translation adjustment and other, net</w:t>
            </w:r>
          </w:p>
        </w:tc>
        <w:tc>
          <w:tcPr>
            <w:tcW w:w="9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69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9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the company had no material related party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27"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Accounting standards updates adopted and/or issued, but not effective until after September 30, 2020, are not expected to have a material effect on the company’s unaudited condensed consolidated financial position, annual results of operations and/or cash flows.</w:t>
      </w:r>
    </w:p>
    <w:p>
      <w:pPr>
        <w:spacing w:after="0" w:line="12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SHARE REPURCHASES AND DIVIDENDS ON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calculate basic earnings per share by dividing net earnings by the weighted-average number of shares of common stock outstanding during each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Diluted earnings per share include the dilutive effect of awards granted to employees under stock-based compensation plans. The dilutive effect of these securities totaled 0.5 million shares and 0.6 million shares for the three and nine months ended September 30, 2020, respectively. The dilutive effect of these securities totaled 0.8 million shares and 0.7 million shares for the three and nine months ended September 30, 2019,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On September 16, 2015, the company’s board of directors authorized a share repurchase program of up to $4.0 billion of the company’s common stock (the “2015 Repurchase Program”). Repurchases under the 2015 Repurchase Program commenced in March 2016 and were completed in March 2020.</w:t>
      </w:r>
    </w:p>
    <w:p>
      <w:pPr>
        <w:spacing w:after="0" w:line="3" w:lineRule="exact"/>
        <w:rPr>
          <w:sz w:val="20"/>
          <w:szCs w:val="20"/>
          <w:color w:val="auto"/>
        </w:rPr>
      </w:pPr>
    </w:p>
    <w:p>
      <w:pPr>
        <w:ind w:left="60" w:right="160"/>
        <w:spacing w:after="0" w:line="296" w:lineRule="auto"/>
        <w:rPr>
          <w:sz w:val="20"/>
          <w:szCs w:val="20"/>
          <w:color w:val="auto"/>
        </w:rPr>
      </w:pPr>
      <w:r>
        <w:rPr>
          <w:rFonts w:ascii="Arial" w:cs="Arial" w:eastAsia="Arial" w:hAnsi="Arial"/>
          <w:sz w:val="16"/>
          <w:szCs w:val="16"/>
          <w:color w:val="auto"/>
        </w:rPr>
        <w:t>On December 4, 2018, the company’s board of directors authorized a new share repurchase program of up to an additional $3.0 billion in share repurchases of the company’s common stock (the “2018 Repurchase Program”). Repurchases under the 2018 Repurchase Program commenced in March 2020 upon the completion of the company’s 2015 Repurchase Program. We had no repurchases of common stock during the three months ended September 30, 2020. As of September 30, 2020, repurchases under the 2018 Repurchase Program totaled $0.2 billion; $2.8 billion remained under this share repurchase authorization. By its terms, the 2018 Repurchase Program is set to expire when all authorized funds for repurchases have been used.</w:t>
      </w:r>
    </w:p>
    <w:p>
      <w:pPr>
        <w:spacing w:after="0" w:line="2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company’s share repurchases to date under the authorizations described above:</w:t>
      </w:r>
    </w:p>
    <w:p>
      <w:pPr>
        <w:spacing w:after="0" w:line="171" w:lineRule="exact"/>
        <w:rPr>
          <w:sz w:val="20"/>
          <w:szCs w:val="20"/>
          <w:color w:val="auto"/>
        </w:rPr>
      </w:pPr>
    </w:p>
    <w:p>
      <w:pPr>
        <w:jc w:val="center"/>
        <w:ind w:left="8880"/>
        <w:spacing w:after="0"/>
        <w:rPr>
          <w:sz w:val="20"/>
          <w:szCs w:val="20"/>
          <w:color w:val="auto"/>
        </w:rPr>
      </w:pPr>
      <w:r>
        <w:rPr>
          <w:rFonts w:ascii="Arial" w:cs="Arial" w:eastAsia="Arial" w:hAnsi="Arial"/>
          <w:sz w:val="18"/>
          <w:szCs w:val="18"/>
          <w:color w:val="auto"/>
        </w:rPr>
        <w:t>Shares Repurchased</w:t>
      </w:r>
    </w:p>
    <w:p>
      <w:pPr>
        <w:spacing w:after="0" w:line="23" w:lineRule="exact"/>
        <w:rPr>
          <w:sz w:val="20"/>
          <w:szCs w:val="20"/>
          <w:color w:val="auto"/>
        </w:rPr>
      </w:pPr>
    </w:p>
    <w:p>
      <w:pPr>
        <w:jc w:val="center"/>
        <w:ind w:left="888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22860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Amount</w:t>
            </w: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18"/>
                <w:szCs w:val="18"/>
                <w:color w:val="auto"/>
              </w:rPr>
            </w:pPr>
          </w:p>
        </w:tc>
        <w:tc>
          <w:tcPr>
            <w:tcW w:w="1320" w:type="dxa"/>
            <w:vAlign w:val="bottom"/>
            <w:vMerge w:val="restart"/>
          </w:tcPr>
          <w:p>
            <w:pPr>
              <w:jc w:val="center"/>
              <w:ind w:right="270"/>
              <w:spacing w:after="0"/>
              <w:rPr>
                <w:sz w:val="20"/>
                <w:szCs w:val="20"/>
                <w:color w:val="auto"/>
              </w:rPr>
            </w:pPr>
            <w:r>
              <w:rPr>
                <w:rFonts w:ascii="Arial" w:cs="Arial" w:eastAsia="Arial" w:hAnsi="Arial"/>
                <w:sz w:val="18"/>
                <w:szCs w:val="18"/>
                <w:color w:val="auto"/>
                <w:w w:val="89"/>
              </w:rPr>
              <w:t>Average</w:t>
            </w:r>
          </w:p>
        </w:tc>
        <w:tc>
          <w:tcPr>
            <w:tcW w:w="186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w w:val="90"/>
              </w:rPr>
              <w:t>Nine Months Ended September</w:t>
            </w:r>
          </w:p>
        </w:tc>
        <w:tc>
          <w:tcPr>
            <w:tcW w:w="0" w:type="dxa"/>
            <w:vAlign w:val="bottom"/>
          </w:tcPr>
          <w:p>
            <w:pPr>
              <w:spacing w:after="0"/>
              <w:rPr>
                <w:sz w:val="1"/>
                <w:szCs w:val="1"/>
                <w:color w:val="auto"/>
              </w:rPr>
            </w:pPr>
          </w:p>
        </w:tc>
      </w:tr>
      <w:tr>
        <w:trPr>
          <w:trHeight w:val="68"/>
        </w:trPr>
        <w:tc>
          <w:tcPr>
            <w:tcW w:w="2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80" w:type="dxa"/>
            <w:vAlign w:val="bottom"/>
            <w:vMerge w:val="restart"/>
          </w:tcPr>
          <w:p>
            <w:pPr>
              <w:jc w:val="right"/>
              <w:ind w:right="970"/>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163"/>
        </w:trPr>
        <w:tc>
          <w:tcPr>
            <w:tcW w:w="2060" w:type="dxa"/>
            <w:vAlign w:val="bottom"/>
            <w:vMerge w:val="restart"/>
          </w:tcPr>
          <w:p>
            <w:pPr>
              <w:jc w:val="center"/>
              <w:spacing w:after="0" w:line="190" w:lineRule="exact"/>
              <w:rPr>
                <w:sz w:val="20"/>
                <w:szCs w:val="20"/>
                <w:color w:val="auto"/>
              </w:rPr>
            </w:pPr>
            <w:r>
              <w:rPr>
                <w:rFonts w:ascii="Arial" w:cs="Arial" w:eastAsia="Arial" w:hAnsi="Arial"/>
                <w:sz w:val="18"/>
                <w:szCs w:val="18"/>
                <w:color w:val="auto"/>
                <w:w w:val="87"/>
              </w:rPr>
              <w:t>Repurchase Program</w:t>
            </w:r>
          </w:p>
        </w:tc>
        <w:tc>
          <w:tcPr>
            <w:tcW w:w="380" w:type="dxa"/>
            <w:vAlign w:val="bottom"/>
          </w:tcPr>
          <w:p>
            <w:pPr>
              <w:spacing w:after="0"/>
              <w:rPr>
                <w:sz w:val="14"/>
                <w:szCs w:val="14"/>
                <w:color w:val="auto"/>
              </w:rPr>
            </w:pPr>
          </w:p>
        </w:tc>
        <w:tc>
          <w:tcPr>
            <w:tcW w:w="1360" w:type="dxa"/>
            <w:vAlign w:val="bottom"/>
            <w:vMerge w:val="restart"/>
          </w:tcPr>
          <w:p>
            <w:pPr>
              <w:jc w:val="center"/>
              <w:ind w:right="230"/>
              <w:spacing w:after="0" w:line="190" w:lineRule="exact"/>
              <w:rPr>
                <w:sz w:val="20"/>
                <w:szCs w:val="20"/>
                <w:color w:val="auto"/>
              </w:rPr>
            </w:pPr>
            <w:r>
              <w:rPr>
                <w:rFonts w:ascii="Arial" w:cs="Arial" w:eastAsia="Arial" w:hAnsi="Arial"/>
                <w:sz w:val="18"/>
                <w:szCs w:val="18"/>
                <w:color w:val="auto"/>
                <w:w w:val="92"/>
              </w:rPr>
              <w:t>Authorized</w:t>
            </w:r>
          </w:p>
        </w:tc>
        <w:tc>
          <w:tcPr>
            <w:tcW w:w="1640" w:type="dxa"/>
            <w:vAlign w:val="bottom"/>
            <w:vMerge w:val="restart"/>
          </w:tcPr>
          <w:p>
            <w:pPr>
              <w:jc w:val="center"/>
              <w:spacing w:after="0" w:line="190" w:lineRule="exact"/>
              <w:rPr>
                <w:sz w:val="20"/>
                <w:szCs w:val="20"/>
                <w:color w:val="auto"/>
              </w:rPr>
            </w:pPr>
            <w:r>
              <w:rPr>
                <w:rFonts w:ascii="Arial" w:cs="Arial" w:eastAsia="Arial" w:hAnsi="Arial"/>
                <w:sz w:val="18"/>
                <w:szCs w:val="18"/>
                <w:color w:val="auto"/>
                <w:w w:val="86"/>
              </w:rPr>
              <w:t>Shares Retired</w:t>
            </w:r>
          </w:p>
        </w:tc>
        <w:tc>
          <w:tcPr>
            <w:tcW w:w="280" w:type="dxa"/>
            <w:vAlign w:val="bottom"/>
          </w:tcPr>
          <w:p>
            <w:pPr>
              <w:spacing w:after="0"/>
              <w:rPr>
                <w:sz w:val="14"/>
                <w:szCs w:val="14"/>
                <w:color w:val="auto"/>
              </w:rPr>
            </w:pPr>
          </w:p>
        </w:tc>
        <w:tc>
          <w:tcPr>
            <w:tcW w:w="1320" w:type="dxa"/>
            <w:vAlign w:val="bottom"/>
            <w:vMerge w:val="restart"/>
          </w:tcPr>
          <w:p>
            <w:pPr>
              <w:jc w:val="center"/>
              <w:ind w:right="230"/>
              <w:spacing w:after="0" w:line="190" w:lineRule="exact"/>
              <w:rPr>
                <w:sz w:val="20"/>
                <w:szCs w:val="20"/>
                <w:color w:val="auto"/>
              </w:rPr>
            </w:pPr>
            <w:r>
              <w:rPr>
                <w:rFonts w:ascii="Arial" w:cs="Arial" w:eastAsia="Arial" w:hAnsi="Arial"/>
                <w:sz w:val="18"/>
                <w:szCs w:val="18"/>
                <w:color w:val="auto"/>
                <w:w w:val="87"/>
              </w:rPr>
              <w:t>Price</w:t>
            </w:r>
          </w:p>
        </w:tc>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6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8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Authorization Date</w:t>
            </w: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6"/>
              </w:rPr>
              <w:t>(in millions)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(in millions)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30"/>
              <w:spacing w:after="0" w:line="263" w:lineRule="exact"/>
              <w:rPr>
                <w:sz w:val="20"/>
                <w:szCs w:val="20"/>
                <w:color w:val="auto"/>
              </w:rPr>
            </w:pPr>
            <w:r>
              <w:rPr>
                <w:rFonts w:ascii="Arial" w:cs="Arial" w:eastAsia="Arial" w:hAnsi="Arial"/>
                <w:sz w:val="18"/>
                <w:szCs w:val="18"/>
                <w:color w:val="auto"/>
                <w:w w:val="82"/>
              </w:rPr>
              <w:t>Per Share</w:t>
            </w:r>
            <w:r>
              <w:rPr>
                <w:rFonts w:ascii="Arial" w:cs="Arial" w:eastAsia="Arial" w:hAnsi="Arial"/>
                <w:sz w:val="25"/>
                <w:szCs w:val="25"/>
                <w:color w:val="auto"/>
                <w:w w:val="82"/>
                <w:vertAlign w:val="superscript"/>
              </w:rPr>
              <w:t>(1)</w:t>
            </w:r>
          </w:p>
        </w:tc>
        <w:tc>
          <w:tcPr>
            <w:tcW w:w="1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Date Completed</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43"/>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16, 2015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4,000</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260.33</w:t>
            </w:r>
          </w:p>
        </w:tc>
        <w:tc>
          <w:tcPr>
            <w:tcW w:w="186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March 2020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December 4, 2018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3,000</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326.20</w:t>
            </w:r>
          </w:p>
        </w:tc>
        <w:tc>
          <w:tcPr>
            <w:tcW w:w="18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Includes commissions paid.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 May 2020, the company increased the quarterly common stock dividend 10 percent to $1.45 per share from the previous amount of $1.32 per share.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In May 2019, the company increased the quarterly common stock dividend 10 percent to $1.32 per share from the previous amount of $1.20 per share.</w:t>
      </w:r>
    </w:p>
    <w:p>
      <w:pPr>
        <w:spacing w:after="0" w:line="10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520" w:type="dxa"/>
            <w:vAlign w:val="bottom"/>
            <w:gridSpan w:val="4"/>
          </w:tcPr>
          <w:p>
            <w:pPr>
              <w:jc w:val="center"/>
              <w:spacing w:after="0"/>
              <w:rPr>
                <w:sz w:val="20"/>
                <w:szCs w:val="20"/>
                <w:color w:val="auto"/>
              </w:rPr>
            </w:pPr>
            <w:r>
              <w:rPr>
                <w:rFonts w:ascii="Arial" w:cs="Arial" w:eastAsia="Arial" w:hAnsi="Arial"/>
                <w:sz w:val="18"/>
                <w:szCs w:val="18"/>
                <w:color w:val="auto"/>
                <w:w w:val="89"/>
              </w:rPr>
              <w:t>Three Months Ended September</w:t>
            </w:r>
          </w:p>
        </w:tc>
        <w:tc>
          <w:tcPr>
            <w:tcW w:w="180" w:type="dxa"/>
            <w:vAlign w:val="bottom"/>
          </w:tcPr>
          <w:p>
            <w:pPr>
              <w:spacing w:after="0"/>
              <w:rPr>
                <w:sz w:val="18"/>
                <w:szCs w:val="18"/>
                <w:color w:val="auto"/>
              </w:rPr>
            </w:pPr>
          </w:p>
        </w:tc>
        <w:tc>
          <w:tcPr>
            <w:tcW w:w="2380" w:type="dxa"/>
            <w:vAlign w:val="bottom"/>
            <w:gridSpan w:val="3"/>
          </w:tcPr>
          <w:p>
            <w:pPr>
              <w:jc w:val="center"/>
              <w:spacing w:after="0"/>
              <w:rPr>
                <w:sz w:val="20"/>
                <w:szCs w:val="20"/>
                <w:color w:val="auto"/>
              </w:rPr>
            </w:pPr>
            <w:r>
              <w:rPr>
                <w:rFonts w:ascii="Arial" w:cs="Arial" w:eastAsia="Arial" w:hAnsi="Arial"/>
                <w:sz w:val="18"/>
                <w:szCs w:val="18"/>
                <w:color w:val="auto"/>
                <w:w w:val="89"/>
              </w:rPr>
              <w:t>Nine Months Ended September</w:t>
            </w:r>
          </w:p>
        </w:tc>
      </w:tr>
      <w:tr>
        <w:trPr>
          <w:trHeight w:val="230"/>
        </w:trPr>
        <w:tc>
          <w:tcPr>
            <w:tcW w:w="6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30</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30</w:t>
            </w:r>
          </w:p>
        </w:tc>
        <w:tc>
          <w:tcPr>
            <w:tcW w:w="920" w:type="dxa"/>
            <w:vAlign w:val="bottom"/>
          </w:tcPr>
          <w:p>
            <w:pPr>
              <w:spacing w:after="0"/>
              <w:rPr>
                <w:sz w:val="20"/>
                <w:szCs w:val="20"/>
                <w:color w:val="auto"/>
              </w:rPr>
            </w:pPr>
          </w:p>
        </w:tc>
      </w:tr>
      <w:tr>
        <w:trPr>
          <w:trHeight w:val="27"/>
        </w:trPr>
        <w:tc>
          <w:tcPr>
            <w:tcW w:w="6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2019</w:t>
            </w:r>
          </w:p>
        </w:tc>
      </w:tr>
      <w:tr>
        <w:trPr>
          <w:trHeight w:val="27"/>
        </w:trPr>
        <w:tc>
          <w:tcPr>
            <w:tcW w:w="6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Federal and foreign income tax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181</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564</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460</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6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third quarter 2020 effective tax rate (ETR) increased to 15.5 percent from 11.6 percent in the prior year period primarily due to lower research credits, partially offset by benefits relating to foreign-derived intangible income (FDII) after final regulations issued in July clarified Foreign Military Sales qualify for the deduction. The company’s third quarter 2020 ETR includes benefits of $45 million for research credits and $30 million for FDII. The company’s third quarter 2019 ETR includes benefits of $89 million for research credits and $17 million for FDII.</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year to date 2020 ETR increased to 16.5 percent from 14.8 percent in the prior year period due to the same current quarter items discussed above. The company’s year to date 2020 ETR includes benefits of $135 million for research credits and $46 million for FDII. The company’s year to date 2019 ETR includes benefits of $171 million for research credits and $26 million for FDII.</w:t>
      </w:r>
    </w:p>
    <w:p>
      <w:pPr>
        <w:spacing w:after="0" w:line="5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March 2020, the CARES Act was enacted. The CARES Act includes certain changes to U.S. tax law that impact the company, including a technical correction to the 2017 Tax Cuts and Jobs Act, which makes certain qualified improvement property eligible for bonus depreciation. The CARES Act did not have a significant impact on the company’s third quarter and year to date 2020 effective tax rate.</w:t>
      </w:r>
    </w:p>
    <w:p>
      <w:pPr>
        <w:spacing w:after="0" w:line="4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During the three and nine months ended September 30, 2020, we increased our unrecognized tax benefits by approximately $219 million and $294 million, respectively, primarily related to state apportionment, our methods of accounting associated with the timing of revenue recognition and related costs, and the 2017 Tax Act. It is reasonably possible that within the next 12 months our unrecognized tax benefits related to these matters may decrease by up to $50 million. Since enactment of the 2017 Tax Act, the Internal Revenue Service (IRS) and U.S. Treasury Department have issued and are expected to further issue interpretive guidance that impacts taxpayers. We will continue to evaluate such guidance as it is issued.</w:t>
      </w:r>
    </w:p>
    <w:p>
      <w:pPr>
        <w:spacing w:after="0" w:line="4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The Northrop Grumman 2014-2017 federal tax returns and refund claims related to its 2007-2016 federal tax returns are currently under IRS examination. In addition, legacy Orbital ATK federal tax returns for the year ended March 31, 2015, the nine-month transition period ended December 31, 2015 and calendar years 2016-2017 are currently under appeal with the IRS.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holds a portfolio of marketable securities to partially fund non-qualified employee benefit plans. A portion of these securities are held in common/collective trust funds and are measured at fair value using net asset value (NAV) per share as a practical expedient; and therefore are not required to be categorized in the fair value hierarchy table below. Marketable securities are included in Other non-current assets in the unaudited condensed consolidated statements of financial position.</w:t>
      </w:r>
    </w:p>
    <w:p>
      <w:pPr>
        <w:spacing w:after="0" w:line="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derivative portfolio consists primarily of foreign currency forward contracts. Where model-derived valuations are appropriate, the company utilizes the income approach to determine the fair value and uses the applicable London Interbank Offered Rate (LIBOR) swap rates.</w:t>
      </w:r>
    </w:p>
    <w:p>
      <w:pPr>
        <w:spacing w:after="0" w:line="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financial assets and liabilities the company records at fair value on a recurring basis identified by the level of inputs used to determine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0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 2020</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w w:val="89"/>
              </w:rPr>
              <w:t>December 31, 2019</w:t>
            </w:r>
          </w:p>
        </w:tc>
        <w:tc>
          <w:tcPr>
            <w:tcW w:w="80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30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Level 1</w:t>
            </w:r>
          </w:p>
        </w:tc>
        <w:tc>
          <w:tcPr>
            <w:tcW w:w="26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Level 2</w:t>
            </w:r>
          </w:p>
        </w:tc>
        <w:tc>
          <w:tcPr>
            <w:tcW w:w="3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w w:val="99"/>
              </w:rPr>
              <w:t>Level 1</w:t>
            </w:r>
          </w:p>
        </w:tc>
        <w:tc>
          <w:tcPr>
            <w:tcW w:w="38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99"/>
              </w:rPr>
              <w:t>Level 2</w:t>
            </w: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4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Financial Assets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345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346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4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Marketable securities valued using NAV</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345</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363</w:t>
            </w: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w:t>
            </w:r>
          </w:p>
        </w:tc>
      </w:tr>
      <w:tr>
        <w:trPr>
          <w:trHeight w:val="27"/>
        </w:trPr>
        <w:tc>
          <w:tcPr>
            <w:tcW w:w="4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notional value of the company’s foreign currency forward contracts at September 30, 2020 and December 31, 2019 was $66 million and $98 million, respectively. At September 30, 2020, no portion of the notional value was designated as a cash flow hedge. The portion of the notional value designated as a cash flow hedge at December 31, 2019 was $7 million.</w:t>
      </w:r>
    </w:p>
    <w:p>
      <w:pPr>
        <w:spacing w:after="0" w:line="4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derivative fair values and related unrealized gains/losses at September 30, 2020 and December 31, 2019 were not material. There were no transfers of financial instruments between the three levels of the fair value hierarchy during the nine months ended September 30, 2020.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and commercial paper approximates fair value.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estimated fair value of long-term debt was $19.1 billion and $15.1 billion as of September 30, 2020 and December 31, 2019, respectively. We calculated the fair value of long-term debt using Level 2 inputs, based on interest rates available for debt with terms and maturities similar to the company’s existing debt arrangements. The carrying value of long-term debt was $16.1 billion and $13.9 billion as of September 30, 2020 and December 31, 2019, respectively. The current portion of long-term debt is recorded in Other current liabilities in the unaudited condensed consolidated statements of financial position. On October 15, 2020, the company repaid $1.0 billion of unsecured senior notes upon maturity.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Senior Notes</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March 2020, the company issued $2.25 billion of unsecured senior notes for general corporate purposes, including debt repayment and working capital, as follows:</w:t>
      </w:r>
    </w:p>
    <w:p>
      <w:pPr>
        <w:spacing w:after="0" w:line="5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$750 million of 4.40% senior notes due 2030 (the “2030 Notes”),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$500 million of 5.15% senior notes due 2040 (the “2040 Notes”)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billion of 5.25% senior notes due 2050 (the “2050 Notes”).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refer to the 2030 Notes, the 2040 Notes and the 2050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INVESTIGATIONS, CLAIMS AND LITIGATION</w:t>
      </w:r>
    </w:p>
    <w:p>
      <w:pPr>
        <w:spacing w:after="0" w:line="9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On May 4, 2012, the company commenced an action, </w:t>
      </w:r>
      <w:r>
        <w:rPr>
          <w:rFonts w:ascii="Arial" w:cs="Arial" w:eastAsia="Arial" w:hAnsi="Arial"/>
          <w:sz w:val="16"/>
          <w:szCs w:val="16"/>
          <w:i w:val="1"/>
          <w:iCs w:val="1"/>
          <w:color w:val="auto"/>
        </w:rPr>
        <w:t>Northrop Grumman Systems Corp. v. United States</w:t>
      </w:r>
      <w:r>
        <w:rPr>
          <w:rFonts w:ascii="Arial" w:cs="Arial" w:eastAsia="Arial" w:hAnsi="Arial"/>
          <w:sz w:val="16"/>
          <w:szCs w:val="16"/>
          <w:color w:val="auto"/>
        </w:rPr>
        <w:t>, in the U.S. Court of Federal Claims. This lawsuit relates to an approximately $875 million firm fixed-price contract awarded to the company in 2007 by the U.S. Postal Service (USPS) for the construction and delivery of flats sequencing systems (FSS) as part of the postal automation program. The FSS have been delivered. The company’s lawsuit is based on various theories of liability. The complaint seeks approximately $63 million for unpaid portions of the contract price, and approximately $115 million based on the company’s assertions that, through various acts and omissions over the life of the contract, the USPS adversely affected the cost and schedule of performance and materially altered the company’s obligations under the contract. The United States responded to the company’s complaint with an answer, denying most of the company’s claims, and counterclaims seeking approximately $410 million, less certain amounts outstanding under the contract. The principal counterclaim alleges that the company delayed its performance and caused damages to the USPS because USPS did not realize certain costs savings as early as it had expected. On April 2, 2013, the U.S. Department of Justice informed the company of a False Claims Act complaint relating to the FSS contract that was filed under seal by a relator in June 2011 in the U.S. District Court for the Eastern District of Virginia. On June 3, 2013, the United States filed a Notice informing the Court that the United States had decided not to intervene in this case. The relator alleged that the company violated the False Claims Act in a number of ways with respect to the FSS contract, alleged damage to the USPS in an amount of at least approximately $179 million annually, alleged that he was improperly discharged in retaliation, and sought an unspecified partial refund of the contract purchase price, penalties, attorney’s fees and other costs of suit. The relator later voluntarily dismissed his retaliation claim and reasserted it in a separate arbitration, which he also ultimately voluntarily dismissed. On September 5, 2014, the court granted the company’s motion for summary judgment and ordered the relator’s False Claims Act case be dismissed with prejudice. On February 16, 2018, both the company and the United States filed motions to dismiss many of the claims and counterclaims referenced above, in whole or in part. The United States also filed a motion seeking to amend its answer and counterclaim, including to reduce its counterclaim to approximately $193 million, which the court granted on June 11, 2018. On October 17, 2018, the court granted in part and denied in part the parties’ motions to dismiss. On February 3, 2020, the parties commenced what was expected to be a seven-week trial. The first four weeks of trial concluded, but the court postponed the remaining estimated three weeks as a result of COVID-19-related concerns. Trial is currently scheduled to resume in November 2020. Although the ultimate outcome of these matters (“the FSS matters,” collectively), including any possible loss, cannot be predicted or reasonably estimated at this time, the company intends vigorously to pursue and defend the FSS matters.</w:t>
      </w:r>
    </w:p>
    <w:p>
      <w:pPr>
        <w:spacing w:after="0" w:line="4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August 8, 2013, the company received a court-appointed expert’s report in litigation pending in the Second Federal Court of the Federal District in Brazil brought by the Brazilian Post and Telegraph Corporation (ECT), a Brazilian state-owned entity, against Solystic SAS (Solystic), a French subsidiary of the company, and two of its consortium partners. In this suit, commenced on December 17, 2004, ECT alleges the consortium breached its contract with ECT and seeks damages of approximately R$111 million (the equivalent of approximately $20 million as of September 30, 2020), plus interest, inflation adjustments and attorneys’ fees, as authorized by Brazilian law, which amounts could be significant over time. The original suit sought R$89 million (the equivalent of approximately $16 million as of September 30, 2020) in damages. In October 2013, ECT asserted an additional damage claim of R$22 million (the equivalent of approximately $4 million as of September 30, 2020). In its counterclaim, Solystic alleges ECT breached the contract by wrongfully refusing to accept the equipment Solystic had designed and built and seeks damages of approximately €31 million (the equivalent of approximately $36 million as of September 30, 2020), plus interest, inflation adjustments and attorneys’ fees, as authorized by Brazilian law. The Brazilian court retained an expert to consider certain issues pending before it. On August 8, 2013 and September 10, 2014, the company received reports from the expert, which contain some recommended findings relating to liability and the damages calculations put forth by ECT. Some of the expert’s recommended findings were favorable to the company and others were favorable to ECT. In November 2014, the parties submitted comments on the expert’s most recent report. On June 16, 2015, the court published a decision denying the parties’ request to present oral testimony. In a decision dated November 13, 2018, the trial court ruled in ECT’s favor on one of its claims against Solystic, and awarded damages of R$41 million (the equivalent of approximately $7 million as of September 30, 2020) against Solystic and its consortium partners, with that amount to be adjusted for inflation and interest from November 2004 through any appeal, in accordance with the Manual of Calculations of the Federal Justice, as well as attorneys’ fees. On March 22, 2019, ECT appealed the trial court’s decision to the intermediate court of appeals. Solystic filed its appeal on April 11, 2019. On August 10, 2020, the court approved a settlement between the parties and dismissed the lawsuit.</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engaged in remediation activities relating to environmental conditions allegedly resulting from historic operations at the former United States Navy and Grumman facilities in Bethpage, New York. For over 20 years, we have worked closely with the United States Navy, the United States Environmental Protection Agency, the New York State Department of Environmental Conservation, the New York State Department of Health and other federal, state and local governmental authorities, to address legacy environmental conditions in Bethpage. We have incurred, and expect to continue to incur, as included in Note 6, substantial remediation costs related to these environmental conditions. The remediation standards or requirements to which we are subject are being reconsidered and are changing and costs may increase materially. As discussed in Note 6, the State of New York issued a Feasibility Study and an Amended Record of Decision, seeking to impose additional remedial requirements. The company is engaged in discussions with the State of New York and certain other potentially responsible parties. The State of New York has said that, among other things, it is also evaluating potential natural resource damages. In addition, we are a party to various, and expect to become a party to additional, legal proceedings and disputes related to remediation, costs, allowability and/or alleged environmental impacts in Bethpage, including with federal and state entities (including the Navy, Defense Contract Management Agency, the state, local municipalities and water districts) and insurance carriers, as well as class action and individual plaintiffs alleging personal injury and property damage and seeking both monetary and non-monetary relief. These Bethpage matters could result in additional costs, fines, penalties, sanctions, compensatory or other damages (including natural resource damages), determinations on allocation, allowability and coverage, and non-monetary relief. We cannot at this time predict or reasonably estimate the potential cumulative outcomes or ranges of possible liability of these aggregate Bethpage matters.</w:t>
      </w:r>
    </w:p>
    <w:p>
      <w:pPr>
        <w:spacing w:after="0" w:line="4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September 30, 2020, or its annual results of operations and/or cash flows.</w:t>
      </w:r>
    </w:p>
    <w:p>
      <w:pPr>
        <w:spacing w:after="0" w:line="11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Cost Claims and Contingencies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September 30, 2020, or its annual results of operations and/or cash flows.</w:t>
      </w:r>
    </w:p>
    <w:p>
      <w:pPr>
        <w:spacing w:after="0" w:line="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U.S. government has raised questions about an interest rate assumption used by the company to determine our CAS pension expense in previous years and in our current forward pricing rate proposal. On June 1, 2020, the government provided written notice that the assumptions the company used during the period 2013-2019 were potentially noncompliant with CAS. We are engaging with the government to address their questions. We submitted a formal response on July 31, 2020, which we believe demonstrates the appropriateness of the assumptions used. However, the sensitivity to changes in interest rate assumptions makes it reasonably possible the outcome of this matter could have a material adverse effect on our financial position, results of operations and/or cash flows, although we are not currently able to estimate a range of any potential loss.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September 30, 2020 and December 31,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jc w:val="center"/>
              <w:ind w:right="90"/>
              <w:spacing w:after="0"/>
              <w:rPr>
                <w:sz w:val="20"/>
                <w:szCs w:val="20"/>
                <w:color w:val="auto"/>
              </w:rPr>
            </w:pPr>
            <w:r>
              <w:rPr>
                <w:rFonts w:ascii="Arial" w:cs="Arial" w:eastAsia="Arial" w:hAnsi="Arial"/>
                <w:sz w:val="18"/>
                <w:szCs w:val="18"/>
                <w:color w:val="auto"/>
                <w:w w:val="88"/>
              </w:rPr>
              <w:t>Reasonably Possible Future</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jc w:val="center"/>
              <w:ind w:right="110"/>
              <w:spacing w:after="0"/>
              <w:rPr>
                <w:sz w:val="20"/>
                <w:szCs w:val="20"/>
                <w:color w:val="auto"/>
              </w:rPr>
            </w:pPr>
            <w:r>
              <w:rPr>
                <w:rFonts w:ascii="Arial" w:cs="Arial" w:eastAsia="Arial" w:hAnsi="Arial"/>
                <w:sz w:val="18"/>
                <w:szCs w:val="18"/>
                <w:color w:val="auto"/>
                <w:w w:val="90"/>
              </w:rPr>
              <w:t>Costs in Excess of Accrued</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3540" w:type="dxa"/>
            <w:vAlign w:val="bottom"/>
            <w:tcBorders>
              <w:bottom w:val="single" w:sz="8" w:color="auto"/>
            </w:tcBorders>
            <w:gridSpan w:val="2"/>
          </w:tcPr>
          <w:p>
            <w:pPr>
              <w:jc w:val="right"/>
              <w:ind w:right="10"/>
              <w:spacing w:after="0" w:line="257" w:lineRule="exact"/>
              <w:rPr>
                <w:sz w:val="20"/>
                <w:szCs w:val="20"/>
                <w:color w:val="auto"/>
              </w:rPr>
            </w:pPr>
            <w:r>
              <w:rPr>
                <w:rFonts w:ascii="Arial" w:cs="Arial" w:eastAsia="Arial" w:hAnsi="Arial"/>
                <w:sz w:val="18"/>
                <w:szCs w:val="18"/>
                <w:color w:val="auto"/>
              </w:rPr>
              <w:t>Accrued Costs</w:t>
            </w:r>
            <w:r>
              <w:rPr>
                <w:rFonts w:ascii="Arial" w:cs="Arial" w:eastAsia="Arial" w:hAnsi="Arial"/>
                <w:sz w:val="25"/>
                <w:szCs w:val="25"/>
                <w:color w:val="auto"/>
                <w:vertAlign w:val="superscript"/>
              </w:rPr>
              <w:t>(1)(2)</w:t>
            </w:r>
          </w:p>
        </w:tc>
        <w:tc>
          <w:tcPr>
            <w:tcW w:w="2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center"/>
              <w:ind w:right="90"/>
              <w:spacing w:after="0" w:line="257" w:lineRule="exact"/>
              <w:rPr>
                <w:sz w:val="20"/>
                <w:szCs w:val="20"/>
                <w:color w:val="auto"/>
              </w:rPr>
            </w:pPr>
            <w:r>
              <w:rPr>
                <w:rFonts w:ascii="Arial" w:cs="Arial" w:eastAsia="Arial" w:hAnsi="Arial"/>
                <w:sz w:val="18"/>
                <w:szCs w:val="18"/>
                <w:color w:val="auto"/>
                <w:w w:val="84"/>
              </w:rPr>
              <w:t>Costs</w:t>
            </w:r>
            <w:r>
              <w:rPr>
                <w:rFonts w:ascii="Arial" w:cs="Arial" w:eastAsia="Arial" w:hAnsi="Arial"/>
                <w:sz w:val="25"/>
                <w:szCs w:val="25"/>
                <w:color w:val="auto"/>
                <w:w w:val="84"/>
                <w:vertAlign w:val="superscript"/>
              </w:rPr>
              <w:t>(2)</w:t>
            </w:r>
          </w:p>
        </w:tc>
        <w:tc>
          <w:tcPr>
            <w:tcW w:w="1560" w:type="dxa"/>
            <w:vAlign w:val="bottom"/>
            <w:tcBorders>
              <w:bottom w:val="single" w:sz="8" w:color="auto"/>
            </w:tcBorders>
            <w:gridSpan w:val="2"/>
          </w:tcPr>
          <w:p>
            <w:pPr>
              <w:jc w:val="right"/>
              <w:ind w:right="30"/>
              <w:spacing w:after="0" w:line="257" w:lineRule="exact"/>
              <w:rPr>
                <w:sz w:val="20"/>
                <w:szCs w:val="20"/>
                <w:color w:val="auto"/>
              </w:rPr>
            </w:pPr>
            <w:r>
              <w:rPr>
                <w:rFonts w:ascii="Arial" w:cs="Arial" w:eastAsia="Arial" w:hAnsi="Arial"/>
                <w:sz w:val="18"/>
                <w:szCs w:val="18"/>
                <w:color w:val="auto"/>
              </w:rPr>
              <w:t>Deferred Costs</w:t>
            </w:r>
            <w:r>
              <w:rPr>
                <w:rFonts w:ascii="Arial" w:cs="Arial" w:eastAsia="Arial" w:hAnsi="Arial"/>
                <w:sz w:val="25"/>
                <w:szCs w:val="25"/>
                <w:color w:val="auto"/>
                <w:vertAlign w:val="superscript"/>
              </w:rPr>
              <w:t>(3)</w:t>
            </w:r>
          </w:p>
        </w:tc>
      </w:tr>
      <w:tr>
        <w:trPr>
          <w:trHeight w:val="243"/>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2020</w:t>
            </w:r>
          </w:p>
        </w:tc>
        <w:tc>
          <w:tcPr>
            <w:tcW w:w="2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439</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474</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26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448</w:t>
            </w:r>
          </w:p>
        </w:tc>
        <w:tc>
          <w:tcPr>
            <w:tcW w:w="7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436</w:t>
            </w:r>
          </w:p>
        </w:tc>
      </w:tr>
      <w:tr>
        <w:trPr>
          <w:trHeight w:val="27"/>
        </w:trPr>
        <w:tc>
          <w:tcPr>
            <w:tcW w:w="36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71"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As of September 30, 2020, $165 million is recorded in Other current liabilities and $398 million is recorded in Other non-current liabilities.</w:t>
      </w:r>
    </w:p>
    <w:p>
      <w:pPr>
        <w:spacing w:after="0" w:line="74" w:lineRule="exact"/>
        <w:rPr>
          <w:rFonts w:ascii="Arial" w:cs="Arial" w:eastAsia="Arial" w:hAnsi="Arial"/>
          <w:sz w:val="18"/>
          <w:szCs w:val="18"/>
          <w:color w:val="auto"/>
          <w:vertAlign w:val="superscript"/>
        </w:rPr>
      </w:pPr>
    </w:p>
    <w:p>
      <w:pPr>
        <w:ind w:left="180" w:right="240" w:hanging="172"/>
        <w:spacing w:after="0" w:line="236" w:lineRule="auto"/>
        <w:tabs>
          <w:tab w:leader="none" w:pos="171"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63" w:lineRule="exact"/>
        <w:rPr>
          <w:rFonts w:ascii="Arial" w:cs="Arial" w:eastAsia="Arial" w:hAnsi="Arial"/>
          <w:sz w:val="19"/>
          <w:szCs w:val="19"/>
          <w:color w:val="auto"/>
          <w:vertAlign w:val="superscript"/>
        </w:rPr>
      </w:pPr>
    </w:p>
    <w:p>
      <w:pPr>
        <w:ind w:left="180" w:right="120" w:hanging="172"/>
        <w:spacing w:after="0" w:line="246" w:lineRule="auto"/>
        <w:tabs>
          <w:tab w:leader="none" w:pos="171"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As of September 30, 2020, $135 million is deferred in Prepaid expenses and other current assets and $339 million is deferred in Other non-current assets. These amounts are evaluated for recoverability on a routine basis.</w:t>
      </w:r>
    </w:p>
    <w:p>
      <w:pPr>
        <w:spacing w:after="0" w:line="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Although management cannot predict whether new information gained as our environmental remediation projects progress, or as changes in facts and circumstances occur, will materially affect the estimated liability accrued, except with respect to Bethpage, we do not anticipate that future remediation expenditures associated with our currently identified projects will have a material adverse effect on the company’s unaudited condensed consolidated financial position as of September 30, 2020, or its annual results of operations and/or cash flows. With respect to Bethpage, the State of New York issued a Feasibility Study and an Amended Record of Decision, proposing to impose additional remedial requirements. The company is engaged in discussions with the State of New York and other potentially responsible parties. As discussed in Note 5, the remediation standards or requirements to which we are subject are being reconsidered and are changing and costs may increase materially.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Arrangements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September 30, 2020, there were $465 million of stand-by letters of credit and guarantees and $77 million of surety bonds outstanding.</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company maintains a commercial paper program that serves as a source of short-term financing with capacity to issue unsecured commercial paper notes up to $2.0 billion. At September 30, 2020, there were no commercial paper borrowings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 maintains a five-year senior unsecured credit facility in an aggregate principal amount of $2.0 billion (the “2018 Credit Agreement”) that matures in August 2024 and is intended to support the company’s commercial paper program and other general corporate purposes. Commercial paper borrowings reduce the amount available for borrowing under the 2018 Credit Agreement. At September 30, 2020, there was no balance outstanding under this facility.</w:t>
      </w:r>
    </w:p>
    <w:p>
      <w:pPr>
        <w:spacing w:after="0" w:line="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December 2016, a subsidiary of the company entered into a two-year credit facility, with two additional one-year option periods, in an aggregate principal amount of £120 million (the equivalent of approximately $154 million as of September 30, 2020) (the “2016 Credit Agreement”). The company exercised the second option to extend the maturity to December 2020. The 2016 Credit Agreement is guaranteed by the company. At September 30, 2020, there was £50 million (the equivalent of approximately $64 million) outstanding under this facility, which bears interest at a rate of LIBOR plus 1.10 percent. All of the borrowings outstanding under this facility are recorded in Other current liabilities in the unaudited condensed consolidated statement of financial position.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2020, the company was in compliance with all covenants under its credit agreements.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its pension and other postretirement benefit (OPB) plans is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80" w:type="dxa"/>
            <w:vAlign w:val="bottom"/>
            <w:gridSpan w:val="7"/>
          </w:tcPr>
          <w:p>
            <w:pPr>
              <w:jc w:val="right"/>
              <w:ind w:right="410"/>
              <w:spacing w:after="0"/>
              <w:rPr>
                <w:sz w:val="20"/>
                <w:szCs w:val="20"/>
                <w:color w:val="auto"/>
              </w:rPr>
            </w:pPr>
            <w:r>
              <w:rPr>
                <w:rFonts w:ascii="Arial" w:cs="Arial" w:eastAsia="Arial" w:hAnsi="Arial"/>
                <w:sz w:val="18"/>
                <w:szCs w:val="18"/>
                <w:color w:val="auto"/>
                <w:w w:val="99"/>
              </w:rPr>
              <w:t>Three Months Ended September 30</w:t>
            </w:r>
          </w:p>
        </w:tc>
        <w:tc>
          <w:tcPr>
            <w:tcW w:w="260" w:type="dxa"/>
            <w:vAlign w:val="bottom"/>
          </w:tcPr>
          <w:p>
            <w:pPr>
              <w:spacing w:after="0"/>
              <w:rPr>
                <w:sz w:val="20"/>
                <w:szCs w:val="20"/>
                <w:color w:val="auto"/>
              </w:rPr>
            </w:pPr>
          </w:p>
        </w:tc>
        <w:tc>
          <w:tcPr>
            <w:tcW w:w="3040" w:type="dxa"/>
            <w:vAlign w:val="bottom"/>
            <w:gridSpan w:val="6"/>
          </w:tcPr>
          <w:p>
            <w:pPr>
              <w:jc w:val="right"/>
              <w:spacing w:after="0"/>
              <w:rPr>
                <w:sz w:val="20"/>
                <w:szCs w:val="20"/>
                <w:color w:val="auto"/>
              </w:rPr>
            </w:pPr>
            <w:r>
              <w:rPr>
                <w:rFonts w:ascii="Arial" w:cs="Arial" w:eastAsia="Arial" w:hAnsi="Arial"/>
                <w:sz w:val="18"/>
                <w:szCs w:val="18"/>
                <w:color w:val="auto"/>
              </w:rPr>
              <w:t>Nine Months Ended September 30</w:t>
            </w:r>
          </w:p>
        </w:tc>
        <w:tc>
          <w:tcPr>
            <w:tcW w:w="6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3"/>
          </w:tcPr>
          <w:p>
            <w:pPr>
              <w:jc w:val="right"/>
              <w:ind w:right="530"/>
              <w:spacing w:after="0"/>
              <w:rPr>
                <w:sz w:val="20"/>
                <w:szCs w:val="20"/>
                <w:color w:val="auto"/>
              </w:rPr>
            </w:pPr>
            <w:r>
              <w:rPr>
                <w:rFonts w:ascii="Arial" w:cs="Arial" w:eastAsia="Arial" w:hAnsi="Arial"/>
                <w:sz w:val="18"/>
                <w:szCs w:val="18"/>
                <w:color w:val="auto"/>
              </w:rPr>
              <w:t>Pension</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Pension</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3"/>
          </w:tcPr>
          <w:p>
            <w:pPr>
              <w:jc w:val="right"/>
              <w:ind w:right="510"/>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OPB</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Benefits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OPB</w:t>
            </w:r>
          </w:p>
        </w:tc>
        <w:tc>
          <w:tcPr>
            <w:tcW w:w="6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26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w w:val="94"/>
              </w:rPr>
              <w:t>2019</w:t>
            </w:r>
          </w:p>
        </w:tc>
        <w:tc>
          <w:tcPr>
            <w:tcW w:w="24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2020</w:t>
            </w:r>
          </w:p>
        </w:tc>
        <w:tc>
          <w:tcPr>
            <w:tcW w:w="24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4"/>
              </w:rPr>
              <w:t>2019</w:t>
            </w:r>
          </w:p>
        </w:tc>
        <w:tc>
          <w:tcPr>
            <w:tcW w:w="26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2019</w:t>
            </w:r>
          </w:p>
        </w:tc>
        <w:tc>
          <w:tcPr>
            <w:tcW w:w="26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w w:val="94"/>
              </w:rPr>
              <w:t>2019</w:t>
            </w:r>
          </w:p>
        </w:tc>
      </w:tr>
      <w:tr>
        <w:trPr>
          <w:trHeight w:val="27"/>
        </w:trPr>
        <w:tc>
          <w:tcPr>
            <w:tcW w:w="3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8"/>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Components of net periodic benefit cost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41"/>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102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306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276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13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307</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340</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920</w:t>
            </w:r>
          </w:p>
        </w:tc>
        <w:tc>
          <w:tcPr>
            <w:tcW w:w="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(594)</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(1,782)</w:t>
            </w: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(1,576)</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5"/>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w:t>
            </w:r>
          </w:p>
        </w:tc>
        <w:tc>
          <w:tcPr>
            <w:tcW w:w="3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3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periodic benefit cost (benefit)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(601)</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34"/>
        </w:trPr>
        <w:tc>
          <w:tcPr>
            <w:tcW w:w="3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Employer Contributions</w:t>
      </w:r>
    </w:p>
    <w:p>
      <w:pPr>
        <w:spacing w:after="0" w:line="27"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made by the company to its retirement plans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440" w:type="dxa"/>
            <w:vAlign w:val="bottom"/>
            <w:gridSpan w:val="4"/>
          </w:tcPr>
          <w:p>
            <w:pPr>
              <w:ind w:left="20"/>
              <w:spacing w:after="0"/>
              <w:rPr>
                <w:sz w:val="20"/>
                <w:szCs w:val="20"/>
                <w:color w:val="auto"/>
              </w:rPr>
            </w:pPr>
            <w:r>
              <w:rPr>
                <w:rFonts w:ascii="Arial" w:cs="Arial" w:eastAsia="Arial" w:hAnsi="Arial"/>
                <w:sz w:val="18"/>
                <w:szCs w:val="18"/>
                <w:color w:val="auto"/>
                <w:w w:val="91"/>
              </w:rPr>
              <w:t>Three Months Ended September</w:t>
            </w:r>
          </w:p>
        </w:tc>
        <w:tc>
          <w:tcPr>
            <w:tcW w:w="2380" w:type="dxa"/>
            <w:vAlign w:val="bottom"/>
            <w:gridSpan w:val="4"/>
          </w:tcPr>
          <w:p>
            <w:pPr>
              <w:jc w:val="center"/>
              <w:spacing w:after="0"/>
              <w:rPr>
                <w:sz w:val="20"/>
                <w:szCs w:val="20"/>
                <w:color w:val="auto"/>
              </w:rPr>
            </w:pPr>
            <w:r>
              <w:rPr>
                <w:rFonts w:ascii="Arial" w:cs="Arial" w:eastAsia="Arial" w:hAnsi="Arial"/>
                <w:sz w:val="18"/>
                <w:szCs w:val="18"/>
                <w:color w:val="auto"/>
                <w:w w:val="90"/>
              </w:rPr>
              <w:t>Nine Months Ended September</w:t>
            </w:r>
          </w:p>
        </w:tc>
      </w:tr>
      <w:tr>
        <w:trPr>
          <w:trHeight w:val="230"/>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30</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30</w:t>
            </w:r>
          </w:p>
        </w:tc>
        <w:tc>
          <w:tcPr>
            <w:tcW w:w="88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6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plans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OPB plans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44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plans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0"/>
        </w:trPr>
        <w:tc>
          <w:tcPr>
            <w:tcW w:w="6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 AND OTHER COMPENSATION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Awards</w:t>
      </w:r>
    </w:p>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40" w:type="dxa"/>
            <w:vAlign w:val="bottom"/>
            <w:gridSpan w:val="4"/>
          </w:tcPr>
          <w:p>
            <w:pPr>
              <w:jc w:val="center"/>
              <w:spacing w:after="0"/>
              <w:rPr>
                <w:sz w:val="20"/>
                <w:szCs w:val="20"/>
                <w:color w:val="auto"/>
              </w:rPr>
            </w:pPr>
            <w:r>
              <w:rPr>
                <w:rFonts w:ascii="Arial" w:cs="Arial" w:eastAsia="Arial" w:hAnsi="Arial"/>
                <w:sz w:val="18"/>
                <w:szCs w:val="18"/>
                <w:color w:val="auto"/>
                <w:w w:val="90"/>
              </w:rPr>
              <w:t>Nine Months Ended September</w:t>
            </w:r>
          </w:p>
        </w:tc>
      </w:tr>
      <w:tr>
        <w:trPr>
          <w:trHeight w:val="230"/>
        </w:trPr>
        <w:tc>
          <w:tcPr>
            <w:tcW w:w="8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30</w:t>
            </w:r>
          </w:p>
        </w:tc>
        <w:tc>
          <w:tcPr>
            <w:tcW w:w="880" w:type="dxa"/>
            <w:vAlign w:val="bottom"/>
          </w:tcPr>
          <w:p>
            <w:pPr>
              <w:spacing w:after="0"/>
              <w:rPr>
                <w:sz w:val="20"/>
                <w:szCs w:val="20"/>
                <w:color w:val="auto"/>
              </w:rPr>
            </w:pP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RSRs granted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RPSRs granted</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aggregate fair value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0"/>
        </w:trPr>
        <w:tc>
          <w:tcPr>
            <w:tcW w:w="8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RSRs typically vest on the third anniversary of the grant date, while RPSRs generally vest and pay out based on the achievement of financial metrics over a three-year period.</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Awards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presents the minimum and maximum aggregate payout amounts related to cash units (CUs) and cash performance units (CPUs) granted to employees in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40" w:type="dxa"/>
            <w:vAlign w:val="bottom"/>
            <w:gridSpan w:val="4"/>
          </w:tcPr>
          <w:p>
            <w:pPr>
              <w:jc w:val="center"/>
              <w:spacing w:after="0"/>
              <w:rPr>
                <w:sz w:val="20"/>
                <w:szCs w:val="20"/>
                <w:color w:val="auto"/>
              </w:rPr>
            </w:pPr>
            <w:r>
              <w:rPr>
                <w:rFonts w:ascii="Arial" w:cs="Arial" w:eastAsia="Arial" w:hAnsi="Arial"/>
                <w:sz w:val="18"/>
                <w:szCs w:val="18"/>
                <w:color w:val="auto"/>
                <w:w w:val="90"/>
              </w:rPr>
              <w:t>Nine Months Ended September</w:t>
            </w:r>
          </w:p>
        </w:tc>
      </w:tr>
      <w:tr>
        <w:trPr>
          <w:trHeight w:val="230"/>
        </w:trPr>
        <w:tc>
          <w:tcPr>
            <w:tcW w:w="8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99"/>
              </w:rPr>
              <w:t>30</w:t>
            </w:r>
          </w:p>
        </w:tc>
        <w:tc>
          <w:tcPr>
            <w:tcW w:w="880" w:type="dxa"/>
            <w:vAlign w:val="bottom"/>
          </w:tcPr>
          <w:p>
            <w:pPr>
              <w:spacing w:after="0"/>
              <w:rPr>
                <w:sz w:val="20"/>
                <w:szCs w:val="20"/>
                <w:color w:val="auto"/>
              </w:rPr>
            </w:pPr>
          </w:p>
        </w:tc>
      </w:tr>
      <w:tr>
        <w:trPr>
          <w:trHeight w:val="27"/>
        </w:trPr>
        <w:tc>
          <w:tcPr>
            <w:tcW w:w="8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aggregate payout amount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Maximum aggregate payout amount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4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CUs typically vest and settle in cash on the third anniversary of the grant date, while CPUs generally vest and pay out in cash based on the achievement of financial metrics over a three-year period.</w:t>
      </w:r>
    </w:p>
    <w:p>
      <w:pPr>
        <w:spacing w:after="0" w:line="11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color w:val="auto"/>
        </w:rPr>
        <w:t>Effective January 1, 2020, the company reorganized its operating sectors to better align the company’s broad portfolio to serve its customers’ needs. The four new sectors, which also comprise our reportable segments, are Aeronautics Systems, Defense Systems, Mission Systems and Space Systems.</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discussed in Note 1, beginning in the second quarter of 2020, the company no longer considers certain unallowable costs as part of management’s evaluation of segment operating performance. As a result, certain unallowable costs, which were previously included in segment operating results, are now reported in Unallocated corporate expense within operating income. This change has been applied retrospectively in the amounts below. See Part II, Item 5 in the Quarterly Report on Form 10-Q for the quarter ended June 30, 2020 for further information regarding the impact of this change on the company’s prior period segment information.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and operating income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440" w:type="dxa"/>
            <w:vAlign w:val="bottom"/>
            <w:gridSpan w:val="4"/>
          </w:tcPr>
          <w:p>
            <w:pPr>
              <w:ind w:left="20"/>
              <w:spacing w:after="0"/>
              <w:rPr>
                <w:sz w:val="20"/>
                <w:szCs w:val="20"/>
                <w:color w:val="auto"/>
              </w:rPr>
            </w:pPr>
            <w:r>
              <w:rPr>
                <w:rFonts w:ascii="Arial" w:cs="Arial" w:eastAsia="Arial" w:hAnsi="Arial"/>
                <w:sz w:val="18"/>
                <w:szCs w:val="18"/>
                <w:color w:val="auto"/>
                <w:w w:val="91"/>
              </w:rPr>
              <w:t>Three Months Ended September</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3"/>
              </w:rPr>
              <w:t>Nine Months Ended September</w:t>
            </w:r>
          </w:p>
        </w:tc>
      </w:tr>
      <w:tr>
        <w:trPr>
          <w:trHeight w:val="230"/>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30</w:t>
            </w: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30</w:t>
            </w:r>
          </w:p>
        </w:tc>
        <w:tc>
          <w:tcPr>
            <w:tcW w:w="88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r>
      <w:tr>
        <w:trPr>
          <w:trHeight w:val="27"/>
        </w:trPr>
        <w:tc>
          <w:tcPr>
            <w:tcW w:w="6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Aeronautics Systems</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2,914</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2,770</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8,682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8,309</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Defense Systems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1,859</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1,931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5,615</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Mission Systems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2,551</w:t>
            </w:r>
          </w:p>
        </w:tc>
        <w:tc>
          <w:tcPr>
            <w:tcW w:w="40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2,310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7,344</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6,924</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Space Systems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2,198</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1,885</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5,474</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Intersegment eliminations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(439)</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(1,259)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(1,202)</w:t>
            </w:r>
          </w:p>
        </w:tc>
      </w:tr>
      <w:tr>
        <w:trPr>
          <w:trHeight w:val="27"/>
        </w:trPr>
        <w:tc>
          <w:tcPr>
            <w:tcW w:w="6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sales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9,083</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8,475</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26,587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25,120</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Aeronautics Systems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Defense Systems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217</w:t>
            </w:r>
          </w:p>
        </w:tc>
        <w:tc>
          <w:tcPr>
            <w:tcW w:w="40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632</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617</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Mission Systems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Space Systems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40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635</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7"/>
        </w:trPr>
        <w:tc>
          <w:tcPr>
            <w:tcW w:w="6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segment operating income</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1,049</w:t>
            </w: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955</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3,047</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2,926</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FAS (service)/CAS pension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Unallocated corporate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6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985</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951</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2,913</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2,833</w:t>
            </w:r>
          </w:p>
        </w:tc>
      </w:tr>
      <w:tr>
        <w:trPr>
          <w:trHeight w:val="27"/>
        </w:trPr>
        <w:tc>
          <w:tcPr>
            <w:tcW w:w="6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FAS (Service)/CAS Pension Adjustment</w:t>
      </w:r>
    </w:p>
    <w:p>
      <w:pPr>
        <w:spacing w:after="0" w:line="2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For financial statement purposes, we account for our employee pension plans in accordance with FAS. However, the cost of these plans is charged to our contracts in accordance with the Federal Acquisition Regulation (FAR) and the related U.S. Government Cost Accounting Standards (CAS). The net FAS (service)/CAS pension adjustment reflects the difference between CAS pension expense included as cost in segment operating income and the service cost component of FAS expense included in total operating income.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2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Unallocated corporate expense includes the portion of corporate costs not considered allowable or allocable under applicable CAS or FAR, and therefore not allocated to the segments, such as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Sales by Customer Type</w:t>
            </w:r>
          </w:p>
        </w:tc>
        <w:tc>
          <w:tcPr>
            <w:tcW w:w="240" w:type="dxa"/>
            <w:vAlign w:val="bottom"/>
          </w:tcPr>
          <w:p>
            <w:pPr>
              <w:spacing w:after="0"/>
              <w:rPr>
                <w:sz w:val="20"/>
                <w:szCs w:val="20"/>
                <w:color w:val="auto"/>
              </w:rPr>
            </w:pPr>
          </w:p>
        </w:tc>
        <w:tc>
          <w:tcPr>
            <w:tcW w:w="3580" w:type="dxa"/>
            <w:vAlign w:val="bottom"/>
            <w:gridSpan w:val="5"/>
          </w:tcPr>
          <w:p>
            <w:pPr>
              <w:jc w:val="right"/>
              <w:ind w:right="551"/>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2980" w:type="dxa"/>
            <w:vAlign w:val="bottom"/>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3"/>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color w:val="auto"/>
                <w:w w:val="98"/>
                <w:vertAlign w:val="subscript"/>
              </w:rPr>
              <w:t>%</w:t>
            </w:r>
            <w:r>
              <w:rPr>
                <w:rFonts w:ascii="Arial" w:cs="Arial" w:eastAsia="Arial" w:hAnsi="Arial"/>
                <w:sz w:val="12"/>
                <w:szCs w:val="12"/>
                <w:color w:val="auto"/>
                <w:w w:val="98"/>
              </w:rPr>
              <w:t>(3)</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91"/>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2"/>
                <w:szCs w:val="12"/>
                <w:b w:val="1"/>
                <w:bCs w:val="1"/>
                <w:color w:val="auto"/>
              </w:rPr>
              <w:t>(3)</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251"/>
              <w:spacing w:after="0" w:line="264" w:lineRule="exact"/>
              <w:rPr>
                <w:sz w:val="20"/>
                <w:szCs w:val="20"/>
                <w:color w:val="auto"/>
              </w:rPr>
            </w:pPr>
            <w:r>
              <w:rPr>
                <w:rFonts w:ascii="Arial" w:cs="Arial" w:eastAsia="Arial" w:hAnsi="Arial"/>
                <w:sz w:val="30"/>
                <w:szCs w:val="30"/>
                <w:color w:val="auto"/>
                <w:w w:val="86"/>
                <w:vertAlign w:val="subscript"/>
              </w:rPr>
              <w:t>%</w:t>
            </w:r>
            <w:r>
              <w:rPr>
                <w:rFonts w:ascii="Arial" w:cs="Arial" w:eastAsia="Arial" w:hAnsi="Arial"/>
                <w:sz w:val="12"/>
                <w:szCs w:val="12"/>
                <w:color w:val="auto"/>
                <w:w w:val="86"/>
              </w:rPr>
              <w:t>(3)</w:t>
            </w: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2,491</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85%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2,334</w:t>
            </w: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7,329</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84%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6,906</w:t>
            </w: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382</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1,233</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11</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35</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64</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30</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85</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Aeronautics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2,914</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2,770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8,682</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8,309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Defense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1,264</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68%</w:t>
            </w:r>
          </w:p>
        </w:tc>
        <w:tc>
          <w:tcPr>
            <w:tcW w:w="28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1,299</w:t>
            </w: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3,828</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68%</w:t>
            </w:r>
          </w:p>
        </w:tc>
        <w:tc>
          <w:tcPr>
            <w:tcW w:w="26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3,721</w:t>
            </w: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307</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347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963</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97</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106</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293</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309</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191</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542</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Defense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1,859</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1,931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5,626</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5,615</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1,884</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74%</w:t>
            </w:r>
          </w:p>
        </w:tc>
        <w:tc>
          <w:tcPr>
            <w:tcW w:w="28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1,690</w:t>
            </w: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5,331</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73%</w:t>
            </w:r>
          </w:p>
        </w:tc>
        <w:tc>
          <w:tcPr>
            <w:tcW w:w="26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5,049</w:t>
            </w: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455</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1,406</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1,248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19</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54</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75</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193</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553</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552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2,551</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2,310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7,344</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6,924</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Space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1,743</w:t>
            </w: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5,734</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93%</w:t>
            </w:r>
          </w:p>
        </w:tc>
        <w:tc>
          <w:tcPr>
            <w:tcW w:w="26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5,091</w:t>
            </w: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99</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237</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54</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57</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144</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182</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25</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79</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Space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2,198</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1,885</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6,194</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5,474</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U.S. government</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7,659</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84%</w:t>
            </w:r>
          </w:p>
        </w:tc>
        <w:tc>
          <w:tcPr>
            <w:tcW w:w="28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7,066</w:t>
            </w: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22,222</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84%</w:t>
            </w:r>
          </w:p>
        </w:tc>
        <w:tc>
          <w:tcPr>
            <w:tcW w:w="26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20,767</w:t>
            </w: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1,243</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3,839</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3,723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customers</w:t>
            </w: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181</w:t>
            </w: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204</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526</w:t>
            </w:r>
          </w:p>
        </w:tc>
        <w:tc>
          <w:tcPr>
            <w:tcW w:w="760" w:type="dxa"/>
            <w:vAlign w:val="bottom"/>
          </w:tcPr>
          <w:p>
            <w:pPr>
              <w:jc w:val="right"/>
              <w:ind w:right="11"/>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630</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9,083</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8,475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26,587</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25,120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bl>
    <w:p>
      <w:pPr>
        <w:spacing w:after="0" w:line="71" w:lineRule="exact"/>
        <w:rPr>
          <w:sz w:val="20"/>
          <w:szCs w:val="20"/>
          <w:color w:val="auto"/>
        </w:rPr>
      </w:pPr>
    </w:p>
    <w:p>
      <w:pPr>
        <w:ind w:left="180" w:right="480" w:hanging="172"/>
        <w:spacing w:after="0" w:line="229"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145" w:lineRule="exact"/>
        <w:rPr>
          <w:rFonts w:ascii="Arial" w:cs="Arial" w:eastAsia="Arial" w:hAnsi="Arial"/>
          <w:sz w:val="21"/>
          <w:szCs w:val="21"/>
          <w:color w:val="auto"/>
          <w:vertAlign w:val="superscript"/>
        </w:rPr>
      </w:pPr>
    </w:p>
    <w:p>
      <w:pPr>
        <w:ind w:left="180" w:right="220" w:hanging="172"/>
        <w:spacing w:after="0" w:line="229" w:lineRule="auto"/>
        <w:tabs>
          <w:tab w:leader="none" w:pos="184"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total segment sales.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Sales by Contract Type</w:t>
            </w:r>
          </w:p>
        </w:tc>
        <w:tc>
          <w:tcPr>
            <w:tcW w:w="240" w:type="dxa"/>
            <w:vAlign w:val="bottom"/>
          </w:tcPr>
          <w:p>
            <w:pPr>
              <w:spacing w:after="0"/>
              <w:rPr>
                <w:sz w:val="20"/>
                <w:szCs w:val="20"/>
                <w:color w:val="auto"/>
              </w:rPr>
            </w:pPr>
          </w:p>
        </w:tc>
        <w:tc>
          <w:tcPr>
            <w:tcW w:w="3600" w:type="dxa"/>
            <w:vAlign w:val="bottom"/>
            <w:gridSpan w:val="5"/>
          </w:tcPr>
          <w:p>
            <w:pPr>
              <w:jc w:val="right"/>
              <w:ind w:right="573"/>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3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7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7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93"/>
              <w:spacing w:after="0" w:line="276"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2"/>
                <w:szCs w:val="12"/>
                <w:color w:val="auto"/>
                <w:w w:val="95"/>
              </w:rPr>
              <w:t>(1)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73"/>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233"/>
              <w:spacing w:after="0" w:line="276" w:lineRule="exact"/>
              <w:rPr>
                <w:sz w:val="20"/>
                <w:szCs w:val="20"/>
                <w:color w:val="auto"/>
              </w:rPr>
            </w:pPr>
            <w:r>
              <w:rPr>
                <w:rFonts w:ascii="Arial" w:cs="Arial" w:eastAsia="Arial" w:hAnsi="Arial"/>
                <w:sz w:val="32"/>
                <w:szCs w:val="32"/>
                <w:color w:val="auto"/>
                <w:w w:val="89"/>
                <w:vertAlign w:val="subscript"/>
              </w:rPr>
              <w:t>%</w:t>
            </w:r>
            <w:r>
              <w:rPr>
                <w:rFonts w:ascii="Arial" w:cs="Arial" w:eastAsia="Arial" w:hAnsi="Arial"/>
                <w:sz w:val="12"/>
                <w:szCs w:val="12"/>
                <w:color w:val="auto"/>
                <w:w w:val="89"/>
              </w:rPr>
              <w:t>(1)</w:t>
            </w: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Aeronautics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1,436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1,326</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4,205</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3,950</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1,448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1,417</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4,392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4,284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30</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85</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75</w:t>
            </w:r>
          </w:p>
        </w:tc>
        <w:tc>
          <w:tcPr>
            <w:tcW w:w="640" w:type="dxa"/>
            <w:vAlign w:val="bottom"/>
          </w:tcPr>
          <w:p>
            <w:pPr>
              <w:spacing w:after="0"/>
              <w:rPr>
                <w:sz w:val="21"/>
                <w:szCs w:val="2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8"/>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Aeronautics Systems sales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2,914</w:t>
            </w: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2,770</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8,682</w:t>
            </w:r>
          </w:p>
        </w:tc>
        <w:tc>
          <w:tcPr>
            <w:tcW w:w="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8,309</w:t>
            </w:r>
          </w:p>
        </w:tc>
        <w:tc>
          <w:tcPr>
            <w:tcW w:w="640" w:type="dxa"/>
            <w:vAlign w:val="bottom"/>
            <w:tcBorders>
              <w:bottom w:val="single" w:sz="8" w:color="CCEEFF"/>
            </w:tcBorders>
            <w:shd w:val="clear" w:color="auto" w:fill="CCEEFF"/>
          </w:tcPr>
          <w:p>
            <w:pPr>
              <w:spacing w:after="0"/>
              <w:rPr>
                <w:sz w:val="22"/>
                <w:szCs w:val="22"/>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Defense Systems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549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641</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1,759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1,896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1,119</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1,111</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3,325</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3,209</w:t>
            </w: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191</w:t>
            </w:r>
          </w:p>
        </w:tc>
        <w:tc>
          <w:tcPr>
            <w:tcW w:w="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179</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542</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510</w:t>
            </w:r>
          </w:p>
        </w:tc>
        <w:tc>
          <w:tcPr>
            <w:tcW w:w="64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Defense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1,859</w:t>
            </w:r>
          </w:p>
        </w:tc>
        <w:tc>
          <w:tcPr>
            <w:tcW w:w="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1,931</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5,626</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5,615</w:t>
            </w:r>
          </w:p>
        </w:tc>
        <w:tc>
          <w:tcPr>
            <w:tcW w:w="64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948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797</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2,689</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2,502</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1,410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1,322</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4,102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3,870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193</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191</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553</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552</w:t>
            </w:r>
          </w:p>
        </w:tc>
        <w:tc>
          <w:tcPr>
            <w:tcW w:w="640" w:type="dxa"/>
            <w:vAlign w:val="bottom"/>
          </w:tcPr>
          <w:p>
            <w:pPr>
              <w:spacing w:after="0"/>
              <w:rPr>
                <w:sz w:val="21"/>
                <w:szCs w:val="2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8"/>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2,551</w:t>
            </w: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2,310</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7,344</w:t>
            </w:r>
          </w:p>
        </w:tc>
        <w:tc>
          <w:tcPr>
            <w:tcW w:w="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6,924</w:t>
            </w:r>
          </w:p>
        </w:tc>
        <w:tc>
          <w:tcPr>
            <w:tcW w:w="640" w:type="dxa"/>
            <w:vAlign w:val="bottom"/>
            <w:tcBorders>
              <w:bottom w:val="single" w:sz="8" w:color="CCEEFF"/>
            </w:tcBorders>
            <w:shd w:val="clear" w:color="auto" w:fill="CCEEFF"/>
          </w:tcPr>
          <w:p>
            <w:pPr>
              <w:spacing w:after="0"/>
              <w:rPr>
                <w:sz w:val="22"/>
                <w:szCs w:val="22"/>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Space Systems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1,563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1,312</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4,429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3,916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610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549</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1,686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1,493</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25</w:t>
            </w:r>
          </w:p>
        </w:tc>
        <w:tc>
          <w:tcPr>
            <w:tcW w:w="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79</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65</w:t>
            </w:r>
          </w:p>
        </w:tc>
        <w:tc>
          <w:tcPr>
            <w:tcW w:w="64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Space Systems sales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2,198</w:t>
            </w:r>
          </w:p>
        </w:tc>
        <w:tc>
          <w:tcPr>
            <w:tcW w:w="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1,885</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6,194</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5,474</w:t>
            </w:r>
          </w:p>
        </w:tc>
        <w:tc>
          <w:tcPr>
            <w:tcW w:w="64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Cost-type</w:t>
            </w:r>
          </w:p>
        </w:tc>
        <w:tc>
          <w:tcPr>
            <w:tcW w:w="24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4,496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4,076</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13,082</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12,264</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Fixed-price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4,587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4,399</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13,505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12,856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9,083</w:t>
            </w:r>
          </w:p>
        </w:tc>
        <w:tc>
          <w:tcPr>
            <w:tcW w:w="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8,475</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26,587</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25,120</w:t>
            </w:r>
          </w:p>
        </w:tc>
        <w:tc>
          <w:tcPr>
            <w:tcW w:w="640" w:type="dxa"/>
            <w:vAlign w:val="bottom"/>
            <w:tcBorders>
              <w:top w:val="single" w:sz="8" w:color="auto"/>
            </w:tcBorders>
          </w:tcPr>
          <w:p>
            <w:pPr>
              <w:spacing w:after="0"/>
              <w:rPr>
                <w:sz w:val="20"/>
                <w:szCs w:val="20"/>
                <w:color w:val="auto"/>
              </w:rPr>
            </w:pPr>
          </w:p>
        </w:tc>
      </w:tr>
      <w:tr>
        <w:trPr>
          <w:trHeight w:val="34"/>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40"/>
              <w:spacing w:after="0"/>
              <w:rPr>
                <w:sz w:val="20"/>
                <w:szCs w:val="20"/>
                <w:color w:val="auto"/>
              </w:rPr>
            </w:pPr>
            <w:r>
              <w:rPr>
                <w:rFonts w:ascii="Arial" w:cs="Arial" w:eastAsia="Arial" w:hAnsi="Arial"/>
                <w:sz w:val="18"/>
                <w:szCs w:val="18"/>
                <w:i w:val="1"/>
                <w:iCs w:val="1"/>
                <w:color w:val="auto"/>
              </w:rPr>
              <w:t>Sales by Geographic Region</w:t>
            </w:r>
          </w:p>
        </w:tc>
        <w:tc>
          <w:tcPr>
            <w:tcW w:w="240" w:type="dxa"/>
            <w:vAlign w:val="bottom"/>
          </w:tcPr>
          <w:p>
            <w:pPr>
              <w:spacing w:after="0"/>
              <w:rPr>
                <w:sz w:val="20"/>
                <w:szCs w:val="20"/>
                <w:color w:val="auto"/>
              </w:rPr>
            </w:pPr>
          </w:p>
        </w:tc>
        <w:tc>
          <w:tcPr>
            <w:tcW w:w="3600" w:type="dxa"/>
            <w:vAlign w:val="bottom"/>
            <w:gridSpan w:val="5"/>
          </w:tcPr>
          <w:p>
            <w:pPr>
              <w:jc w:val="right"/>
              <w:ind w:right="572"/>
              <w:spacing w:after="0"/>
              <w:rPr>
                <w:sz w:val="20"/>
                <w:szCs w:val="20"/>
                <w:color w:val="auto"/>
              </w:rPr>
            </w:pPr>
            <w:r>
              <w:rPr>
                <w:rFonts w:ascii="Arial" w:cs="Arial" w:eastAsia="Arial" w:hAnsi="Arial"/>
                <w:sz w:val="18"/>
                <w:szCs w:val="18"/>
                <w:color w:val="auto"/>
              </w:rPr>
              <w:t>Three Months Ended September 30</w:t>
            </w:r>
          </w:p>
        </w:tc>
        <w:tc>
          <w:tcPr>
            <w:tcW w:w="26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Nine Months Ended September 30</w:t>
            </w:r>
          </w:p>
        </w:tc>
        <w:tc>
          <w:tcPr>
            <w:tcW w:w="6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77"/>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72"/>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(2)</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92"/>
              <w:spacing w:after="0" w:line="276" w:lineRule="exact"/>
              <w:rPr>
                <w:sz w:val="20"/>
                <w:szCs w:val="20"/>
                <w:color w:val="auto"/>
              </w:rPr>
            </w:pPr>
            <w:r>
              <w:rPr>
                <w:rFonts w:ascii="Arial" w:cs="Arial" w:eastAsia="Arial" w:hAnsi="Arial"/>
                <w:sz w:val="32"/>
                <w:szCs w:val="32"/>
                <w:color w:val="auto"/>
                <w:w w:val="95"/>
                <w:vertAlign w:val="subscript"/>
              </w:rPr>
              <w:t>%</w:t>
            </w:r>
            <w:r>
              <w:rPr>
                <w:rFonts w:ascii="Arial" w:cs="Arial" w:eastAsia="Arial" w:hAnsi="Arial"/>
                <w:sz w:val="12"/>
                <w:szCs w:val="12"/>
                <w:color w:val="auto"/>
                <w:w w:val="95"/>
              </w:rPr>
              <w:t>(2)</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72"/>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2"/>
                <w:szCs w:val="12"/>
                <w:b w:val="1"/>
                <w:bCs w:val="1"/>
                <w:color w:val="auto"/>
              </w:rPr>
              <w:t>(2)</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232"/>
              <w:spacing w:after="0" w:line="276" w:lineRule="exact"/>
              <w:rPr>
                <w:sz w:val="20"/>
                <w:szCs w:val="20"/>
                <w:color w:val="auto"/>
              </w:rPr>
            </w:pPr>
            <w:r>
              <w:rPr>
                <w:rFonts w:ascii="Arial" w:cs="Arial" w:eastAsia="Arial" w:hAnsi="Arial"/>
                <w:sz w:val="32"/>
                <w:szCs w:val="32"/>
                <w:color w:val="auto"/>
                <w:w w:val="89"/>
                <w:vertAlign w:val="subscript"/>
              </w:rPr>
              <w:t>%</w:t>
            </w:r>
            <w:r>
              <w:rPr>
                <w:rFonts w:ascii="Arial" w:cs="Arial" w:eastAsia="Arial" w:hAnsi="Arial"/>
                <w:sz w:val="12"/>
                <w:szCs w:val="12"/>
                <w:color w:val="auto"/>
                <w:w w:val="89"/>
              </w:rPr>
              <w:t>(2)</w:t>
            </w: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2,502</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2,353</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7,364</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6,970</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217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177</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626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625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165</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213</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607</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639</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30</w:t>
            </w:r>
          </w:p>
        </w:tc>
        <w:tc>
          <w:tcPr>
            <w:tcW w:w="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85</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75</w:t>
            </w:r>
          </w:p>
        </w:tc>
        <w:tc>
          <w:tcPr>
            <w:tcW w:w="64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Aeronautics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2,914</w:t>
            </w: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2,770</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8,682</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8,309</w:t>
            </w:r>
          </w:p>
        </w:tc>
        <w:tc>
          <w:tcPr>
            <w:tcW w:w="64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Defense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1,361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1,405</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4,121</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4,030</w:t>
            </w: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103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78</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292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204</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269</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671</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784</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191</w:t>
            </w:r>
          </w:p>
        </w:tc>
        <w:tc>
          <w:tcPr>
            <w:tcW w:w="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179</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542</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510</w:t>
            </w:r>
          </w:p>
        </w:tc>
        <w:tc>
          <w:tcPr>
            <w:tcW w:w="64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Defense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1,859</w:t>
            </w: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1,931</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5,626</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5,615</w:t>
            </w:r>
          </w:p>
        </w:tc>
        <w:tc>
          <w:tcPr>
            <w:tcW w:w="64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1,903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1,712</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5,385</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5,124</w:t>
            </w: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122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135</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489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412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333</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272</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917</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836</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193</w:t>
            </w:r>
          </w:p>
        </w:tc>
        <w:tc>
          <w:tcPr>
            <w:tcW w:w="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191</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553</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552</w:t>
            </w:r>
          </w:p>
        </w:tc>
        <w:tc>
          <w:tcPr>
            <w:tcW w:w="64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Mission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2,551</w:t>
            </w: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2,310</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7,344</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6,924</w:t>
            </w:r>
          </w:p>
        </w:tc>
        <w:tc>
          <w:tcPr>
            <w:tcW w:w="64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Space Systems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2,074</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1,800</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5,878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5,273</w:t>
            </w: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94</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61</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222</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122</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5"/>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Intersegment sales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25</w:t>
            </w:r>
          </w:p>
        </w:tc>
        <w:tc>
          <w:tcPr>
            <w:tcW w:w="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79</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65</w:t>
            </w:r>
          </w:p>
        </w:tc>
        <w:tc>
          <w:tcPr>
            <w:tcW w:w="640" w:type="dxa"/>
            <w:vAlign w:val="bottom"/>
            <w:tcBorders>
              <w:bottom w:val="single" w:sz="8" w:color="CCEEFF"/>
            </w:tcBorders>
            <w:shd w:val="clear" w:color="auto" w:fill="CCEEFF"/>
          </w:tcPr>
          <w:p>
            <w:pPr>
              <w:spacing w:after="0"/>
              <w:rPr>
                <w:sz w:val="23"/>
                <w:szCs w:val="23"/>
                <w:color w:val="auto"/>
              </w:rPr>
            </w:pPr>
          </w:p>
        </w:tc>
      </w:tr>
      <w:tr>
        <w:trPr>
          <w:trHeight w:val="237"/>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Space Systems sales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2,198</w:t>
            </w: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1,885</w:t>
            </w:r>
          </w:p>
        </w:tc>
        <w:tc>
          <w:tcPr>
            <w:tcW w:w="7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6,194</w:t>
            </w:r>
          </w:p>
        </w:tc>
        <w:tc>
          <w:tcPr>
            <w:tcW w:w="7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5,474</w:t>
            </w:r>
          </w:p>
        </w:tc>
        <w:tc>
          <w:tcPr>
            <w:tcW w:w="640" w:type="dxa"/>
            <w:vAlign w:val="bottom"/>
            <w:tcBorders>
              <w:top w:val="single" w:sz="8" w:color="auto"/>
            </w:tcBorders>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7,840</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30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7,270</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22,748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21,397</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447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390</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1,422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1,342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3540" w:type="dxa"/>
            <w:vAlign w:val="bottom"/>
            <w:tcBorders>
              <w:bottom w:val="single" w:sz="8" w:color="auto"/>
            </w:tcBorders>
          </w:tcPr>
          <w:p>
            <w:pPr>
              <w:ind w:left="180"/>
              <w:spacing w:after="0" w:line="270" w:lineRule="exact"/>
              <w:rPr>
                <w:sz w:val="20"/>
                <w:szCs w:val="20"/>
                <w:color w:val="auto"/>
              </w:rPr>
            </w:pPr>
            <w:r>
              <w:rPr>
                <w:rFonts w:ascii="Arial" w:cs="Arial" w:eastAsia="Arial" w:hAnsi="Arial"/>
                <w:sz w:val="18"/>
                <w:szCs w:val="18"/>
                <w:color w:val="auto"/>
              </w:rPr>
              <w:t>All other</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796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815</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2,417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2,381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9,083</w:t>
            </w: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8,475</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26,587</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25,120</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7"/>
        </w:trPr>
        <w:tc>
          <w:tcPr>
            <w:tcW w:w="3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All other is principally comprised of Europe and the Middle East.</w:t>
      </w:r>
    </w:p>
    <w:p>
      <w:pPr>
        <w:spacing w:after="0" w:line="109"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Percentages calculated based on external customer sales.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Virginia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reviewed the accompanying condensed consolidated statement of financial position of Northrop Grumman Corporation and subsidiaries (the “Company”) as of September 30, 2020, and the related condensed consolidated statements of earnings and comprehensive income and changes in shareholders’ equity for the three-month and nine-month periods ended September 30, 2020 and 2019, and of cash flows for the nine-month periods ended September 30, 2020 and 2019, and the related notes (collectively referred to as the “interim financial information”). Based on our review, we are not aware of any material modifications that should be made to the accompanying interim financial information for it to be in conformity with accounting principles generally accepted in the United States of America.</w:t>
      </w:r>
    </w:p>
    <w:p>
      <w:pPr>
        <w:spacing w:after="0" w:line="4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We have previously audited, in accordance with the standards of the Public Company Accounting Oversight Board (United States) (PCAOB), the consolidated statement of financial position of Northrop Grumman Corporation and subsidiaries as of December 31, 2019, and the related consolidated statements of earnings and comprehensive income, changes in shareholders’ equity, and cash flows for the year then ended (not presented herein); and in our report dated January 29, 2020, we expressed an unqualified opinion on those consolidated financial statements, which included an explanatory paragraph regarding the Company’s change in its method of accounting for leases in 2019 due to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In our opinion, the information set forth in the accompanying condensed consolidated statement of financial position as of December 31, 2019, is fairly stated, in all material respects, in relation to the audited consolidated statement of financial position from which it has been derived.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21, 2020</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337" w:right="3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79" w:lineRule="exact"/>
        <w:rPr>
          <w:sz w:val="20"/>
          <w:szCs w:val="20"/>
          <w:color w:val="auto"/>
        </w:rPr>
      </w:pPr>
    </w:p>
    <w:p>
      <w:pPr>
        <w:ind w:right="366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Northrop Grumman Corporation (herein referred to as “Northrop Grumman,” the “company,” “we,” “us,” or “our”) is a leading global aerospace and defense company. We use our broad portfolio of capabilities and technologies to create and deliver innovative platforms, systems and solutions in space; manned and autonomous airborne systems, including strike; hypersonics; cyber; command, control, communications and computers, intelligence, surveillance and reconnaissance (C4ISR);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discussion should be read along with the financial statements included in this Form 10-Q, as well as our 2019 Annual Report on Form 10-K, the Form 8-K that we filed with the SEC on April 29, 2020, which recasts the disclosures in certain portions of the 2019 Annual Report on Form 10-K to reflect changes in the company’s reportable segments, and the Quarterly Reports on Form 10-Q for the quarters ended March 31, 2020 and June 30, 2020. These documents provide additional information on our business and the environment in which we operate and our operating results.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Coronavirus disease 2019 (“COVID-19”) was first reported in late 2019 and has since dramatically impacted the global health and economic environment, including millions of confirmed cases, business slowdowns or shutdowns, government challenges and market volatility. In March 2020, the World Health Organization characterized COVID-19 as a global pandemic, and the President declared a national emergency concerning the COVID-19 outbreak. The company’s leadership, our crisis management and business resumption teams, and local site leadership continue closely to monitor and address the developments, including the impact on our company, our employees, our customers, our suppliers and our communities. The company has considered and continues to consider guidance from the Centers for Disease Control (CDC), other health organizations, governments and our customers, among others. We have taken, and continue to take, robust actions to help protect the health, safety and well-being of our employees, to support our suppliers and local communities, and to continue to serve our customers. Our goals have been to lessen the immediate potential adverse impacts, both health and economic, and to continue to position the company for long-term success. Like the communities in which we serve, our actions have varied depending on the spread of COVID-19 and local health requirements, the needs of our employees and the needs of our business. Among other actions, we have required or enabled employees to work from home or remotely where practicable, and expanded IT and communication support to enhance their productivity; adjusted work spaces and shift schedules to facilitate social distancing for those who continue to work in our facilities; enhanced cleaning and disinfecting procedures at our facilities; required face coverings and worked to procure and distribute personal protective equipment (PPE); implemented health checks and visitor protocols; restricted travel; provided additional benefits to our employees, including for those most at risk; and contributed financial and manufacturing resources to supporting critical national requirements, such as for PPE. Along with the Northrop Grumman Foundation, we have provided grants for global, national and local organizations that support frontline healthcare workers, address food insecurity, advance efforts for vaccines, increase student access to technology and provide support to vulnerable populations; donated PPE items to emergency response teams and healthcare professionals, including N95 masks and Tyvek suits; and established a COVID-19 relief matching gift program for employees.</w:t>
      </w:r>
    </w:p>
    <w:p>
      <w:pPr>
        <w:spacing w:after="0" w:line="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Earlier in the COVID-19 pandemic, many state and local jurisdictions implemented mandatory stay-at-home or shelter-in-place orders. Most of those orders exempted some or all of the defense industrial base, including Northrop Grumman and many of our suppliers, as part of the essential or critical infrastructure. Our facilities have largely remained open and many of our employees who cannot work remotely are continuing to come to work and support our customers’ national security and mission-essential operations. Towards the end of the second quarter, some state and local jurisdictions started to lift mandatory stay-at-home or shelter-in-place orders and started gradually to ease restrictions. We started to implement return to office plans to allow some employees who had been working remotely slowly to return to the workplace. At our facilities, we generally saw employee absenteeism decrease and productivity increase during the second and third quarters, including in certain areas of the country where COVID-19 cases began to resurge later in the third quarter. Throughout, we have worked to adapt and to take robust actions to protect the health, safety and well-being of our employees and to serve our customers, considering, among other things, state and local requirements and guidance from the CDC. We have also taken various steps in efforts to support our suppliers, with a particular focus on critical small and midsized business partners, including passing through increased progress payments from DoD to our suppliers and accelerating payments to certain suppliers.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18" w:right="3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experienced and expect to continue to experience certain increased costs to maintain our operations, including as a result of actions to protect health; because of illness, quarantines, and absenteeism; as a result of government actions; and because of disruption and stress among our suppliers and customers. We have also experienced certain lower costs, including those related to employee travel, health benefits and personal time off. We continue to monitor this situation closely and cannot predict how it will change, including the extent of any increase in the number of COVID-19 cases and the costs and impacts to us. Our customers have generally continued to make timely payments, and we are working with them to consider the possibility of additional cost recoveries. Again, however, our customers are facing tremendous demands and we cannot predict how this may change and how they will continue to allocate resources.</w:t>
      </w:r>
    </w:p>
    <w:p>
      <w:pPr>
        <w:spacing w:after="0" w:line="6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company’s third quarter revenue and operating income were not significantly impacted by COVID-19. Based on what we understand today, we do not currently expect to see a significant impact on our revenue or operating income during the fourth quarter directly due to COVID-19. However, our employees, suppliers and customers, the company and our global community are facing tremendous challenges and we cannot predict how this dynamic situation will evolve or the impact it will have on the company. For further information on the potential impact to the company of COVID-19, see the section entitled “Risk Factors” in our Quarterly Report on Form 10-Q for the quarter ended March 31,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Political and Economic Environment</w:t>
      </w:r>
    </w:p>
    <w:p>
      <w:pPr>
        <w:spacing w:after="0" w:line="2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Since the filing of our 2019 Annual Report on Form 10-K, the President released his budget request for fiscal year 2021 (FY 2021) on February 10, 2020. The FY 2021 budget request included $746 billion for national security, which continues to be the subject of debate in Congress. The FY 2021 budget request addressed various capabilities highlighted in the U.S. National Security Strategy, the National Defense Strategy and the Missile Defense Review. FY 2021 appropriations have not been enacted and on October 1, 2020, a continuing resolution was enacted, providing broadly funding at fiscal year 2020 levels through December 11, 2020. It remains uncertain when the government will approve FY 2021 appropriations and what programs will be funded and at what levels. Earlier this year, Congress also passed emergency COVID-19 relief bills addressing certain impacts of the pandemic and it is continuing to consider other responses to the COVID-19 crisis, with broader implications for the defense industry and the overall economic environment, including the national debt. We believe that our capabilities, particularly in space, missiles, missile defense, hypersonics, counter-hypersonics, survivable aircraft and mission systems should continue to allow for long-term profitable growth in our business in support of our customers’ needs.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highlights are presented in the table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3"/>
          </w:tcPr>
          <w:p>
            <w:pPr>
              <w:jc w:val="right"/>
              <w:ind w:right="310"/>
              <w:spacing w:after="0"/>
              <w:rPr>
                <w:sz w:val="20"/>
                <w:szCs w:val="20"/>
                <w:color w:val="auto"/>
              </w:rPr>
            </w:pPr>
            <w:r>
              <w:rPr>
                <w:rFonts w:ascii="Arial" w:cs="Arial" w:eastAsia="Arial" w:hAnsi="Arial"/>
                <w:sz w:val="18"/>
                <w:szCs w:val="18"/>
                <w:color w:val="auto"/>
                <w:w w:val="98"/>
              </w:rPr>
              <w:t>Three Months Ended</w:t>
            </w:r>
          </w:p>
        </w:tc>
        <w:tc>
          <w:tcPr>
            <w:tcW w:w="128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w w:val="92"/>
              </w:rPr>
              <w:t>Nine Months Ended September</w:t>
            </w:r>
          </w:p>
        </w:tc>
        <w:tc>
          <w:tcPr>
            <w:tcW w:w="11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3"/>
          </w:tcPr>
          <w:p>
            <w:pPr>
              <w:jc w:val="right"/>
              <w:ind w:right="570"/>
              <w:spacing w:after="0"/>
              <w:rPr>
                <w:sz w:val="20"/>
                <w:szCs w:val="20"/>
                <w:color w:val="auto"/>
              </w:rPr>
            </w:pPr>
            <w:r>
              <w:rPr>
                <w:rFonts w:ascii="Arial" w:cs="Arial" w:eastAsia="Arial" w:hAnsi="Arial"/>
                <w:sz w:val="18"/>
                <w:szCs w:val="18"/>
                <w:color w:val="auto"/>
              </w:rPr>
              <w:t>September 30</w:t>
            </w:r>
          </w:p>
        </w:tc>
        <w:tc>
          <w:tcPr>
            <w:tcW w:w="1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6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9,083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8,475</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26,587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25,120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8,098</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7,524</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8%</w:t>
            </w:r>
          </w:p>
        </w:tc>
        <w:tc>
          <w:tcPr>
            <w:tcW w:w="28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23,674</w:t>
            </w:r>
          </w:p>
        </w:tc>
        <w:tc>
          <w:tcPr>
            <w:tcW w:w="24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22,287</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costs and expenses as a % of sales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89.2%</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88.8%</w:t>
            </w:r>
          </w:p>
        </w:tc>
        <w:tc>
          <w:tcPr>
            <w:tcW w:w="1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i w:val="1"/>
                <w:iCs w:val="1"/>
                <w:color w:val="auto"/>
              </w:rPr>
              <w:t>89.0%</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88.7%</w:t>
            </w: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985</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951</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2,913</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2,833</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10.8%</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11.2%</w:t>
            </w:r>
          </w:p>
        </w:tc>
        <w:tc>
          <w:tcPr>
            <w:tcW w:w="1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i w:val="1"/>
                <w:iCs w:val="1"/>
                <w:color w:val="auto"/>
              </w:rPr>
              <w:t>11.0%</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11.3%</w:t>
            </w: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Federal and foreign income tax expense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181</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122</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48%</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564</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460</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Effective income tax rate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15.5%</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11.6%</w:t>
            </w:r>
          </w:p>
        </w:tc>
        <w:tc>
          <w:tcPr>
            <w:tcW w:w="1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i w:val="1"/>
                <w:iCs w:val="1"/>
                <w:color w:val="auto"/>
              </w:rPr>
              <w:t>16.5%</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14.8%</w:t>
            </w: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986</w:t>
            </w: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933</w:t>
            </w:r>
          </w:p>
        </w:tc>
        <w:tc>
          <w:tcPr>
            <w:tcW w:w="1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2,859</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2,657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
        </w:trPr>
        <w:tc>
          <w:tcPr>
            <w:tcW w:w="4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5.89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5.49</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17.05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15.60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40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Third quarter 2020 sales increased $608 million, or 7 percent, due to higher sales at Space Systems, Mission Systems and Aeronautics Systems.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2020 sales increased $1.5 billion, or 6 percent, due to higher sales at each of the sectors.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jc w:val="both"/>
        <w:ind w:right="80"/>
        <w:spacing w:after="0" w:line="331" w:lineRule="auto"/>
        <w:rPr>
          <w:sz w:val="20"/>
          <w:szCs w:val="20"/>
          <w:color w:val="auto"/>
        </w:rPr>
      </w:pPr>
      <w:r>
        <w:rPr>
          <w:rFonts w:ascii="Arial" w:cs="Arial" w:eastAsia="Arial" w:hAnsi="Arial"/>
          <w:sz w:val="16"/>
          <w:szCs w:val="16"/>
          <w:color w:val="auto"/>
        </w:rPr>
        <w:t>See “Segment Operating Results” below for further information by segment and “Product and Service Analysis” for product and service detail. See Note 9 to the financial statements for information regarding the company’s sales by customer type, contract type and geographic region for each of our segments.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Margin Rate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Third quarter 2020 operating income increased $34 million, or 4 percent, primarily due to an increase in segment operating income, partially offset by higher unallocated corporate expense and a lower net FAS (service)/CAS pension adjustment. Third quarter 2020 operating margin rate declined to 10.8 percent reflecting an increase in unallocated corporate expense and lower net FAS (service)/CAS pension adjustment, partially offset by a higher segment operating margin rate.</w:t>
      </w:r>
    </w:p>
    <w:p>
      <w:pPr>
        <w:spacing w:after="0" w:line="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Third quarter 2020 general and administrative (G&amp;A) costs as a percentage of sales increased to 9.4 percent from 9.2 percent in the prior period primarily due to higher independent research and development and other indirect costs, partially offset by higher sales.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color w:val="auto"/>
        </w:rPr>
        <w:t>Year to date 2020 operating income increased $80 million, or 3 percent, primarily due to an increase in segment operating income, partially offset by a lower net FAS (service)/CAS pension adjustment and higher unallocated corporate expense. Year to date 2020 operating margin rate declined to 11.0 percent principally reflecting a lower segment operating margin rate and net FAS (service)/CAS pension adjustment.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2020 general and administrative (G&amp;A) costs as a percentage of sales of 9.3 percent were comparable to the prior year period.</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“Segment Operating Results” below for further information by segment. For information regarding product and service operating costs and expenses, see “Product and Service Analysis” below.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Foreign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The third quarter 2020 effective tax rate (ETR) increased to 15.5 percent from 11.6 percent in the prior year period primarily due to lower research credits, partially offset by benefits relating to foreign-derived intangible income. See Note 3 to the financial statements for additional information.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year to date 2020 ETR increased to 16.5 percent from 14.8 percent in the prior year period due to the same current quarter items discussed above. See Note 3 to the financial statements for additional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Third quarter 2020 net earnings increased $53 million, or 6 percent, primarily due to increases in our FAS (non-service) pension benefit and operating income, partially offset by higher income tax and interest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Year to date 2020 net earnings increased $202 million, or 8 percent, primarily due to increases in our FAS (non-service) pension benefit and operating income, partially offset by higher income tax and interest expense and a decrease in Other, net, largely due to lower returns on marketable securities related to our non-qualified benefit plans.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Third quarter 2020 diluted earnings per share increased 7 percent, reflecting a 6 percent increase in net earnings and a 2 percent reduction in weighted-average diluted shares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Year to date 2020 diluted earnings per share increased 9 percent, reflecting a 8 percent increase in net earnings and a 2 percent reduction in weighted-average diluted shares outstanding.</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18" w:right="3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Effective January 1, 2020, the company reorganized its operating sectors to better align the company’s broad portfolio to serve its customers’ needs. The four new sectors, which also comprise our reportable segments, are Aeronautics Systems, Defense Systems, Mission Systems and Space Systems. This realignment is reflected in the accompanying financial information.</w:t>
      </w:r>
    </w:p>
    <w:p>
      <w:pPr>
        <w:spacing w:after="0" w:line="5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Beginning in the second quarter of 2020, the company no longer considers certain unallowable costs as part of management’s evaluation of segment operating performance. As a result, certain unallowable costs, which were previously included in segment operating results, are now reported in Unallocated corporate expense within operating income. This change has been applied retrospectively in the accompanying financial information. See Part II, Item 5 in the Quarterly Report on Form 10-Q for the quarter ended June 30, 2020 for further information regarding the impact of this change on the company’s prior period segment information.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sectors in the following business areas, which are reported in a manner reflecting core capabilities: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Aeronautics Systems</w:t>
            </w:r>
          </w:p>
        </w:tc>
        <w:tc>
          <w:tcPr>
            <w:tcW w:w="2900" w:type="dxa"/>
            <w:vAlign w:val="bottom"/>
          </w:tcPr>
          <w:p>
            <w:pPr>
              <w:jc w:val="center"/>
              <w:ind w:left="170"/>
              <w:spacing w:after="0"/>
              <w:rPr>
                <w:sz w:val="20"/>
                <w:szCs w:val="20"/>
                <w:color w:val="auto"/>
              </w:rPr>
            </w:pPr>
            <w:r>
              <w:rPr>
                <w:rFonts w:ascii="Arial" w:cs="Arial" w:eastAsia="Arial" w:hAnsi="Arial"/>
                <w:sz w:val="18"/>
                <w:szCs w:val="18"/>
                <w:b w:val="1"/>
                <w:bCs w:val="1"/>
                <w:color w:val="auto"/>
                <w:w w:val="85"/>
              </w:rPr>
              <w:t>Defense Systems</w:t>
            </w: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87"/>
              </w:rPr>
              <w:t>Mission Systems</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4"/>
              </w:rPr>
              <w:t>Space Systems</w:t>
            </w:r>
          </w:p>
        </w:tc>
      </w:tr>
      <w:tr>
        <w:trPr>
          <w:trHeight w:val="27"/>
        </w:trPr>
        <w:tc>
          <w:tcPr>
            <w:tcW w:w="2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2"/>
        </w:trPr>
        <w:tc>
          <w:tcPr>
            <w:tcW w:w="2720" w:type="dxa"/>
            <w:vAlign w:val="bottom"/>
            <w:shd w:val="clear" w:color="auto" w:fill="CCEEFF"/>
          </w:tcPr>
          <w:p>
            <w:pPr>
              <w:spacing w:after="0"/>
              <w:rPr>
                <w:sz w:val="19"/>
                <w:szCs w:val="19"/>
                <w:color w:val="auto"/>
              </w:rPr>
            </w:pPr>
          </w:p>
        </w:tc>
        <w:tc>
          <w:tcPr>
            <w:tcW w:w="29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Battle Management &amp; Missile</w:t>
            </w:r>
          </w:p>
        </w:tc>
        <w:tc>
          <w:tcPr>
            <w:tcW w:w="300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7"/>
        </w:trPr>
        <w:tc>
          <w:tcPr>
            <w:tcW w:w="27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Autonomous Systems</w:t>
            </w:r>
          </w:p>
        </w:tc>
        <w:tc>
          <w:tcPr>
            <w:tcW w:w="290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6"/>
              </w:rPr>
              <w:t>Systems</w:t>
            </w:r>
          </w:p>
        </w:tc>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Airborne Sensors &amp; Networks</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Launch &amp; Strategic Missiles</w:t>
            </w:r>
          </w:p>
        </w:tc>
      </w:tr>
      <w:tr>
        <w:trPr>
          <w:trHeight w:val="229"/>
        </w:trPr>
        <w:tc>
          <w:tcPr>
            <w:tcW w:w="2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Cyber &amp; Intelligence Mission</w:t>
            </w:r>
          </w:p>
        </w:tc>
        <w:tc>
          <w:tcPr>
            <w:tcW w:w="2620" w:type="dxa"/>
            <w:vAlign w:val="bottom"/>
          </w:tcPr>
          <w:p>
            <w:pPr>
              <w:spacing w:after="0"/>
              <w:rPr>
                <w:sz w:val="19"/>
                <w:szCs w:val="19"/>
                <w:color w:val="auto"/>
              </w:rPr>
            </w:pPr>
          </w:p>
        </w:tc>
      </w:tr>
      <w:tr>
        <w:trPr>
          <w:trHeight w:val="230"/>
        </w:trPr>
        <w:tc>
          <w:tcPr>
            <w:tcW w:w="2720" w:type="dxa"/>
            <w:vAlign w:val="bottom"/>
          </w:tcPr>
          <w:p>
            <w:pPr>
              <w:jc w:val="center"/>
              <w:ind w:left="30"/>
              <w:spacing w:after="0"/>
              <w:rPr>
                <w:sz w:val="20"/>
                <w:szCs w:val="20"/>
                <w:color w:val="auto"/>
              </w:rPr>
            </w:pPr>
            <w:r>
              <w:rPr>
                <w:rFonts w:ascii="Arial" w:cs="Arial" w:eastAsia="Arial" w:hAnsi="Arial"/>
                <w:sz w:val="18"/>
                <w:szCs w:val="18"/>
                <w:color w:val="auto"/>
                <w:w w:val="94"/>
              </w:rPr>
              <w:t>Manned Aircraft</w:t>
            </w:r>
          </w:p>
        </w:tc>
        <w:tc>
          <w:tcPr>
            <w:tcW w:w="2900" w:type="dxa"/>
            <w:vAlign w:val="bottom"/>
          </w:tcPr>
          <w:p>
            <w:pPr>
              <w:jc w:val="center"/>
              <w:ind w:left="170"/>
              <w:spacing w:after="0"/>
              <w:rPr>
                <w:sz w:val="20"/>
                <w:szCs w:val="20"/>
                <w:color w:val="auto"/>
              </w:rPr>
            </w:pPr>
            <w:r>
              <w:rPr>
                <w:rFonts w:ascii="Arial" w:cs="Arial" w:eastAsia="Arial" w:hAnsi="Arial"/>
                <w:sz w:val="18"/>
                <w:szCs w:val="18"/>
                <w:color w:val="auto"/>
                <w:w w:val="90"/>
              </w:rPr>
              <w:t>Mission Readiness</w:t>
            </w:r>
          </w:p>
        </w:tc>
        <w:tc>
          <w:tcPr>
            <w:tcW w:w="3000" w:type="dxa"/>
            <w:vAlign w:val="bottom"/>
          </w:tcPr>
          <w:p>
            <w:pPr>
              <w:jc w:val="center"/>
              <w:spacing w:after="0"/>
              <w:rPr>
                <w:sz w:val="20"/>
                <w:szCs w:val="20"/>
                <w:color w:val="auto"/>
              </w:rPr>
            </w:pPr>
            <w:r>
              <w:rPr>
                <w:rFonts w:ascii="Arial" w:cs="Arial" w:eastAsia="Arial" w:hAnsi="Arial"/>
                <w:sz w:val="18"/>
                <w:szCs w:val="18"/>
                <w:color w:val="auto"/>
                <w:w w:val="91"/>
              </w:rPr>
              <w:t>Solutions</w:t>
            </w:r>
          </w:p>
        </w:tc>
        <w:tc>
          <w:tcPr>
            <w:tcW w:w="2620" w:type="dxa"/>
            <w:vAlign w:val="bottom"/>
          </w:tcPr>
          <w:p>
            <w:pPr>
              <w:jc w:val="center"/>
              <w:spacing w:after="0"/>
              <w:rPr>
                <w:sz w:val="20"/>
                <w:szCs w:val="20"/>
                <w:color w:val="auto"/>
              </w:rPr>
            </w:pPr>
            <w:r>
              <w:rPr>
                <w:rFonts w:ascii="Arial" w:cs="Arial" w:eastAsia="Arial" w:hAnsi="Arial"/>
                <w:sz w:val="18"/>
                <w:szCs w:val="18"/>
                <w:color w:val="auto"/>
                <w:w w:val="86"/>
              </w:rPr>
              <w:t>Space</w:t>
            </w:r>
          </w:p>
        </w:tc>
      </w:tr>
      <w:tr>
        <w:trPr>
          <w:trHeight w:val="27"/>
        </w:trPr>
        <w:tc>
          <w:tcPr>
            <w:tcW w:w="27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Maritime/Land Systems &amp; Sensors</w:t>
            </w:r>
          </w:p>
        </w:tc>
        <w:tc>
          <w:tcPr>
            <w:tcW w:w="2620" w:type="dxa"/>
            <w:vAlign w:val="bottom"/>
            <w:tcBorders>
              <w:bottom w:val="single" w:sz="8" w:color="CCEEFF"/>
            </w:tcBorders>
            <w:shd w:val="clear" w:color="auto" w:fill="CCEEFF"/>
          </w:tcPr>
          <w:p>
            <w:pPr>
              <w:spacing w:after="0"/>
              <w:rPr>
                <w:sz w:val="21"/>
                <w:szCs w:val="21"/>
                <w:color w:val="auto"/>
              </w:rPr>
            </w:pPr>
          </w:p>
        </w:tc>
      </w:tr>
      <w:tr>
        <w:trPr>
          <w:trHeight w:val="229"/>
        </w:trPr>
        <w:tc>
          <w:tcPr>
            <w:tcW w:w="2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3"/>
              </w:rPr>
              <w:t>Navigation, Targeting &amp;</w:t>
            </w:r>
          </w:p>
        </w:tc>
        <w:tc>
          <w:tcPr>
            <w:tcW w:w="262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97"/>
              </w:rPr>
              <w:t>Survivability</w:t>
            </w:r>
          </w:p>
        </w:tc>
        <w:tc>
          <w:tcPr>
            <w:tcW w:w="2620" w:type="dxa"/>
            <w:vAlign w:val="bottom"/>
          </w:tcPr>
          <w:p>
            <w:pPr>
              <w:spacing w:after="0"/>
              <w:rPr>
                <w:sz w:val="20"/>
                <w:szCs w:val="20"/>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Income and Margin Rate</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Segment operating income, as reconciled in the table below, and segment operating margin rate (segment operating income divided by sales) are non-GAAP (accounting principles generally accepted in the United States of America) measures that reflect total earnings from our four segments, including allocated pension expense we have recognized under the Federal Acquisition Regulation (FAR) and the related U.S. Government Cost Accounting Standards (CAS), and excluding FAS pension expense and unallocated corporate items (certain corporate-level expenses, which are not considered allowable or allocable under applicable CAS or FAR,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3"/>
          </w:tcPr>
          <w:p>
            <w:pPr>
              <w:jc w:val="right"/>
              <w:ind w:right="250"/>
              <w:spacing w:after="0"/>
              <w:rPr>
                <w:sz w:val="20"/>
                <w:szCs w:val="20"/>
                <w:color w:val="auto"/>
              </w:rPr>
            </w:pPr>
            <w:r>
              <w:rPr>
                <w:rFonts w:ascii="Arial" w:cs="Arial" w:eastAsia="Arial" w:hAnsi="Arial"/>
                <w:sz w:val="18"/>
                <w:szCs w:val="18"/>
                <w:color w:val="auto"/>
                <w:w w:val="96"/>
              </w:rPr>
              <w:t>Three Months Ended</w:t>
            </w:r>
          </w:p>
        </w:tc>
        <w:tc>
          <w:tcPr>
            <w:tcW w:w="13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980" w:type="dxa"/>
            <w:vAlign w:val="bottom"/>
            <w:gridSpan w:val="3"/>
          </w:tcPr>
          <w:p>
            <w:pPr>
              <w:jc w:val="right"/>
              <w:ind w:right="290"/>
              <w:spacing w:after="0"/>
              <w:rPr>
                <w:sz w:val="20"/>
                <w:szCs w:val="20"/>
                <w:color w:val="auto"/>
              </w:rPr>
            </w:pPr>
            <w:r>
              <w:rPr>
                <w:rFonts w:ascii="Arial" w:cs="Arial" w:eastAsia="Arial" w:hAnsi="Arial"/>
                <w:sz w:val="18"/>
                <w:szCs w:val="18"/>
                <w:color w:val="auto"/>
                <w:w w:val="99"/>
              </w:rPr>
              <w:t>Nine Months Ended</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3"/>
          </w:tcPr>
          <w:p>
            <w:pPr>
              <w:jc w:val="right"/>
              <w:ind w:right="510"/>
              <w:spacing w:after="0"/>
              <w:rPr>
                <w:sz w:val="20"/>
                <w:szCs w:val="20"/>
                <w:color w:val="auto"/>
              </w:rPr>
            </w:pPr>
            <w:r>
              <w:rPr>
                <w:rFonts w:ascii="Arial" w:cs="Arial" w:eastAsia="Arial" w:hAnsi="Arial"/>
                <w:sz w:val="18"/>
                <w:szCs w:val="18"/>
                <w:color w:val="auto"/>
              </w:rPr>
              <w:t>September 30</w:t>
            </w:r>
          </w:p>
        </w:tc>
        <w:tc>
          <w:tcPr>
            <w:tcW w:w="1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3"/>
          </w:tcPr>
          <w:p>
            <w:pPr>
              <w:jc w:val="right"/>
              <w:ind w:right="510"/>
              <w:spacing w:after="0"/>
              <w:rPr>
                <w:sz w:val="20"/>
                <w:szCs w:val="20"/>
                <w:color w:val="auto"/>
              </w:rPr>
            </w:pPr>
            <w:r>
              <w:rPr>
                <w:rFonts w:ascii="Arial" w:cs="Arial" w:eastAsia="Arial" w:hAnsi="Arial"/>
                <w:sz w:val="18"/>
                <w:szCs w:val="18"/>
                <w:color w:val="auto"/>
              </w:rPr>
              <w:t>September 30</w:t>
            </w: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1,049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955</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3,047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2,926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Segment operating margin rate</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11.5%</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11.3%</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11.5%</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11.6%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 pension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210</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223</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622</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622</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Less: FAS (service) pension expense</w:t>
            </w: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rPr>
              <w:t>(102)</w:t>
            </w:r>
          </w:p>
        </w:tc>
        <w:tc>
          <w:tcPr>
            <w:tcW w:w="28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11 %</w:t>
            </w:r>
          </w:p>
        </w:tc>
        <w:tc>
          <w:tcPr>
            <w:tcW w:w="2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(306)</w:t>
            </w:r>
          </w:p>
        </w:tc>
        <w:tc>
          <w:tcPr>
            <w:tcW w:w="3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(276)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FAS (service)/CAS pension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108</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316</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9"/>
        </w:trPr>
        <w:tc>
          <w:tcPr>
            <w:tcW w:w="4240" w:type="dxa"/>
            <w:vAlign w:val="bottom"/>
          </w:tcPr>
          <w:p>
            <w:pPr>
              <w:ind w:left="280"/>
              <w:spacing w:after="0"/>
              <w:rPr>
                <w:sz w:val="20"/>
                <w:szCs w:val="20"/>
                <w:color w:val="auto"/>
              </w:rPr>
            </w:pPr>
            <w:r>
              <w:rPr>
                <w:rFonts w:ascii="Arial" w:cs="Arial" w:eastAsia="Arial" w:hAnsi="Arial"/>
                <w:sz w:val="18"/>
                <w:szCs w:val="18"/>
                <w:color w:val="auto"/>
              </w:rPr>
              <w:t>Intangible asset amortization and PP&amp;E step-up</w:t>
            </w:r>
          </w:p>
        </w:tc>
        <w:tc>
          <w:tcPr>
            <w:tcW w:w="220" w:type="dxa"/>
            <w:vAlign w:val="bottom"/>
          </w:tcPr>
          <w:p>
            <w:pPr>
              <w:spacing w:after="0"/>
              <w:rPr>
                <w:sz w:val="19"/>
                <w:szCs w:val="19"/>
                <w:color w:val="auto"/>
              </w:rPr>
            </w:pPr>
          </w:p>
        </w:tc>
        <w:tc>
          <w:tcPr>
            <w:tcW w:w="8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(81)</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9"/>
                <w:szCs w:val="19"/>
                <w:color w:val="auto"/>
              </w:rPr>
            </w:pPr>
          </w:p>
        </w:tc>
        <w:tc>
          <w:tcPr>
            <w:tcW w:w="8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(240)</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30"/>
        </w:trPr>
        <w:tc>
          <w:tcPr>
            <w:tcW w:w="42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1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(292)</w:t>
            </w: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unallocated corporate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(91)</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146 %</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(210)</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43 %</w:t>
            </w:r>
          </w:p>
        </w:tc>
        <w:tc>
          <w:tcPr>
            <w:tcW w:w="0" w:type="dxa"/>
            <w:vAlign w:val="bottom"/>
          </w:tcPr>
          <w:p>
            <w:pPr>
              <w:spacing w:after="0"/>
              <w:rPr>
                <w:sz w:val="1"/>
                <w:szCs w:val="1"/>
                <w:color w:val="auto"/>
              </w:rPr>
            </w:pPr>
          </w:p>
        </w:tc>
      </w:tr>
      <w:tr>
        <w:trPr>
          <w:trHeight w:val="237"/>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Unallocated corporate expense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(172)</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(135)</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27 %</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(450)</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(439)</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985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951</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2,913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2,833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7"/>
        </w:trPr>
        <w:tc>
          <w:tcPr>
            <w:tcW w:w="4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Third quarter 2020 segment operating income increased $94 million, or 10 percent, due to higher segment operating income at all four sectors. Increased costs in the quarter as a result of additional state apportionment reserves were largely offset by lower costs for health benefits and corporate overhead. Segment operating margin rate increased to 11.5 percent principally due to higher operating margin rates at Defense Systems and Aeronautics Systems, partially offset by a lower operating margin rate at Mission Systems.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Year to date 2020 segment operating income increased $121 million, or 4 percent, primarily due to higher segment operating income at Space Systems and Mission Systems. Segment operating margin rate declined to 11.5 percent principally due to a lower segment operating margin rate at Aeronautics Systems.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FAS (service)/CAS Pension Adjustment</w:t>
      </w:r>
    </w:p>
    <w:p>
      <w:pPr>
        <w:spacing w:after="0" w:line="23" w:lineRule="exact"/>
        <w:rPr>
          <w:sz w:val="20"/>
          <w:szCs w:val="20"/>
          <w:color w:val="auto"/>
        </w:rPr>
      </w:pPr>
    </w:p>
    <w:p>
      <w:pPr>
        <w:ind w:right="760"/>
        <w:spacing w:after="0" w:line="323" w:lineRule="auto"/>
        <w:rPr>
          <w:sz w:val="20"/>
          <w:szCs w:val="20"/>
          <w:color w:val="auto"/>
        </w:rPr>
      </w:pPr>
      <w:r>
        <w:rPr>
          <w:rFonts w:ascii="Arial" w:cs="Arial" w:eastAsia="Arial" w:hAnsi="Arial"/>
          <w:sz w:val="16"/>
          <w:szCs w:val="16"/>
          <w:color w:val="auto"/>
        </w:rPr>
        <w:t>The third quarter 2020 and year to date 2020 net FAS (service)/CAS pension adjustments decreased due to changes in actuarial assumptions as of December 31, 2019 and the impact of updated demographic information recognized during the third quarter of each year.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Unallocated Corporate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The increase in third quarter 2020 unallocated corporate expense is primarily due to $50 million of higher state tax expense principally related to changes in deferred state income taxes and an increase in reserves, in part, for potential unallowable costs associated with state apportionment, partially offset by $17 million of lower intangible asset amortization and PP&amp;E step-up depreciation.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Year to date 2020 unallocated corporate expense was comparable to the prior year period and reflects $47 million of higher state tax expense principally related to changes in deferred state income taxes and an increase in reserves, in part, for potential unallowable costs associated with state apportionment and $52 million of lower intangible asset amortization and PP&amp;E step-up depreciation.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Net EAC Adjustments </w:t>
      </w:r>
      <w:r>
        <w:rPr>
          <w:rFonts w:ascii="Arial" w:cs="Arial" w:eastAsia="Arial" w:hAnsi="Arial"/>
          <w:sz w:val="18"/>
          <w:szCs w:val="18"/>
          <w:color w:val="auto"/>
        </w:rPr>
        <w:t>- We record changes in estimated contract earnings at completion (net EAC adjustments) using the cumulative catch-up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Net EAC adjustments can have a significant effect on reported sales and operating income and the aggregate amounts are presented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1920" w:type="dxa"/>
            <w:vAlign w:val="bottom"/>
            <w:gridSpan w:val="3"/>
          </w:tcPr>
          <w:p>
            <w:pPr>
              <w:jc w:val="right"/>
              <w:ind w:right="23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3"/>
          </w:tcPr>
          <w:p>
            <w:pPr>
              <w:jc w:val="right"/>
              <w:ind w:right="510"/>
              <w:spacing w:after="0"/>
              <w:rPr>
                <w:sz w:val="20"/>
                <w:szCs w:val="20"/>
                <w:color w:val="auto"/>
              </w:rPr>
            </w:pPr>
            <w:r>
              <w:rPr>
                <w:rFonts w:ascii="Arial" w:cs="Arial" w:eastAsia="Arial" w:hAnsi="Arial"/>
                <w:sz w:val="18"/>
                <w:szCs w:val="18"/>
                <w:color w:val="auto"/>
              </w:rPr>
              <w:t>September 30</w:t>
            </w:r>
          </w:p>
        </w:tc>
        <w:tc>
          <w:tcPr>
            <w:tcW w:w="280" w:type="dxa"/>
            <w:vAlign w:val="bottom"/>
          </w:tcPr>
          <w:p>
            <w:pPr>
              <w:spacing w:after="0"/>
              <w:rPr>
                <w:sz w:val="20"/>
                <w:szCs w:val="20"/>
                <w:color w:val="auto"/>
              </w:rPr>
            </w:pPr>
          </w:p>
        </w:tc>
        <w:tc>
          <w:tcPr>
            <w:tcW w:w="1920" w:type="dxa"/>
            <w:vAlign w:val="bottom"/>
            <w:gridSpan w:val="3"/>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r>
      <w:tr>
        <w:trPr>
          <w:trHeight w:val="27"/>
        </w:trPr>
        <w:tc>
          <w:tcPr>
            <w:tcW w:w="6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EAC adjustments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Unfavorable EAC adjustments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6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EAC adjustments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r>
      <w:tr>
        <w:trPr>
          <w:trHeight w:val="378"/>
        </w:trPr>
        <w:tc>
          <w:tcPr>
            <w:tcW w:w="6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EAC adjustments by segment are presented in the table below:</w:t>
            </w: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364"/>
        </w:trPr>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4"/>
                <w:szCs w:val="24"/>
                <w:color w:val="auto"/>
              </w:rPr>
            </w:pPr>
          </w:p>
        </w:tc>
        <w:tc>
          <w:tcPr>
            <w:tcW w:w="1920" w:type="dxa"/>
            <w:vAlign w:val="bottom"/>
            <w:gridSpan w:val="3"/>
          </w:tcPr>
          <w:p>
            <w:pPr>
              <w:jc w:val="right"/>
              <w:ind w:right="23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3"/>
          </w:tcPr>
          <w:p>
            <w:pPr>
              <w:jc w:val="right"/>
              <w:ind w:right="510"/>
              <w:spacing w:after="0"/>
              <w:rPr>
                <w:sz w:val="20"/>
                <w:szCs w:val="20"/>
                <w:color w:val="auto"/>
              </w:rPr>
            </w:pPr>
            <w:r>
              <w:rPr>
                <w:rFonts w:ascii="Arial" w:cs="Arial" w:eastAsia="Arial" w:hAnsi="Arial"/>
                <w:sz w:val="18"/>
                <w:szCs w:val="18"/>
                <w:color w:val="auto"/>
              </w:rPr>
              <w:t>September 30</w:t>
            </w:r>
          </w:p>
        </w:tc>
        <w:tc>
          <w:tcPr>
            <w:tcW w:w="280" w:type="dxa"/>
            <w:vAlign w:val="bottom"/>
          </w:tcPr>
          <w:p>
            <w:pPr>
              <w:spacing w:after="0"/>
              <w:rPr>
                <w:sz w:val="20"/>
                <w:szCs w:val="20"/>
                <w:color w:val="auto"/>
              </w:rPr>
            </w:pPr>
          </w:p>
        </w:tc>
        <w:tc>
          <w:tcPr>
            <w:tcW w:w="1920" w:type="dxa"/>
            <w:vAlign w:val="bottom"/>
            <w:gridSpan w:val="3"/>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7"/>
        </w:trPr>
        <w:tc>
          <w:tcPr>
            <w:tcW w:w="6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r>
      <w:tr>
        <w:trPr>
          <w:trHeight w:val="27"/>
        </w:trPr>
        <w:tc>
          <w:tcPr>
            <w:tcW w:w="6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58</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119</w:t>
            </w: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196</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6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6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EAC adjustments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123</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125</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359</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421</w:t>
            </w:r>
          </w:p>
        </w:tc>
      </w:tr>
      <w:tr>
        <w:trPr>
          <w:trHeight w:val="34"/>
        </w:trPr>
        <w:tc>
          <w:tcPr>
            <w:tcW w:w="6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purposes of the discussion in the remainder of this Segment Operating Results section, references to operating income and operating margin rate reflect segment operating income and segment operating margin rate,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2220" w:type="dxa"/>
            <w:vAlign w:val="bottom"/>
            <w:gridSpan w:val="3"/>
          </w:tcPr>
          <w:p>
            <w:pPr>
              <w:jc w:val="right"/>
              <w:ind w:right="250"/>
              <w:spacing w:after="0"/>
              <w:rPr>
                <w:sz w:val="20"/>
                <w:szCs w:val="20"/>
                <w:color w:val="auto"/>
              </w:rPr>
            </w:pPr>
            <w:r>
              <w:rPr>
                <w:rFonts w:ascii="Arial" w:cs="Arial" w:eastAsia="Arial" w:hAnsi="Arial"/>
                <w:sz w:val="18"/>
                <w:szCs w:val="18"/>
                <w:color w:val="auto"/>
              </w:rPr>
              <w:t>Three Months Ended</w:t>
            </w: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000" w:type="dxa"/>
            <w:vAlign w:val="bottom"/>
            <w:gridSpan w:val="3"/>
          </w:tcPr>
          <w:p>
            <w:pPr>
              <w:jc w:val="right"/>
              <w:ind w:right="290"/>
              <w:spacing w:after="0"/>
              <w:rPr>
                <w:sz w:val="20"/>
                <w:szCs w:val="20"/>
                <w:color w:val="auto"/>
              </w:rPr>
            </w:pPr>
            <w:r>
              <w:rPr>
                <w:rFonts w:ascii="Arial" w:cs="Arial" w:eastAsia="Arial" w:hAnsi="Arial"/>
                <w:sz w:val="18"/>
                <w:szCs w:val="18"/>
                <w:color w:val="auto"/>
              </w:rPr>
              <w:t>Nine Months Ended</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2220" w:type="dxa"/>
            <w:vAlign w:val="bottom"/>
            <w:gridSpan w:val="3"/>
          </w:tcPr>
          <w:p>
            <w:pPr>
              <w:jc w:val="right"/>
              <w:ind w:right="510"/>
              <w:spacing w:after="0"/>
              <w:rPr>
                <w:sz w:val="20"/>
                <w:szCs w:val="20"/>
                <w:color w:val="auto"/>
              </w:rPr>
            </w:pPr>
            <w:r>
              <w:rPr>
                <w:rFonts w:ascii="Arial" w:cs="Arial" w:eastAsia="Arial" w:hAnsi="Arial"/>
                <w:sz w:val="18"/>
                <w:szCs w:val="18"/>
                <w:color w:val="auto"/>
              </w:rPr>
              <w:t>September 30</w:t>
            </w:r>
          </w:p>
        </w:tc>
        <w:tc>
          <w:tcPr>
            <w:tcW w:w="13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00" w:type="dxa"/>
            <w:vAlign w:val="bottom"/>
          </w:tcPr>
          <w:p>
            <w:pPr>
              <w:jc w:val="right"/>
              <w:ind w:right="301"/>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24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1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3"/>
              </w:rPr>
              <w:t>$2,914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2,770</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8,682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8,309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ind w:right="141"/>
              <w:spacing w:after="0"/>
              <w:rPr>
                <w:sz w:val="20"/>
                <w:szCs w:val="20"/>
                <w:color w:val="auto"/>
              </w:rPr>
            </w:pPr>
            <w:r>
              <w:rPr>
                <w:rFonts w:ascii="Arial" w:cs="Arial" w:eastAsia="Arial" w:hAnsi="Arial"/>
                <w:sz w:val="18"/>
                <w:szCs w:val="18"/>
                <w:b w:val="1"/>
                <w:bCs w:val="1"/>
                <w:color w:val="auto"/>
              </w:rPr>
              <w:t>294</w:t>
            </w:r>
          </w:p>
        </w:tc>
        <w:tc>
          <w:tcPr>
            <w:tcW w:w="30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269</w:t>
            </w: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9%</w:t>
            </w:r>
          </w:p>
        </w:tc>
        <w:tc>
          <w:tcPr>
            <w:tcW w:w="2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867</w:t>
            </w:r>
          </w:p>
        </w:tc>
        <w:tc>
          <w:tcPr>
            <w:tcW w:w="28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879</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b w:val="1"/>
                <w:bCs w:val="1"/>
                <w:i w:val="1"/>
                <w:iCs w:val="1"/>
                <w:color w:val="auto"/>
              </w:rPr>
              <w:t>10.1%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9.7%</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10.0%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10.6%</w:t>
            </w: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Third quarter 2020 sales increased $144 million, or 5 percent, due to higher sales in both Manned Aircraft and Autonomous Systems. Higher volume on restricted programs, as well as E-2D and F-35 production programs, was partially offset by a COVID-19-related reduction in A350 production activity.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Year to date 2020 sales increased $373 million, or 4 percent, due to higher sales in both Manned Aircraft and Autonomous Systems. Higher volume on restricted programs, E-2D and Triton were partially offset by lower volume on the B-2 Defensive Management System (DMS) Modernization program and NATO AGS, which are both nearing completion.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ind w:right="360"/>
        <w:spacing w:after="0" w:line="323" w:lineRule="auto"/>
        <w:rPr>
          <w:sz w:val="20"/>
          <w:szCs w:val="20"/>
          <w:color w:val="auto"/>
        </w:rPr>
      </w:pPr>
      <w:r>
        <w:rPr>
          <w:rFonts w:ascii="Arial" w:cs="Arial" w:eastAsia="Arial" w:hAnsi="Arial"/>
          <w:sz w:val="16"/>
          <w:szCs w:val="16"/>
          <w:color w:val="auto"/>
        </w:rPr>
        <w:t>Third quarter 2020 operating income increased $25 million, or 9 percent, due to higher sales and a higher operating margin rate. Operating margin rate increased to 10.1 percent from 9.7 percent principally due to favorable overhead rate performance, which more than offset lower net EAC adjustments.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Year to date 2020 operating income decreased $12 million, or 1 percent, and operating margin rate decreased to 10.0 percent from 10.6 percent, principally due to lower net EAC adjustments at Autonomous Systems, partially offset by a $21 million benefit recognized in connection with the resolution of a government accounting matter.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ind w:left="40"/>
              <w:spacing w:after="0"/>
              <w:rPr>
                <w:sz w:val="20"/>
                <w:szCs w:val="20"/>
                <w:color w:val="auto"/>
              </w:rPr>
            </w:pPr>
            <w:r>
              <w:rPr>
                <w:rFonts w:ascii="Arial" w:cs="Arial" w:eastAsia="Arial" w:hAnsi="Arial"/>
                <w:sz w:val="18"/>
                <w:szCs w:val="18"/>
                <w:b w:val="1"/>
                <w:bCs w:val="1"/>
                <w:color w:val="auto"/>
              </w:rPr>
              <w:t>DEFENSE SYSTEMS</w:t>
            </w:r>
          </w:p>
        </w:tc>
        <w:tc>
          <w:tcPr>
            <w:tcW w:w="2240" w:type="dxa"/>
            <w:vAlign w:val="bottom"/>
            <w:gridSpan w:val="3"/>
          </w:tcPr>
          <w:p>
            <w:pPr>
              <w:jc w:val="right"/>
              <w:ind w:right="250"/>
              <w:spacing w:after="0"/>
              <w:rPr>
                <w:sz w:val="20"/>
                <w:szCs w:val="20"/>
                <w:color w:val="auto"/>
              </w:rPr>
            </w:pPr>
            <w:r>
              <w:rPr>
                <w:rFonts w:ascii="Arial" w:cs="Arial" w:eastAsia="Arial" w:hAnsi="Arial"/>
                <w:sz w:val="18"/>
                <w:szCs w:val="18"/>
                <w:color w:val="auto"/>
              </w:rPr>
              <w:t>Three Months Ended</w:t>
            </w:r>
          </w:p>
        </w:tc>
        <w:tc>
          <w:tcPr>
            <w:tcW w:w="13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20" w:type="dxa"/>
            <w:vAlign w:val="bottom"/>
            <w:gridSpan w:val="3"/>
          </w:tcPr>
          <w:p>
            <w:pPr>
              <w:jc w:val="right"/>
              <w:ind w:right="310"/>
              <w:spacing w:after="0"/>
              <w:rPr>
                <w:sz w:val="20"/>
                <w:szCs w:val="20"/>
                <w:color w:val="auto"/>
              </w:rPr>
            </w:pPr>
            <w:r>
              <w:rPr>
                <w:rFonts w:ascii="Arial" w:cs="Arial" w:eastAsia="Arial" w:hAnsi="Arial"/>
                <w:sz w:val="18"/>
                <w:szCs w:val="18"/>
                <w:color w:val="auto"/>
              </w:rPr>
              <w:t>Nine Months Ended</w:t>
            </w:r>
          </w:p>
        </w:tc>
        <w:tc>
          <w:tcPr>
            <w:tcW w:w="11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p>
        </w:tc>
        <w:tc>
          <w:tcPr>
            <w:tcW w:w="2240" w:type="dxa"/>
            <w:vAlign w:val="bottom"/>
            <w:gridSpan w:val="3"/>
          </w:tcPr>
          <w:p>
            <w:pPr>
              <w:jc w:val="right"/>
              <w:ind w:right="510"/>
              <w:spacing w:after="0"/>
              <w:rPr>
                <w:sz w:val="20"/>
                <w:szCs w:val="20"/>
                <w:color w:val="auto"/>
              </w:rPr>
            </w:pPr>
            <w:r>
              <w:rPr>
                <w:rFonts w:ascii="Arial" w:cs="Arial" w:eastAsia="Arial" w:hAnsi="Arial"/>
                <w:sz w:val="18"/>
                <w:szCs w:val="18"/>
                <w:color w:val="auto"/>
              </w:rPr>
              <w:t>September 30</w:t>
            </w:r>
          </w:p>
        </w:tc>
        <w:tc>
          <w:tcPr>
            <w:tcW w:w="1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20" w:type="dxa"/>
            <w:vAlign w:val="bottom"/>
          </w:tcPr>
          <w:p>
            <w:pPr>
              <w:jc w:val="right"/>
              <w:ind w:right="321"/>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b w:val="1"/>
                <w:bCs w:val="1"/>
                <w:color w:val="auto"/>
                <w:w w:val="88"/>
              </w:rPr>
              <w:t>$1,859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1,931</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  $</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5,626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5,615</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ind w:right="161"/>
              <w:spacing w:after="0"/>
              <w:rPr>
                <w:sz w:val="20"/>
                <w:szCs w:val="20"/>
                <w:color w:val="auto"/>
              </w:rPr>
            </w:pPr>
            <w:r>
              <w:rPr>
                <w:rFonts w:ascii="Arial" w:cs="Arial" w:eastAsia="Arial" w:hAnsi="Arial"/>
                <w:sz w:val="18"/>
                <w:szCs w:val="18"/>
                <w:b w:val="1"/>
                <w:bCs w:val="1"/>
                <w:color w:val="auto"/>
              </w:rPr>
              <w:t>217</w:t>
            </w:r>
          </w:p>
        </w:tc>
        <w:tc>
          <w:tcPr>
            <w:tcW w:w="28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201</w:t>
            </w: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8 %</w:t>
            </w:r>
          </w:p>
        </w:tc>
        <w:tc>
          <w:tcPr>
            <w:tcW w:w="22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632</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617</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b w:val="1"/>
                <w:bCs w:val="1"/>
                <w:i w:val="1"/>
                <w:iCs w:val="1"/>
                <w:color w:val="auto"/>
              </w:rPr>
              <w:t>11.7%</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10.4%</w:t>
            </w: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11.0%</w:t>
            </w: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Third quarter 2020 sales decreased $72 million, or 4 percent, due to lower sales in both Mission Readiness and Battle Management &amp; Missile Systems. Mission Readiness sales decreased primarily due to lower volume on the Hunter sustainment program as it nears completion. Battle Management &amp; Missile Systems sales decreased principally due to lower volume on programs nearing completion, including several small caliber ammunition programs and an international weapons program, partially offset by higher volume on the Guided Missile Launch Rocket System (GMLRS), the Advanced Anti-Radiation Guided Missile (AARGM) program and other missile products.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Year to date 2020 sales were comparable to the prior year period and reflect higher sales in Battle Management &amp; Missile Systems, partially offset by lower sales in Mission Readiness. Battle Management &amp; Missile Systems sales increased primarily due to higher volume on GMLRS, AARGM, the Counter-Rocket, Artillery and Mortar program and other missile products, partially offset by lower volume on programs nearing completion, including an international weapons program and several small caliber ammunition programs. Mission Readiness sales decreased principally due to lower volume on the Hunter sustainment program as it nears completion, partially offset by higher restricted volume.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Third quarter 2020 operating income increased $16 million, or 8 percent, due to a higher operating margin rate, partially offset by lower sales. Operating margin rate increased to 11.7 percent from 10.4 percent primarily due to improved performance on Battle Management &amp; Missile Systems programs.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Year to date 2020 operating income increased $15 million, or 2 percent, due to a higher operating margin rate. Operating margin rate increased to 11.2 percent from 11.0 percent primarily due to improved performance on Battle Management &amp; Missile Systems programs.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MISSION SYSTEMS</w:t>
            </w:r>
          </w:p>
        </w:tc>
        <w:tc>
          <w:tcPr>
            <w:tcW w:w="2240" w:type="dxa"/>
            <w:vAlign w:val="bottom"/>
            <w:gridSpan w:val="3"/>
          </w:tcPr>
          <w:p>
            <w:pPr>
              <w:jc w:val="right"/>
              <w:ind w:right="270"/>
              <w:spacing w:after="0"/>
              <w:rPr>
                <w:sz w:val="20"/>
                <w:szCs w:val="20"/>
                <w:color w:val="auto"/>
              </w:rPr>
            </w:pPr>
            <w:r>
              <w:rPr>
                <w:rFonts w:ascii="Arial" w:cs="Arial" w:eastAsia="Arial" w:hAnsi="Arial"/>
                <w:sz w:val="18"/>
                <w:szCs w:val="18"/>
                <w:color w:val="auto"/>
              </w:rPr>
              <w:t>Three Months Ended</w:t>
            </w: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20" w:type="dxa"/>
            <w:vAlign w:val="bottom"/>
            <w:gridSpan w:val="3"/>
          </w:tcPr>
          <w:p>
            <w:pPr>
              <w:jc w:val="right"/>
              <w:ind w:right="310"/>
              <w:spacing w:after="0"/>
              <w:rPr>
                <w:sz w:val="20"/>
                <w:szCs w:val="20"/>
                <w:color w:val="auto"/>
              </w:rPr>
            </w:pPr>
            <w:r>
              <w:rPr>
                <w:rFonts w:ascii="Arial" w:cs="Arial" w:eastAsia="Arial" w:hAnsi="Arial"/>
                <w:sz w:val="18"/>
                <w:szCs w:val="18"/>
                <w:color w:val="auto"/>
              </w:rPr>
              <w:t>Nine Months Ended</w:t>
            </w:r>
          </w:p>
        </w:tc>
        <w:tc>
          <w:tcPr>
            <w:tcW w:w="11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p>
        </w:tc>
        <w:tc>
          <w:tcPr>
            <w:tcW w:w="224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3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00" w:type="dxa"/>
            <w:vAlign w:val="bottom"/>
          </w:tcPr>
          <w:p>
            <w:pPr>
              <w:jc w:val="right"/>
              <w:ind w:right="321"/>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1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3"/>
              </w:rPr>
              <w:t>$2,551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2,310</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7,344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6,924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ind w:right="141"/>
              <w:spacing w:after="0"/>
              <w:rPr>
                <w:sz w:val="20"/>
                <w:szCs w:val="20"/>
                <w:color w:val="auto"/>
              </w:rPr>
            </w:pPr>
            <w:r>
              <w:rPr>
                <w:rFonts w:ascii="Arial" w:cs="Arial" w:eastAsia="Arial" w:hAnsi="Arial"/>
                <w:sz w:val="18"/>
                <w:szCs w:val="18"/>
                <w:b w:val="1"/>
                <w:bCs w:val="1"/>
                <w:color w:val="auto"/>
              </w:rPr>
              <w:t>370</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351</w:t>
            </w: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1,070</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1,012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b w:val="1"/>
                <w:bCs w:val="1"/>
                <w:i w:val="1"/>
                <w:iCs w:val="1"/>
                <w:color w:val="auto"/>
              </w:rPr>
              <w:t>14.5%</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15.2%</w:t>
            </w: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14.6%</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14.6%</w:t>
            </w: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Third quarter 2020 sales increased $241 million, or 10 percent, due to higher volume in all four business areas. Airborne Sensors &amp; Networks sales increased primarily due to higher airborne radar volume, including on the Multi-role Electronically Scanned Array (MESA) and F-35 programs. Navigation, Targeting &amp; Survivability sales increased principally due to higher volume on self-protection programs and targeting systems, including the LITENING program. Maritime/Land Systems &amp; Sensors sales increased primarily due to higher volume on marine systems programs and the Ground/Air Task Oriented Radar (G/ATOR) program. Cyber &amp; Intelligence Mission Solutions sales increased principally due to higher restricted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Year to date 2020 sales increased $420 million, or 6 percent, primarily due to higher volume on Airborne Sensors &amp; Networks, Maritime/Land Systems &amp; Sensors and Navigation, and Targeting &amp; Survivability programs, partially offset by lower volume on Cyber &amp; Intelligence Mission Solutions programs. Airborne Sensors &amp; Networks sales increased principally due to higher airborne radar volume, including on the F-35, MESA and Scalable Agile Beam</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Radar (SABR) programs. Maritime/Land Systems &amp; Sensors sales increased primarily due to higher volume on marine systems and restricted programs, partially offset by lower international volume due, in part, to COVID-19-related impacts. Navigation, Targeting &amp; Survivability sales increased principally due to higher volume on self-protection, avionics and targeting programs, partially offset by lower volume on infrared countermeasures programs. Cyber &amp; Intelligence Mission Solutions sales decreased principally due to lower volume on an intelligence program as it nears completion, partially offset by higher restricted volume.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Third quarter 2020 operating income increased $19 million, or 5 percent, due to higher sales, partially offset by a lower operating margin rate. Operating margin rate decreased to 14.5 percent from 15.2 percent primarily due to timing of net EAC adjustments on Airborne Sensors &amp; Networks programs and changes in contract mix on Navigation, Targeting &amp; Survivability programs, partially offset by improved performance on Maritime/Land Systems &amp; Sensors.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Year to date 2020 operating income increased $58 million, or 6 percent, due to higher sales. Operating margin rate of 14.6 percent was comparable with the prior year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SPACE SYSTEMS</w:t>
            </w:r>
          </w:p>
        </w:tc>
        <w:tc>
          <w:tcPr>
            <w:tcW w:w="2240" w:type="dxa"/>
            <w:vAlign w:val="bottom"/>
            <w:gridSpan w:val="3"/>
          </w:tcPr>
          <w:p>
            <w:pPr>
              <w:jc w:val="right"/>
              <w:ind w:right="270"/>
              <w:spacing w:after="0"/>
              <w:rPr>
                <w:sz w:val="20"/>
                <w:szCs w:val="20"/>
                <w:color w:val="auto"/>
              </w:rPr>
            </w:pPr>
            <w:r>
              <w:rPr>
                <w:rFonts w:ascii="Arial" w:cs="Arial" w:eastAsia="Arial" w:hAnsi="Arial"/>
                <w:sz w:val="18"/>
                <w:szCs w:val="18"/>
                <w:color w:val="auto"/>
              </w:rPr>
              <w:t>Three Months Ended</w:t>
            </w:r>
          </w:p>
        </w:tc>
        <w:tc>
          <w:tcPr>
            <w:tcW w:w="13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20" w:type="dxa"/>
            <w:vAlign w:val="bottom"/>
            <w:gridSpan w:val="3"/>
          </w:tcPr>
          <w:p>
            <w:pPr>
              <w:jc w:val="right"/>
              <w:ind w:right="310"/>
              <w:spacing w:after="0"/>
              <w:rPr>
                <w:sz w:val="20"/>
                <w:szCs w:val="20"/>
                <w:color w:val="auto"/>
              </w:rPr>
            </w:pPr>
            <w:r>
              <w:rPr>
                <w:rFonts w:ascii="Arial" w:cs="Arial" w:eastAsia="Arial" w:hAnsi="Arial"/>
                <w:sz w:val="18"/>
                <w:szCs w:val="18"/>
                <w:color w:val="auto"/>
              </w:rPr>
              <w:t>Nine Months Ended</w:t>
            </w:r>
          </w:p>
        </w:tc>
        <w:tc>
          <w:tcPr>
            <w:tcW w:w="11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p>
        </w:tc>
        <w:tc>
          <w:tcPr>
            <w:tcW w:w="224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3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right"/>
              <w:ind w:right="530"/>
              <w:spacing w:after="0"/>
              <w:rPr>
                <w:sz w:val="20"/>
                <w:szCs w:val="20"/>
                <w:color w:val="auto"/>
              </w:rPr>
            </w:pPr>
            <w:r>
              <w:rPr>
                <w:rFonts w:ascii="Arial" w:cs="Arial" w:eastAsia="Arial" w:hAnsi="Arial"/>
                <w:sz w:val="18"/>
                <w:szCs w:val="18"/>
                <w:color w:val="auto"/>
              </w:rPr>
              <w:t>September 30</w:t>
            </w: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100" w:type="dxa"/>
            <w:vAlign w:val="bottom"/>
          </w:tcPr>
          <w:p>
            <w:pPr>
              <w:jc w:val="right"/>
              <w:ind w:right="321"/>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1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93"/>
              </w:rPr>
              <w:t>$2,198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1,885</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6,194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5,474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ind w:right="141"/>
              <w:spacing w:after="0"/>
              <w:rPr>
                <w:sz w:val="20"/>
                <w:szCs w:val="20"/>
                <w:color w:val="auto"/>
              </w:rPr>
            </w:pPr>
            <w:r>
              <w:rPr>
                <w:rFonts w:ascii="Arial" w:cs="Arial" w:eastAsia="Arial" w:hAnsi="Arial"/>
                <w:sz w:val="18"/>
                <w:szCs w:val="18"/>
                <w:b w:val="1"/>
                <w:bCs w:val="1"/>
                <w:color w:val="auto"/>
              </w:rPr>
              <w:t>224</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191</w:t>
            </w: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635</w:t>
            </w:r>
          </w:p>
        </w:tc>
        <w:tc>
          <w:tcPr>
            <w:tcW w:w="30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574</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rate</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b w:val="1"/>
                <w:bCs w:val="1"/>
                <w:i w:val="1"/>
                <w:iCs w:val="1"/>
                <w:color w:val="auto"/>
              </w:rPr>
              <w:t>10.2%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10.1%</w:t>
            </w: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10.3%</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10.5%</w:t>
            </w: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Third quarter 2020 sales increased $313 million, or 17 percent, due to higher sales in both Space and Launch &amp; Strategic Missiles. Space sales were driven by higher volume on restricted programs, Next Generation Overhead Persistent Infrared (Next Gen OPIR) and NASA Artemis programs. Launch &amp; Strategic Missiles sales reflect higher volume on launch vehicles and hypersonics programs, partially offset by lower volume on the Commercial Resupply Service (CRS) missions.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Year to date 2020 sales increased $720 million, or 13 percent, due to higher sales in both Space and Launch &amp; Strategic Missiles. Space sales were driven by higher volume on restricted programs, Next Gen OPIR and NASA Artemis programs. Launch &amp; Strategic Missiles sales reflect higher volume on launch vehicles and hypersonics programs, partially offset by lower volume on the Ground-based Midcourse Defense program.</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Third quarter 2020 operating income increased $33 million, or 17 percent, due to higher sales. Operating margin rate of 10.2 percent was comparable to the prior year period.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Year to date 2020 operating income increased $61 million, or 11 percent, due to higher sales, partially offset by a lower operating margin rate. Operating margin rate decreased to 10.3 percent from 10.5 percent principally due to lower net EAC adjustments.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product and service sales and operating costs and expenses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gridSpan w:val="6"/>
          </w:tcPr>
          <w:p>
            <w:pPr>
              <w:jc w:val="right"/>
              <w:ind w:right="670"/>
              <w:spacing w:after="0"/>
              <w:rPr>
                <w:sz w:val="20"/>
                <w:szCs w:val="20"/>
                <w:color w:val="auto"/>
              </w:rPr>
            </w:pPr>
            <w:r>
              <w:rPr>
                <w:rFonts w:ascii="Arial" w:cs="Arial" w:eastAsia="Arial" w:hAnsi="Arial"/>
                <w:sz w:val="18"/>
                <w:szCs w:val="18"/>
                <w:color w:val="auto"/>
                <w:w w:val="89"/>
              </w:rPr>
              <w:t>Three Months Ended September 30</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320" w:type="dxa"/>
            <w:vAlign w:val="bottom"/>
            <w:gridSpan w:val="6"/>
          </w:tcPr>
          <w:p>
            <w:pPr>
              <w:jc w:val="right"/>
              <w:ind w:right="710"/>
              <w:spacing w:after="0"/>
              <w:rPr>
                <w:sz w:val="20"/>
                <w:szCs w:val="20"/>
                <w:color w:val="auto"/>
              </w:rPr>
            </w:pPr>
            <w:r>
              <w:rPr>
                <w:rFonts w:ascii="Arial" w:cs="Arial" w:eastAsia="Arial" w:hAnsi="Arial"/>
                <w:sz w:val="18"/>
                <w:szCs w:val="18"/>
                <w:color w:val="auto"/>
                <w:w w:val="90"/>
              </w:rPr>
              <w:t>Nine Months Ended September 30</w:t>
            </w:r>
          </w:p>
        </w:tc>
      </w:tr>
      <w:tr>
        <w:trPr>
          <w:trHeight w:val="27"/>
        </w:trPr>
        <w:tc>
          <w:tcPr>
            <w:tcW w:w="2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gridSpan w:val="2"/>
          </w:tcPr>
          <w:p>
            <w:pPr>
              <w:jc w:val="right"/>
              <w:ind w:right="750"/>
              <w:spacing w:after="0"/>
              <w:rPr>
                <w:sz w:val="20"/>
                <w:szCs w:val="20"/>
                <w:color w:val="auto"/>
              </w:rPr>
            </w:pPr>
            <w:r>
              <w:rPr>
                <w:rFonts w:ascii="Arial" w:cs="Arial" w:eastAsia="Arial" w:hAnsi="Arial"/>
                <w:sz w:val="18"/>
                <w:szCs w:val="18"/>
                <w:color w:val="auto"/>
                <w:w w:val="89"/>
              </w:rPr>
              <w:t>2019</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tcPr>
          <w:p>
            <w:pPr>
              <w:jc w:val="right"/>
              <w:ind w:right="730"/>
              <w:spacing w:after="0"/>
              <w:rPr>
                <w:sz w:val="20"/>
                <w:szCs w:val="20"/>
                <w:color w:val="auto"/>
              </w:rPr>
            </w:pPr>
            <w:r>
              <w:rPr>
                <w:rFonts w:ascii="Arial" w:cs="Arial" w:eastAsia="Arial" w:hAnsi="Arial"/>
                <w:sz w:val="18"/>
                <w:szCs w:val="18"/>
                <w:color w:val="auto"/>
                <w:w w:val="89"/>
              </w:rPr>
              <w:t>2019</w:t>
            </w:r>
          </w:p>
        </w:tc>
      </w:tr>
      <w:tr>
        <w:trPr>
          <w:trHeight w:val="27"/>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Operating</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Operating</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Operating</w:t>
            </w:r>
          </w:p>
        </w:tc>
      </w:tr>
      <w:tr>
        <w:trPr>
          <w:trHeight w:val="216"/>
        </w:trPr>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Costs and</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Costs and</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Costs and</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8"/>
                <w:szCs w:val="18"/>
                <w:color w:val="auto"/>
              </w:rPr>
              <w:t>Costs and</w:t>
            </w:r>
          </w:p>
        </w:tc>
      </w:tr>
      <w:tr>
        <w:trPr>
          <w:trHeight w:val="234"/>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Segment Information:</w:t>
            </w:r>
          </w:p>
        </w:tc>
        <w:tc>
          <w:tcPr>
            <w:tcW w:w="16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Sales</w:t>
            </w:r>
          </w:p>
        </w:tc>
        <w:tc>
          <w:tcPr>
            <w:tcW w:w="24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Expenses</w:t>
            </w:r>
          </w:p>
        </w:tc>
        <w:tc>
          <w:tcPr>
            <w:tcW w:w="24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Sales</w:t>
            </w:r>
          </w:p>
        </w:tc>
        <w:tc>
          <w:tcPr>
            <w:tcW w:w="24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Sales</w:t>
            </w:r>
          </w:p>
        </w:tc>
        <w:tc>
          <w:tcPr>
            <w:tcW w:w="240" w:type="dxa"/>
            <w:vAlign w:val="bottom"/>
          </w:tcPr>
          <w:p>
            <w:pPr>
              <w:spacing w:after="0"/>
              <w:rPr>
                <w:sz w:val="20"/>
                <w:szCs w:val="20"/>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Expenses</w:t>
            </w:r>
          </w:p>
        </w:tc>
        <w:tc>
          <w:tcPr>
            <w:tcW w:w="20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Sales</w:t>
            </w:r>
          </w:p>
        </w:tc>
        <w:tc>
          <w:tcPr>
            <w:tcW w:w="240" w:type="dxa"/>
            <w:vAlign w:val="bottom"/>
          </w:tcPr>
          <w:p>
            <w:pPr>
              <w:spacing w:after="0"/>
              <w:rPr>
                <w:sz w:val="20"/>
                <w:szCs w:val="20"/>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rPr>
              <w:t>Expenses</w:t>
            </w:r>
          </w:p>
        </w:tc>
      </w:tr>
      <w:tr>
        <w:trPr>
          <w:trHeight w:val="27"/>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Aeronautics Systems</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9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2,469</w:t>
            </w:r>
          </w:p>
        </w:tc>
        <w:tc>
          <w:tcPr>
            <w:tcW w:w="2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2,100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7,390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6,677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6,310</w:t>
            </w:r>
          </w:p>
        </w:tc>
      </w:tr>
      <w:tr>
        <w:trPr>
          <w:trHeight w:val="27"/>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1,207</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1,062</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r>
      <w:tr>
        <w:trPr>
          <w:trHeight w:val="243"/>
        </w:trPr>
        <w:tc>
          <w:tcPr>
            <w:tcW w:w="2940" w:type="dxa"/>
            <w:vAlign w:val="bottom"/>
          </w:tcPr>
          <w:p>
            <w:pPr>
              <w:ind w:left="280"/>
              <w:spacing w:after="0"/>
              <w:rPr>
                <w:sz w:val="20"/>
                <w:szCs w:val="20"/>
                <w:color w:val="auto"/>
              </w:rPr>
            </w:pPr>
            <w:r>
              <w:rPr>
                <w:rFonts w:ascii="Arial" w:cs="Arial" w:eastAsia="Arial" w:hAnsi="Arial"/>
                <w:sz w:val="18"/>
                <w:szCs w:val="18"/>
                <w:color w:val="auto"/>
              </w:rPr>
              <w:t>Intersegment eliminations</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76</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Aeronautics Systems</w:t>
            </w: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2,914</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2,620</w:t>
            </w: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2,501</w:t>
            </w: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8,682</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7,815</w:t>
            </w:r>
          </w:p>
        </w:tc>
        <w:tc>
          <w:tcPr>
            <w:tcW w:w="200" w:type="dxa"/>
            <w:vAlign w:val="bottom"/>
            <w:tcBorders>
              <w:bottom w:val="single" w:sz="8" w:color="BFE4FF"/>
            </w:tcBorders>
            <w:shd w:val="clear" w:color="auto" w:fill="BFE4FF"/>
          </w:tcPr>
          <w:p>
            <w:pPr>
              <w:spacing w:after="0"/>
              <w:rPr>
                <w:sz w:val="22"/>
                <w:szCs w:val="22"/>
                <w:color w:val="auto"/>
              </w:rPr>
            </w:pPr>
          </w:p>
        </w:tc>
        <w:tc>
          <w:tcPr>
            <w:tcW w:w="6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8,309</w:t>
            </w:r>
          </w:p>
        </w:tc>
        <w:tc>
          <w:tcPr>
            <w:tcW w:w="240" w:type="dxa"/>
            <w:vAlign w:val="bottom"/>
            <w:tcBorders>
              <w:bottom w:val="single" w:sz="8" w:color="BFE4FF"/>
            </w:tcBorders>
            <w:shd w:val="clear" w:color="auto" w:fill="BFE4FF"/>
          </w:tcPr>
          <w:p>
            <w:pPr>
              <w:spacing w:after="0"/>
              <w:rPr>
                <w:sz w:val="22"/>
                <w:szCs w:val="22"/>
                <w:color w:val="auto"/>
              </w:rPr>
            </w:pPr>
          </w:p>
        </w:tc>
        <w:tc>
          <w:tcPr>
            <w:tcW w:w="9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7,430</w:t>
            </w:r>
          </w:p>
        </w:tc>
      </w:tr>
      <w:tr>
        <w:trPr>
          <w:trHeight w:val="237"/>
        </w:trPr>
        <w:tc>
          <w:tcPr>
            <w:tcW w:w="2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Defense Systems</w:t>
            </w: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2,258</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2,041</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w:t>
            </w:r>
          </w:p>
        </w:tc>
      </w:tr>
      <w:tr>
        <w:trPr>
          <w:trHeight w:val="243"/>
        </w:trPr>
        <w:tc>
          <w:tcPr>
            <w:tcW w:w="2940" w:type="dxa"/>
            <w:vAlign w:val="bottom"/>
          </w:tcPr>
          <w:p>
            <w:pPr>
              <w:ind w:left="28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933</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812</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883</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2,826</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2,469</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3,055</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2,672</w:t>
            </w:r>
          </w:p>
        </w:tc>
      </w:tr>
      <w:tr>
        <w:trPr>
          <w:trHeight w:val="27"/>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484</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r>
      <w:tr>
        <w:trPr>
          <w:trHeight w:val="237"/>
        </w:trPr>
        <w:tc>
          <w:tcPr>
            <w:tcW w:w="2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Defense Systems</w:t>
            </w: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1,859</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1,642</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1,730</w:t>
            </w: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5,626</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4,994</w:t>
            </w: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4,998</w:t>
            </w:r>
          </w:p>
        </w:tc>
      </w:tr>
      <w:tr>
        <w:trPr>
          <w:trHeight w:val="27"/>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Mission Systems</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940" w:type="dxa"/>
            <w:vAlign w:val="bottom"/>
          </w:tcPr>
          <w:p>
            <w:pPr>
              <w:ind w:left="280"/>
              <w:spacing w:after="0"/>
              <w:rPr>
                <w:sz w:val="20"/>
                <w:szCs w:val="20"/>
                <w:color w:val="auto"/>
              </w:rPr>
            </w:pPr>
            <w:r>
              <w:rPr>
                <w:rFonts w:ascii="Arial" w:cs="Arial" w:eastAsia="Arial" w:hAnsi="Arial"/>
                <w:sz w:val="18"/>
                <w:szCs w:val="18"/>
                <w:color w:val="auto"/>
              </w:rPr>
              <w:t>Product</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1,735</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1,506</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1,450</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1,218</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4,889</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4,168</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4,406</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3,710</w:t>
            </w:r>
          </w:p>
        </w:tc>
      </w:tr>
      <w:tr>
        <w:trPr>
          <w:trHeight w:val="27"/>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1,902</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1,635</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1,739</w:t>
            </w:r>
          </w:p>
        </w:tc>
      </w:tr>
      <w:tr>
        <w:trPr>
          <w:trHeight w:val="243"/>
        </w:trPr>
        <w:tc>
          <w:tcPr>
            <w:tcW w:w="2940" w:type="dxa"/>
            <w:vAlign w:val="bottom"/>
          </w:tcPr>
          <w:p>
            <w:pPr>
              <w:ind w:left="280"/>
              <w:spacing w:after="0"/>
              <w:rPr>
                <w:sz w:val="20"/>
                <w:szCs w:val="20"/>
                <w:color w:val="auto"/>
              </w:rPr>
            </w:pPr>
            <w:r>
              <w:rPr>
                <w:rFonts w:ascii="Arial" w:cs="Arial" w:eastAsia="Arial" w:hAnsi="Arial"/>
                <w:sz w:val="18"/>
                <w:szCs w:val="18"/>
                <w:color w:val="auto"/>
              </w:rPr>
              <w:t>Intersegment eliminations</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553</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471</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7"/>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Mission Systems</w:t>
            </w: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2,551</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2,181</w:t>
            </w: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1,959</w:t>
            </w: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7,344</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6,274</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5,912</w:t>
            </w:r>
          </w:p>
        </w:tc>
      </w:tr>
      <w:tr>
        <w:trPr>
          <w:trHeight w:val="237"/>
        </w:trPr>
        <w:tc>
          <w:tcPr>
            <w:tcW w:w="29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Space Systems</w:t>
            </w: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1,550</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4,788</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4,277</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w:t>
            </w:r>
          </w:p>
        </w:tc>
      </w:tr>
      <w:tr>
        <w:trPr>
          <w:trHeight w:val="243"/>
        </w:trPr>
        <w:tc>
          <w:tcPr>
            <w:tcW w:w="2940" w:type="dxa"/>
            <w:vAlign w:val="bottom"/>
          </w:tcPr>
          <w:p>
            <w:pPr>
              <w:ind w:left="28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445</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1,327</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1,211</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1,277</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1,167</w:t>
            </w:r>
          </w:p>
        </w:tc>
      </w:tr>
      <w:tr>
        <w:trPr>
          <w:trHeight w:val="27"/>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37"/>
        </w:trPr>
        <w:tc>
          <w:tcPr>
            <w:tcW w:w="2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Space Systems</w:t>
            </w: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2,198</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1,974</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1,694</w:t>
            </w: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6,194</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5,559</w:t>
            </w: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5,474</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4,900</w:t>
            </w:r>
          </w:p>
        </w:tc>
      </w:tr>
      <w:tr>
        <w:trPr>
          <w:trHeight w:val="27"/>
        </w:trPr>
        <w:tc>
          <w:tcPr>
            <w:tcW w:w="2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Totals</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2940" w:type="dxa"/>
            <w:vAlign w:val="bottom"/>
          </w:tcPr>
          <w:p>
            <w:pPr>
              <w:ind w:left="280"/>
              <w:spacing w:after="0"/>
              <w:rPr>
                <w:sz w:val="20"/>
                <w:szCs w:val="20"/>
                <w:color w:val="auto"/>
              </w:rPr>
            </w:pPr>
            <w:r>
              <w:rPr>
                <w:rFonts w:ascii="Arial" w:cs="Arial" w:eastAsia="Arial" w:hAnsi="Arial"/>
                <w:sz w:val="18"/>
                <w:szCs w:val="18"/>
                <w:color w:val="auto"/>
              </w:rPr>
              <w:t>Total Product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6,667</w:t>
            </w:r>
          </w:p>
        </w:tc>
        <w:tc>
          <w:tcPr>
            <w:tcW w:w="24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5,349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19,325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17,163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17,605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15,564</w:t>
            </w:r>
          </w:p>
        </w:tc>
      </w:tr>
      <w:tr>
        <w:trPr>
          <w:trHeight w:val="27"/>
        </w:trPr>
        <w:tc>
          <w:tcPr>
            <w:tcW w:w="2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Service</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2,416</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2,086</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2,171</w:t>
            </w: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7,262</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6,377</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6,630</w:t>
            </w:r>
          </w:p>
        </w:tc>
      </w:tr>
      <w:tr>
        <w:trPr>
          <w:trHeight w:val="270"/>
        </w:trPr>
        <w:tc>
          <w:tcPr>
            <w:tcW w:w="2940" w:type="dxa"/>
            <w:vAlign w:val="bottom"/>
            <w:tcBorders>
              <w:top w:val="single" w:sz="8" w:color="auto"/>
              <w:bottom w:val="single" w:sz="8" w:color="auto"/>
            </w:tcBorders>
          </w:tcPr>
          <w:p>
            <w:pPr>
              <w:ind w:left="40"/>
              <w:spacing w:after="0" w:line="263" w:lineRule="exact"/>
              <w:rPr>
                <w:sz w:val="20"/>
                <w:szCs w:val="20"/>
                <w:color w:val="auto"/>
              </w:rPr>
            </w:pPr>
            <w:r>
              <w:rPr>
                <w:rFonts w:ascii="Arial" w:cs="Arial" w:eastAsia="Arial" w:hAnsi="Arial"/>
                <w:sz w:val="18"/>
                <w:szCs w:val="18"/>
                <w:b w:val="1"/>
                <w:bCs w:val="1"/>
                <w:color w:val="auto"/>
              </w:rPr>
              <w:t>Total Segment</w:t>
            </w:r>
            <w:r>
              <w:rPr>
                <w:rFonts w:ascii="Arial" w:cs="Arial" w:eastAsia="Arial" w:hAnsi="Arial"/>
                <w:sz w:val="25"/>
                <w:szCs w:val="25"/>
                <w:b w:val="1"/>
                <w:bCs w:val="1"/>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9,083</w:t>
            </w:r>
          </w:p>
        </w:tc>
        <w:tc>
          <w:tcPr>
            <w:tcW w:w="2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7,520</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26,587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23,540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22,194</w:t>
            </w:r>
          </w:p>
        </w:tc>
      </w:tr>
    </w:tbl>
    <w:p>
      <w:pPr>
        <w:spacing w:after="0" w:line="11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A reconciliation of segment operating income to total operating income is included in “Segment Operating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and Costs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Quarter</w:t>
      </w:r>
    </w:p>
    <w:p>
      <w:pPr>
        <w:spacing w:after="0" w:line="9" w:lineRule="exact"/>
        <w:rPr>
          <w:sz w:val="20"/>
          <w:szCs w:val="20"/>
          <w:color w:val="auto"/>
        </w:rPr>
      </w:pPr>
    </w:p>
    <w:p>
      <w:pPr>
        <w:jc w:val="both"/>
        <w:ind w:right="640"/>
        <w:spacing w:after="0" w:line="255" w:lineRule="auto"/>
        <w:rPr>
          <w:sz w:val="20"/>
          <w:szCs w:val="20"/>
          <w:color w:val="auto"/>
        </w:rPr>
      </w:pPr>
      <w:r>
        <w:rPr>
          <w:rFonts w:ascii="Arial" w:cs="Arial" w:eastAsia="Arial" w:hAnsi="Arial"/>
          <w:sz w:val="18"/>
          <w:szCs w:val="18"/>
          <w:color w:val="auto"/>
        </w:rPr>
        <w:t>Third quarter 2020 product sales increased $670 million, or 11 percent, primarily due to higher product sales at all four sectors, including restricted programs and Next Gen OPIR at Space Systems, restricted programs at Aeronautics Systems and restricted and airborne radar programs at Mission Systems.</w:t>
      </w:r>
    </w:p>
    <w:p>
      <w:pPr>
        <w:spacing w:after="0" w:line="55" w:lineRule="exact"/>
        <w:rPr>
          <w:sz w:val="20"/>
          <w:szCs w:val="20"/>
          <w:color w:val="auto"/>
        </w:rPr>
      </w:pPr>
    </w:p>
    <w:p>
      <w:pPr>
        <w:ind w:right="1960"/>
        <w:spacing w:after="0" w:line="305" w:lineRule="auto"/>
        <w:rPr>
          <w:sz w:val="20"/>
          <w:szCs w:val="20"/>
          <w:color w:val="auto"/>
        </w:rPr>
      </w:pPr>
      <w:r>
        <w:rPr>
          <w:rFonts w:ascii="Arial" w:cs="Arial" w:eastAsia="Arial" w:hAnsi="Arial"/>
          <w:sz w:val="18"/>
          <w:szCs w:val="18"/>
          <w:color w:val="auto"/>
        </w:rPr>
        <w:t xml:space="preserve">Third quarter 2020 product costs increased $599 million, or 11 percent, consistent with the higher product sales described above. </w:t>
      </w:r>
      <w:r>
        <w:rPr>
          <w:rFonts w:ascii="Arial" w:cs="Arial" w:eastAsia="Arial" w:hAnsi="Arial"/>
          <w:sz w:val="18"/>
          <w:szCs w:val="18"/>
          <w:i w:val="1"/>
          <w:iCs w:val="1"/>
          <w:color w:val="auto"/>
        </w:rPr>
        <w:t>Year to Date</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Year to date 2020 product sales increased $1.7 billion, or 10 percent, principally due to higher product sales at all four sectors, including restricted programs and Next Gen OPIR at Space Systems, restricted programs at Aeronautics Systems, restricted and airborne radar programs at Mission Systems and GMLRS, AARGM and other missile products at Defense Systems.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2020 product costs increased $1.6 billion, or 10 percent, consistent with the higher product sales described above.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Sales and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Current </w:t>
      </w:r>
      <w:r>
        <w:rPr>
          <w:rFonts w:ascii="Arial" w:cs="Arial" w:eastAsia="Arial" w:hAnsi="Arial"/>
          <w:sz w:val="18"/>
          <w:szCs w:val="18"/>
          <w:color w:val="auto"/>
        </w:rPr>
        <w:t>Quarter</w:t>
      </w:r>
    </w:p>
    <w:p>
      <w:pPr>
        <w:spacing w:after="0" w:line="9"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Third quarter 2020 service sales decreased $62 million, or 3 percent, primarily due to lower service sales on the Hunter sustainment program as it nears completion as well as a shift toward more product content in the lifecycle of several programs at Defense Systems.</w:t>
      </w:r>
    </w:p>
    <w:p>
      <w:pPr>
        <w:spacing w:after="0" w:line="5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Third quarter 2020 service costs decreased $85 million, or 4 percent, consistent with the lower service sales described above and reflects higher service margins at Mission Systems and Space Systems.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to Date</w:t>
      </w:r>
    </w:p>
    <w:p>
      <w:pPr>
        <w:spacing w:after="0" w:line="2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Year to date 2020 service sales decreased $253 million, or 3 percent, primarily due lower service sales at Defense Systems principally due to a shift toward more product content in the lifecycle of several programs and lower volume on the Hunter sustainment program.</w:t>
      </w:r>
    </w:p>
    <w:p>
      <w:pPr>
        <w:spacing w:after="0" w:line="5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Year to date 2020 service costs decreased $253 million, or 4 percent, consistent with the lower service sales described above and reflects a higher service margin at Mission Systems, partially offset by a lower service margin at Aeronautics Systems.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Backlog consisted of the following as of September 30, 2020 and December 31,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89"/>
              </w:rPr>
              <w:t>September 30, 2020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31,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0" w:type="dxa"/>
            <w:vAlign w:val="bottom"/>
            <w:gridSpan w:val="3"/>
            <w:vMerge w:val="continue"/>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Total</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234"/>
        </w:trPr>
        <w:tc>
          <w:tcPr>
            <w:tcW w:w="472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Funded</w:t>
            </w:r>
          </w:p>
        </w:tc>
        <w:tc>
          <w:tcPr>
            <w:tcW w:w="34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Unfunded</w:t>
            </w:r>
          </w:p>
        </w:tc>
        <w:tc>
          <w:tcPr>
            <w:tcW w:w="2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Backlog</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Backlog</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Aeronautics Systems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11,802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6,793</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1,350</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8,143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8,481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Mission Systems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4,185</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Space Systems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5,066</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30,620</w:t>
            </w:r>
          </w:p>
        </w:tc>
        <w:tc>
          <w:tcPr>
            <w:tcW w:w="2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35,686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16,112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121 %</w:t>
            </w:r>
          </w:p>
        </w:tc>
        <w:tc>
          <w:tcPr>
            <w:tcW w:w="0" w:type="dxa"/>
            <w:vAlign w:val="bottom"/>
          </w:tcPr>
          <w:p>
            <w:pPr>
              <w:spacing w:after="0"/>
              <w:rPr>
                <w:sz w:val="1"/>
                <w:szCs w:val="1"/>
                <w:color w:val="auto"/>
              </w:rPr>
            </w:pPr>
          </w:p>
        </w:tc>
      </w:tr>
      <w:tr>
        <w:trPr>
          <w:trHeight w:val="27"/>
        </w:trPr>
        <w:tc>
          <w:tcPr>
            <w:tcW w:w="4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33,340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47,915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25 %</w:t>
            </w:r>
          </w:p>
        </w:tc>
        <w:tc>
          <w:tcPr>
            <w:tcW w:w="0" w:type="dxa"/>
            <w:vAlign w:val="bottom"/>
          </w:tcPr>
          <w:p>
            <w:pPr>
              <w:spacing w:after="0"/>
              <w:rPr>
                <w:sz w:val="1"/>
                <w:szCs w:val="1"/>
                <w:color w:val="auto"/>
              </w:rPr>
            </w:pPr>
          </w:p>
        </w:tc>
      </w:tr>
      <w:tr>
        <w:trPr>
          <w:trHeight w:val="27"/>
        </w:trPr>
        <w:tc>
          <w:tcPr>
            <w:tcW w:w="4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Awards</w:t>
      </w:r>
    </w:p>
    <w:p>
      <w:pPr>
        <w:spacing w:after="0" w:line="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Third quarter and year to date 2020 net awards totaled $20.3 billion and $43.0 billion, respectively, and backlog increased to $81.3 billion. Significant third quarter new awards include $13.3 billion for the Ground Based Strategic Deterrent EMD program, $1.9 billion for restricted programs and $0.9 billion for F-35.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endeavor to ensure efficient conversion of operating income into cash and to increase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September 30, 2020, we had $5.0 billion in cash and cash equivalents. In March 2020, we issued $2.25 billion of unsecured senior notes to help preserve financial flexibility in light of uncertainty resulting from the COVID-19 pandemic. We intend to use those proceeds for general corporate purposes, which may include debt repayment and working capital. In April 2020, we entered into a one-year $500 million uncommitted credit facility to provide an additional source of potential financing. On October 15, 2020, the company repaid $1.0 billion of unsecured senior notes upon maturity.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Coronavirus Aid, Relief, and Economic Security Act (the “CARES Act”) established a program with provisions to allow U.S. companies to defer the employer’s portion of social security taxes between March 27, 2020 and December 31, 2020 and pay such taxes in two installments in 2021 and 2022. Under Section 3610, the CARES Act also authorized the government to reimburse qualifying contractors for certain costs of providing paid leave to employees as a result of COVID-19. The company has begun to seek, and anticipates continuing to seek, recovery for certain COVID-19-related costs under Section 3610 of the CARES Act and through our contract provisions. In addition, the U.S. Department of Defense (DoD) has, to date, taken steps to increase the rate for certain progress payments from 80 percent to 90 percent for costs incurred and work performed on relevant contracts. We believe these actions should continue to mitigate some COVID-19-related negative impacts to our operating cash flows during the fourth quarter.</w:t>
      </w:r>
    </w:p>
    <w:p>
      <w:pPr>
        <w:spacing w:after="0" w:line="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Cash and cash equivalents and cash generated from operating activities, supplemented by borrowings under credit facilities, commercial paper and/or in the capital markets, if needed, are expected to be sufficient to fund our operations for at least the next 12 months.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key components of cash flow provided by operating activities: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3"/>
          </w:tcPr>
          <w:p>
            <w:pPr>
              <w:jc w:val="right"/>
              <w:ind w:right="250"/>
              <w:spacing w:after="0"/>
              <w:rPr>
                <w:sz w:val="20"/>
                <w:szCs w:val="20"/>
                <w:color w:val="auto"/>
              </w:rPr>
            </w:pPr>
            <w:r>
              <w:rPr>
                <w:rFonts w:ascii="Arial" w:cs="Arial" w:eastAsia="Arial" w:hAnsi="Arial"/>
                <w:sz w:val="18"/>
                <w:szCs w:val="18"/>
                <w:color w:val="auto"/>
                <w:w w:val="98"/>
              </w:rPr>
              <w:t>Nine Months Ended</w:t>
            </w: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3"/>
          </w:tcPr>
          <w:p>
            <w:pPr>
              <w:jc w:val="right"/>
              <w:ind w:right="470"/>
              <w:spacing w:after="0"/>
              <w:rPr>
                <w:sz w:val="20"/>
                <w:szCs w:val="20"/>
                <w:color w:val="auto"/>
              </w:rPr>
            </w:pPr>
            <w:r>
              <w:rPr>
                <w:rFonts w:ascii="Arial" w:cs="Arial" w:eastAsia="Arial" w:hAnsi="Arial"/>
                <w:sz w:val="18"/>
                <w:szCs w:val="18"/>
                <w:color w:val="auto"/>
              </w:rPr>
              <w:t>September 30</w:t>
            </w: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2,859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70"/>
        </w:trPr>
        <w:tc>
          <w:tcPr>
            <w:tcW w:w="7840" w:type="dxa"/>
            <w:vAlign w:val="bottom"/>
          </w:tcPr>
          <w:p>
            <w:pPr>
              <w:ind w:left="40"/>
              <w:spacing w:after="0" w:line="270" w:lineRule="exact"/>
              <w:rPr>
                <w:sz w:val="20"/>
                <w:szCs w:val="20"/>
                <w:color w:val="auto"/>
              </w:rPr>
            </w:pPr>
            <w:r>
              <w:rPr>
                <w:rFonts w:ascii="Arial" w:cs="Arial" w:eastAsia="Arial" w:hAnsi="Arial"/>
                <w:sz w:val="18"/>
                <w:szCs w:val="18"/>
                <w:color w:val="auto"/>
              </w:rPr>
              <w:t>Non-cash items</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1,352</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1,041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30 %</w:t>
            </w:r>
          </w:p>
        </w:tc>
        <w:tc>
          <w:tcPr>
            <w:tcW w:w="0" w:type="dxa"/>
            <w:vAlign w:val="bottom"/>
          </w:tcPr>
          <w:p>
            <w:pPr>
              <w:spacing w:after="0"/>
              <w:rPr>
                <w:sz w:val="1"/>
                <w:szCs w:val="1"/>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tcPr>
          <w:p>
            <w:pPr>
              <w:ind w:left="180"/>
              <w:spacing w:after="0"/>
              <w:rPr>
                <w:sz w:val="20"/>
                <w:szCs w:val="20"/>
                <w:color w:val="auto"/>
              </w:rPr>
            </w:pPr>
            <w:r>
              <w:rPr>
                <w:rFonts w:ascii="Arial" w:cs="Arial" w:eastAsia="Arial" w:hAnsi="Arial"/>
                <w:sz w:val="18"/>
                <w:szCs w:val="18"/>
                <w:color w:val="auto"/>
              </w:rPr>
              <w:t>Trade working capital</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(816)</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Retiree benefits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(704)</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67 %</w:t>
            </w:r>
          </w:p>
        </w:tc>
        <w:tc>
          <w:tcPr>
            <w:tcW w:w="0" w:type="dxa"/>
            <w:vAlign w:val="bottom"/>
          </w:tcPr>
          <w:p>
            <w:pPr>
              <w:spacing w:after="0"/>
              <w:rPr>
                <w:sz w:val="1"/>
                <w:szCs w:val="1"/>
                <w:color w:val="auto"/>
              </w:rPr>
            </w:pP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7"/>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2,703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47 %</w:t>
            </w:r>
          </w:p>
        </w:tc>
        <w:tc>
          <w:tcPr>
            <w:tcW w:w="0" w:type="dxa"/>
            <w:vAlign w:val="bottom"/>
          </w:tcPr>
          <w:p>
            <w:pPr>
              <w:spacing w:after="0"/>
              <w:rPr>
                <w:sz w:val="1"/>
                <w:szCs w:val="1"/>
                <w:color w:val="auto"/>
              </w:rPr>
            </w:pPr>
          </w:p>
        </w:tc>
      </w:tr>
      <w:tr>
        <w:trPr>
          <w:trHeight w:val="27"/>
        </w:trPr>
        <w:tc>
          <w:tcPr>
            <w:tcW w:w="78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Includes depreciation and amortization, non-cash lease expense, stock based compensation expense and deferred income taxes.</w:t>
      </w:r>
    </w:p>
    <w:p>
      <w:pPr>
        <w:spacing w:after="0" w:line="74" w:lineRule="exact"/>
        <w:rPr>
          <w:sz w:val="20"/>
          <w:szCs w:val="20"/>
          <w:color w:val="auto"/>
        </w:rPr>
      </w:pPr>
    </w:p>
    <w:p>
      <w:pPr>
        <w:ind w:left="60" w:right="120"/>
        <w:spacing w:after="0" w:line="255" w:lineRule="auto"/>
        <w:rPr>
          <w:sz w:val="20"/>
          <w:szCs w:val="20"/>
          <w:color w:val="auto"/>
        </w:rPr>
      </w:pPr>
      <w:r>
        <w:rPr>
          <w:rFonts w:ascii="Arial" w:cs="Arial" w:eastAsia="Arial" w:hAnsi="Arial"/>
          <w:sz w:val="18"/>
          <w:szCs w:val="18"/>
          <w:color w:val="auto"/>
        </w:rPr>
        <w:t>Year to date 2020 cash provided by operating activities increased $870 million principally due to improved trade working capital and higher net earnings. The improvement in trade working capital reflects CARES Act payroll tax deferrals and increased DoD progress payment rates, partially offset by acceleration of payments to suppliers and pass through of increased progress payments to suppliers.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2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Free cash flow, as reconciled in the table below, is a non-GAAP measure defined as net cash provided by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net cash provided by operating activities to free cash flow: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3"/>
          </w:tcPr>
          <w:p>
            <w:pPr>
              <w:jc w:val="right"/>
              <w:ind w:right="230"/>
              <w:spacing w:after="0"/>
              <w:rPr>
                <w:sz w:val="20"/>
                <w:szCs w:val="20"/>
                <w:color w:val="auto"/>
              </w:rPr>
            </w:pPr>
            <w:r>
              <w:rPr>
                <w:rFonts w:ascii="Arial" w:cs="Arial" w:eastAsia="Arial" w:hAnsi="Arial"/>
                <w:sz w:val="18"/>
                <w:szCs w:val="18"/>
                <w:color w:val="auto"/>
                <w:w w:val="98"/>
              </w:rPr>
              <w:t>Nine Months Ended</w:t>
            </w:r>
          </w:p>
        </w:tc>
        <w:tc>
          <w:tcPr>
            <w:tcW w:w="12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3"/>
          </w:tcPr>
          <w:p>
            <w:pPr>
              <w:jc w:val="right"/>
              <w:ind w:right="470"/>
              <w:spacing w:after="0"/>
              <w:rPr>
                <w:sz w:val="20"/>
                <w:szCs w:val="20"/>
                <w:color w:val="auto"/>
              </w:rPr>
            </w:pPr>
            <w:r>
              <w:rPr>
                <w:rFonts w:ascii="Arial" w:cs="Arial" w:eastAsia="Arial" w:hAnsi="Arial"/>
                <w:sz w:val="18"/>
                <w:szCs w:val="18"/>
                <w:color w:val="auto"/>
              </w:rPr>
              <w:t>September 30</w:t>
            </w: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2,703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(828)</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1,875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7"/>
        </w:trPr>
        <w:tc>
          <w:tcPr>
            <w:tcW w:w="7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80" w:right="1800" w:hanging="5465"/>
        <w:spacing w:after="0" w:line="621" w:lineRule="auto"/>
        <w:rPr>
          <w:sz w:val="20"/>
          <w:szCs w:val="20"/>
          <w:color w:val="auto"/>
        </w:rPr>
      </w:pPr>
      <w:r>
        <w:rPr>
          <w:rFonts w:ascii="Arial" w:cs="Arial" w:eastAsia="Arial" w:hAnsi="Arial"/>
          <w:sz w:val="18"/>
          <w:szCs w:val="18"/>
          <w:color w:val="auto"/>
        </w:rPr>
        <w:t>Year to date 2020 free cash flow increased $835 million principally due to the increase in net cash provided by operating activities. -29-</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Year to date 2020 net cash used in investing activities increased to $828 million from $785 million due to higher capital expenditures.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7"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Year to date 2020 net cash provided by financing activities was $875 million compared to net cash used in financing activities of $1.5 billion in 2019, principally due to $2.2 billion of net proceeds from the issuance of long-term debt in the first quarter of 2020.</w:t>
      </w:r>
    </w:p>
    <w:p>
      <w:pPr>
        <w:spacing w:after="0" w:line="5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Credit Facilities, Commercial Paper and Financial Arrangements - </w:t>
      </w:r>
      <w:r>
        <w:rPr>
          <w:rFonts w:ascii="Arial" w:cs="Arial" w:eastAsia="Arial" w:hAnsi="Arial"/>
          <w:sz w:val="18"/>
          <w:szCs w:val="18"/>
          <w:color w:val="auto"/>
        </w:rPr>
        <w:t>See Note 6 to the financial statements for further information on our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and our use of standby letters of credit and guarantees.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 See Note 2 to the financial statements for further information on our share repurchase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See Note 4 to the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estimates or judgments from those discussed in our 2019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PROJECTIONS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2019 Annual Report on Form 10-K, in the section entitled “Risk Factors” in our Quarterly Report on Form 10-Q for the quarter ended March 31, 2020 and from time to time in our other filings with the Securities and Exchange Commission (SEC). These risks and uncertainties are amplified by the global COVID-19 pandemic, which has caused and will continue to cause significant challenges, instability and uncertainty. They include:</w:t>
      </w:r>
    </w:p>
    <w:p>
      <w:pPr>
        <w:spacing w:after="0" w:line="47" w:lineRule="exact"/>
        <w:rPr>
          <w:sz w:val="20"/>
          <w:szCs w:val="20"/>
          <w:color w:val="auto"/>
        </w:rPr>
      </w:pPr>
    </w:p>
    <w:p>
      <w:pPr>
        <w:jc w:val="both"/>
        <w:ind w:left="660" w:right="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COVID-19 outbreak or future epidemics on our business, including the potential for worker absenteeism, facility closures, work slowdowns or stoppages, supply chain disruptions, program delays, our ability to recover costs under contracts, changing government funding and acquisition priorities and processes, changing government payment rules and practices, and potential impacts on access to capital, the markets and the fair value of our assets</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and program support more broadly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legal proceedings</w:t>
      </w:r>
    </w:p>
    <w:p>
      <w:pPr>
        <w:spacing w:after="0" w:line="9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 of estimates when accounting for our contracts and the effect of contract cost growth and/or changes in estimated contract revenues and costs</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suppliers, laws and regulations</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and our ability to do business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performance and financial viability of our subcontractors and suppliers and the availability and pricing of raw materials and components</w:t>
      </w:r>
    </w:p>
    <w:p>
      <w:pPr>
        <w:spacing w:after="0" w:line="10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contract terms and practices applicable to our industry, findings by the U.S. government as to our compliance with such requirements, and changes in our customers’ business practices globally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maintain a qualified workforce with the required security clearances and requisite skills</w:t>
      </w:r>
    </w:p>
    <w:p>
      <w:pPr>
        <w:spacing w:after="0" w:line="90" w:lineRule="exact"/>
        <w:rPr>
          <w:rFonts w:ascii="Arial" w:cs="Arial" w:eastAsia="Arial" w:hAnsi="Arial"/>
          <w:sz w:val="18"/>
          <w:szCs w:val="18"/>
          <w:color w:val="auto"/>
        </w:rPr>
      </w:pPr>
    </w:p>
    <w:p>
      <w:pPr>
        <w:ind w:left="660" w:right="1000" w:hanging="328"/>
        <w:spacing w:after="0" w:line="334"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health epidemics, pandemics and similar outbreaks, including the global COVID-19 pandemic</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9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35"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future investment performance of plan assets, changes in actuarial assumptions associated with our pension and other postretirement benefit plans and legislative or other regulatory actions impacting our pension and postretirement benefit obligations</w:t>
      </w:r>
    </w:p>
    <w:p>
      <w:pPr>
        <w:spacing w:after="0" w:line="11"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9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business conditions that could impact business investments and/or recorded goodwill or the value of other long-lived assets</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than the debt transactions, including associated interest, described in Note 4 of Part I, Item 1, there have been no material changes to our contractual obligations from those discussed in our 2019 Annual Report on Form 10-K.</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risks from those discussed in our 2019 Annual Report on Form 10-K.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principal executive officer (Chairman,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September 30, 2020, and have concluded that these controls and procedures are effective to ensure that information required to be disclosed by us in the reports that we file or submit under the Exchange Act is recorded,</w:t>
      </w: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118" w:right="39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During the three months ended September 30, 2020, no changes occurred in our internal control over financial reporting that materially affected, or are reasonably likely to materially affect, our internal control over financial reporting.</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320" w:top="118" w:right="4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information about certain legal proceedings in which we are involved in Notes 5 and 6 to the financial statements.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actions;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5 and 6 to the financial statements, and for further information on the risks we face from existing and future investigations, lawsuits, arbitration, claims, enforcement actions and other legal proceedings, please see “Risk Factors” in our 2019 Annual Report on Form 10-K.</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 Involving Potential Monetary Damages in Excess of $100,000</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environmental matter is reported pursuant to SEC Regulation S-K Item 103 because it involves potential monetary damages in excess of $100,000. In June 2016, the U.S. Environmental Protection Agency (EPA) conducted an environmental inspection at the Allegheny Ballistics Laboratory in Rocket Center, WV, which was then and is now operated by Alliant Techsystems Operations LLC (“ATO”). ATO became an indirect subsidiary of the Company approximately 2 years later, in June 2018. On March 3, 2020, EPA notified ATO of a proposed penalty for alleged noncompliance with certain air emission, water discharge and waste management permitting and regulatory requirements. EPA proposed a civil penalty totaling $497,635 and certain non-monetary actions. The Company has disputed the allegations and is in discussions with the government.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There have been no material changes to our risk factors since our 2019 Annual Report on Form 10-K, except with respect to the risk factor regarding COVID-19 that the company included in the section entitled “Risk Factors” in our Quarterly Report on Form 10-Q for the quarter ended March 31,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60" w:right="440"/>
        <w:spacing w:after="0" w:line="277" w:lineRule="auto"/>
        <w:rPr>
          <w:sz w:val="20"/>
          <w:szCs w:val="20"/>
          <w:color w:val="auto"/>
        </w:rPr>
      </w:pPr>
      <w:r>
        <w:rPr>
          <w:rFonts w:ascii="Arial" w:cs="Arial" w:eastAsia="Arial" w:hAnsi="Arial"/>
          <w:sz w:val="18"/>
          <w:szCs w:val="18"/>
          <w:color w:val="auto"/>
        </w:rPr>
        <w:t>We had no repurchases of common stock during the three months ended September 30, 2020. The approximate dollar value of shares that may yet be purchased under the company’s share repurchase authorization is $2.8 billion as of September 30, 2020.</w:t>
      </w:r>
    </w:p>
    <w:p>
      <w:pPr>
        <w:spacing w:after="0" w:line="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Share repurchases take place from time to time, subject to market conditions and management’s discretion, in the open market or in privately negotiated transactions. The company retires its common stock upon repurchase.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further information on our share repurchase programs.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040" w:right="20" w:hanging="278"/>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11">
        <w:r>
          <w:rPr>
            <w:rFonts w:ascii="Arial" w:cs="Arial" w:eastAsia="Arial" w:hAnsi="Arial"/>
            <w:sz w:val="18"/>
            <w:szCs w:val="18"/>
            <w:u w:val="single" w:color="auto"/>
            <w:color w:val="0000FF"/>
          </w:rPr>
          <w:t>Agreement and Plan of Merger among Titan II, Inc. (formerly Northrop Grumman Corporation), Northrop Grumman Corporation (formerly</w:t>
        </w:r>
      </w:hyperlink>
      <w:r>
        <w:rPr>
          <w:rFonts w:ascii="Arial" w:cs="Arial" w:eastAsia="Arial" w:hAnsi="Arial"/>
          <w:sz w:val="18"/>
          <w:szCs w:val="18"/>
          <w:color w:val="auto"/>
        </w:rPr>
        <w:t xml:space="preserve"> </w:t>
      </w:r>
      <w:hyperlink r:id="rId11">
        <w:r>
          <w:rPr>
            <w:rFonts w:ascii="Arial" w:cs="Arial" w:eastAsia="Arial" w:hAnsi="Arial"/>
            <w:sz w:val="18"/>
            <w:szCs w:val="18"/>
            <w:u w:val="single" w:color="auto"/>
            <w:color w:val="0000FF"/>
          </w:rPr>
          <w:t>New P, Inc.) and Titan Merger Sub Inc., dated March 30, 2011 (incorporated by reference to Exhibit 10.1 to Form 8-K filed April 4, 2011,</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File No. 001-16411)</w:t>
        </w:r>
      </w:hyperlink>
    </w:p>
    <w:p>
      <w:pPr>
        <w:spacing w:after="0" w:line="143" w:lineRule="exact"/>
        <w:rPr>
          <w:rFonts w:ascii="Arial" w:cs="Arial" w:eastAsia="Arial" w:hAnsi="Arial"/>
          <w:sz w:val="18"/>
          <w:szCs w:val="18"/>
          <w:color w:val="auto"/>
        </w:rPr>
      </w:pPr>
    </w:p>
    <w:p>
      <w:pPr>
        <w:ind w:left="1040" w:right="140" w:hanging="278"/>
        <w:spacing w:after="0" w:line="31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2.2 </w:t>
      </w:r>
      <w:hyperlink r:id="rId12">
        <w:r>
          <w:rPr>
            <w:rFonts w:ascii="Arial" w:cs="Arial" w:eastAsia="Arial" w:hAnsi="Arial"/>
            <w:sz w:val="16"/>
            <w:szCs w:val="16"/>
            <w:u w:val="single" w:color="auto"/>
            <w:color w:val="0000FF"/>
          </w:rPr>
          <w:t>Separation and Distribution Agreement dated as of March 29, 2011, among Titan II, Inc. (formerly Northrop Grumman Corporation),</w:t>
        </w:r>
      </w:hyperlink>
      <w:r>
        <w:rPr>
          <w:rFonts w:ascii="Arial" w:cs="Arial" w:eastAsia="Arial" w:hAnsi="Arial"/>
          <w:sz w:val="16"/>
          <w:szCs w:val="16"/>
          <w:color w:val="auto"/>
        </w:rPr>
        <w:t xml:space="preserve"> </w:t>
      </w:r>
      <w:hyperlink r:id="rId12">
        <w:r>
          <w:rPr>
            <w:rFonts w:ascii="Arial" w:cs="Arial" w:eastAsia="Arial" w:hAnsi="Arial"/>
            <w:sz w:val="16"/>
            <w:szCs w:val="16"/>
            <w:u w:val="single" w:color="auto"/>
            <w:color w:val="0000FF"/>
          </w:rPr>
          <w:t>Northrop Grumman Corporation (formerly New P, Inc.), Huntington Ingalls Industries, Inc., Northrop Grumman Shipbuilding, Inc. and</w:t>
        </w:r>
      </w:hyperlink>
      <w:r>
        <w:rPr>
          <w:rFonts w:ascii="Arial" w:cs="Arial" w:eastAsia="Arial" w:hAnsi="Arial"/>
          <w:sz w:val="16"/>
          <w:szCs w:val="16"/>
          <w:u w:val="single" w:color="auto"/>
          <w:color w:val="0000FF"/>
        </w:rPr>
        <w:t xml:space="preserve"> </w:t>
      </w:r>
      <w:hyperlink r:id="rId12">
        <w:r>
          <w:rPr>
            <w:rFonts w:ascii="Arial" w:cs="Arial" w:eastAsia="Arial" w:hAnsi="Arial"/>
            <w:sz w:val="16"/>
            <w:szCs w:val="16"/>
            <w:u w:val="single" w:color="auto"/>
            <w:color w:val="0000FF"/>
          </w:rPr>
          <w:t>Northrop Grumman Systems Corporation (incorporated by reference to Exhibit 10.2 to Form 8-K filed April 4, 2011, File No. 001-16411)</w:t>
        </w:r>
      </w:hyperlink>
    </w:p>
    <w:p>
      <w:pPr>
        <w:spacing w:after="0" w:line="108" w:lineRule="exact"/>
        <w:rPr>
          <w:rFonts w:ascii="Arial" w:cs="Arial" w:eastAsia="Arial" w:hAnsi="Arial"/>
          <w:sz w:val="16"/>
          <w:szCs w:val="16"/>
          <w:color w:val="auto"/>
        </w:rPr>
      </w:pPr>
    </w:p>
    <w:p>
      <w:pPr>
        <w:ind w:left="1040" w:right="40" w:hanging="278"/>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2.3 </w:t>
      </w:r>
      <w:hyperlink r:id="rId13">
        <w:r>
          <w:rPr>
            <w:rFonts w:ascii="Arial" w:cs="Arial" w:eastAsia="Arial" w:hAnsi="Arial"/>
            <w:sz w:val="18"/>
            <w:szCs w:val="18"/>
            <w:u w:val="single" w:color="auto"/>
            <w:color w:val="0000FF"/>
          </w:rPr>
          <w:t>Agreement and Plan of Merger, dated as of September 17, 2017, among Northrop Grumman Corporation, Neptune Merger, Inc. and Orbital</w:t>
        </w:r>
      </w:hyperlink>
      <w:r>
        <w:rPr>
          <w:rFonts w:ascii="Arial" w:cs="Arial" w:eastAsia="Arial" w:hAnsi="Arial"/>
          <w:sz w:val="18"/>
          <w:szCs w:val="18"/>
          <w:color w:val="auto"/>
        </w:rPr>
        <w:t xml:space="preserve"> </w:t>
      </w:r>
      <w:hyperlink r:id="rId13">
        <w:r>
          <w:rPr>
            <w:rFonts w:ascii="Arial" w:cs="Arial" w:eastAsia="Arial" w:hAnsi="Arial"/>
            <w:sz w:val="18"/>
            <w:szCs w:val="18"/>
            <w:u w:val="single" w:color="auto"/>
            <w:color w:val="0000FF"/>
          </w:rPr>
          <w:t>ATK, Inc. (incorporated by reference to Exhibit 2.1 to Form 8-K filed September 18, 2017)</w:t>
        </w:r>
      </w:hyperlink>
    </w:p>
    <w:p>
      <w:pPr>
        <w:spacing w:after="0" w:line="130" w:lineRule="exact"/>
        <w:rPr>
          <w:sz w:val="20"/>
          <w:szCs w:val="20"/>
          <w:color w:val="auto"/>
        </w:rPr>
      </w:pPr>
    </w:p>
    <w:p>
      <w:pPr>
        <w:jc w:val="both"/>
        <w:ind w:left="1040" w:right="100" w:hanging="278"/>
        <w:spacing w:after="0" w:line="26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2.4 </w:t>
      </w:r>
      <w:hyperlink r:id="rId14">
        <w:r>
          <w:rPr>
            <w:rFonts w:ascii="Arial" w:cs="Arial" w:eastAsia="Arial" w:hAnsi="Arial"/>
            <w:sz w:val="18"/>
            <w:szCs w:val="18"/>
            <w:u w:val="single" w:color="auto"/>
            <w:color w:val="0000FF"/>
          </w:rPr>
          <w:t>Transaction Agreement, dated as of April 28, 2014, among Alliant Techsystems Inc., Vista Spinco Inc., Vista Merger Sub Inc. and Orbital</w:t>
        </w:r>
      </w:hyperlink>
      <w:r>
        <w:rPr>
          <w:rFonts w:ascii="Arial" w:cs="Arial" w:eastAsia="Arial" w:hAnsi="Arial"/>
          <w:sz w:val="18"/>
          <w:szCs w:val="18"/>
          <w:color w:val="auto"/>
        </w:rPr>
        <w:t xml:space="preserve"> </w:t>
      </w:r>
      <w:hyperlink r:id="rId14">
        <w:r>
          <w:rPr>
            <w:rFonts w:ascii="Arial" w:cs="Arial" w:eastAsia="Arial" w:hAnsi="Arial"/>
            <w:sz w:val="18"/>
            <w:szCs w:val="18"/>
            <w:u w:val="single" w:color="auto"/>
            <w:color w:val="0000FF"/>
          </w:rPr>
          <w:t>Sciences Corporation (incorporated by reference to Exhibit 2.1 to Alliant Techsystems Inc. (now known as Northrop Grumman Innovation</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Systems, Inc.) Form 8-K filed May 2, 2014)</w:t>
        </w:r>
      </w:hyperlink>
    </w:p>
    <w:p>
      <w:pPr>
        <w:spacing w:after="0" w:line="143"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*15 </w:t>
      </w:r>
      <w:hyperlink w:anchor="page38">
        <w:r>
          <w:rPr>
            <w:rFonts w:ascii="Arial" w:cs="Arial" w:eastAsia="Arial" w:hAnsi="Arial"/>
            <w:sz w:val="18"/>
            <w:szCs w:val="18"/>
            <w:u w:val="single" w:color="auto"/>
            <w:color w:val="0000FF"/>
          </w:rPr>
          <w:t>Letter from Independent Registered Public Accounting Firm</w:t>
        </w:r>
      </w:hyperlink>
    </w:p>
    <w:p>
      <w:pPr>
        <w:spacing w:after="0" w:line="18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39">
        <w:r>
          <w:rPr>
            <w:rFonts w:ascii="Arial" w:cs="Arial" w:eastAsia="Arial" w:hAnsi="Arial"/>
            <w:sz w:val="18"/>
            <w:szCs w:val="18"/>
            <w:u w:val="single" w:color="auto"/>
            <w:color w:val="0000FF"/>
          </w:rPr>
          <w:t>Certification of Kathy J. Warden pursuant to Section 302 of the Sarbanes-Oxley Act of 2002</w:t>
        </w:r>
      </w:hyperlink>
    </w:p>
    <w:p>
      <w:pPr>
        <w:spacing w:after="0" w:line="18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40">
        <w:r>
          <w:rPr>
            <w:rFonts w:ascii="Arial" w:cs="Arial" w:eastAsia="Arial" w:hAnsi="Arial"/>
            <w:sz w:val="18"/>
            <w:szCs w:val="18"/>
            <w:u w:val="single" w:color="auto"/>
            <w:color w:val="0000FF"/>
          </w:rPr>
          <w:t>Certification of David F. Keffer pursuant to Section 302 of the Sarbanes-Oxley Act of 2002</w:t>
        </w:r>
      </w:hyperlink>
    </w:p>
    <w:p>
      <w:pPr>
        <w:spacing w:after="0" w:line="18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41">
        <w:r>
          <w:rPr>
            <w:rFonts w:ascii="Arial" w:cs="Arial" w:eastAsia="Arial" w:hAnsi="Arial"/>
            <w:sz w:val="18"/>
            <w:szCs w:val="18"/>
            <w:u w:val="single" w:color="auto"/>
            <w:color w:val="0000FF"/>
          </w:rPr>
          <w:t>Certification of Kathy J. Warden pursuant to Section 906 of the Sarbanes-Oxley Act of 2002</w:t>
        </w:r>
      </w:hyperlink>
    </w:p>
    <w:p>
      <w:pPr>
        <w:spacing w:after="0" w:line="18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42">
        <w:r>
          <w:rPr>
            <w:rFonts w:ascii="Arial" w:cs="Arial" w:eastAsia="Arial" w:hAnsi="Arial"/>
            <w:sz w:val="18"/>
            <w:szCs w:val="18"/>
            <w:u w:val="single" w:color="auto"/>
            <w:color w:val="0000FF"/>
          </w:rPr>
          <w:t>Certification of David F. Keffer pursuant to Section 906 of the Sarbanes-Oxley Act of 2002</w:t>
        </w:r>
      </w:hyperlink>
    </w:p>
    <w:p>
      <w:pPr>
        <w:spacing w:after="0" w:line="185" w:lineRule="exact"/>
        <w:rPr>
          <w:rFonts w:ascii="Arial" w:cs="Arial" w:eastAsia="Arial" w:hAnsi="Arial"/>
          <w:sz w:val="18"/>
          <w:szCs w:val="18"/>
          <w:color w:val="auto"/>
        </w:rPr>
      </w:pPr>
    </w:p>
    <w:p>
      <w:pPr>
        <w:ind w:left="1040" w:hanging="413"/>
        <w:spacing w:after="0" w:line="296" w:lineRule="auto"/>
        <w:rPr>
          <w:sz w:val="20"/>
          <w:szCs w:val="20"/>
          <w:color w:val="auto"/>
        </w:rPr>
      </w:pPr>
      <w:r>
        <w:rPr>
          <w:rFonts w:ascii="Arial" w:cs="Arial" w:eastAsia="Arial" w:hAnsi="Arial"/>
          <w:sz w:val="16"/>
          <w:szCs w:val="16"/>
          <w:color w:val="auto"/>
        </w:rPr>
        <w:t>*101 Northrop Grumman Corporation Quarterly Report on Form 10-Q for the quarter ended September 30, 2020, formatted in XBRL (Extensible Business Reporting Language): (i) the Cover Page, (ii) Condensed Consolidated Statements of Earnings and Comprehensive Income, (iii) Condensed Consolidated Statements of Financial Position, (iv) Condensed Consolidated Statements of Cash Flows, (v) Condensed Consolidated Statements of Changes in Shareholders’ Equity, and (vi) Notes to Condensed Consolidated Financial Statements. The instance document does not appear in the Interactive Data File because its XBRL tags are embedded within the Inline XBRL document.</w:t>
      </w:r>
    </w:p>
    <w:p>
      <w:pPr>
        <w:spacing w:after="0" w:line="121"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176" w:lineRule="exact"/>
        <w:rPr>
          <w:rFonts w:ascii="Arial" w:cs="Arial" w:eastAsia="Arial" w:hAnsi="Arial"/>
          <w:sz w:val="18"/>
          <w:szCs w:val="18"/>
          <w:color w:val="auto"/>
        </w:rPr>
      </w:pPr>
    </w:p>
    <w:p>
      <w:pPr>
        <w:ind w:left="1040" w:hanging="654"/>
        <w:spacing w:after="0"/>
        <w:tabs>
          <w:tab w:leader="none" w:pos="104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Management contract or compensatory plan or arrangement</w:t>
      </w:r>
    </w:p>
    <w:p>
      <w:pPr>
        <w:spacing w:after="0" w:line="58" w:lineRule="exact"/>
        <w:rPr>
          <w:rFonts w:ascii="Arial" w:cs="Arial" w:eastAsia="Arial" w:hAnsi="Arial"/>
          <w:sz w:val="18"/>
          <w:szCs w:val="18"/>
          <w:color w:val="auto"/>
        </w:rPr>
      </w:pPr>
    </w:p>
    <w:p>
      <w:pPr>
        <w:ind w:left="1040" w:hanging="654"/>
        <w:spacing w:after="0"/>
        <w:tabs>
          <w:tab w:leader="none" w:pos="104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Filed with this report</w:t>
      </w:r>
    </w:p>
    <w:p>
      <w:pPr>
        <w:spacing w:after="0" w:line="58" w:lineRule="exact"/>
        <w:rPr>
          <w:rFonts w:ascii="Arial" w:cs="Arial" w:eastAsia="Arial" w:hAnsi="Arial"/>
          <w:sz w:val="18"/>
          <w:szCs w:val="18"/>
          <w:color w:val="auto"/>
        </w:rPr>
      </w:pPr>
    </w:p>
    <w:p>
      <w:pPr>
        <w:ind w:left="1040" w:hanging="654"/>
        <w:spacing w:after="0"/>
        <w:tabs>
          <w:tab w:leader="none" w:pos="104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Furnished with this report</w:t>
      </w:r>
    </w:p>
    <w:p>
      <w:pPr>
        <w:spacing w:after="0" w:line="391"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118" w:right="4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(Registrant)</w:t>
      </w:r>
    </w:p>
    <w:p>
      <w:pPr>
        <w:spacing w:after="0" w:line="12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By:</w:t>
      </w:r>
    </w:p>
    <w:p>
      <w:pPr>
        <w:ind w:left="7340"/>
        <w:spacing w:after="0"/>
        <w:rPr>
          <w:sz w:val="20"/>
          <w:szCs w:val="20"/>
          <w:color w:val="auto"/>
        </w:rPr>
      </w:pPr>
      <w:r>
        <w:rPr>
          <w:rFonts w:ascii="Arial" w:cs="Arial" w:eastAsia="Arial" w:hAnsi="Arial"/>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21590</wp:posOffset>
            </wp:positionV>
            <wp:extent cx="3814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4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Michael A. Hardesty</w:t>
      </w:r>
    </w:p>
    <w:p>
      <w:pPr>
        <w:spacing w:after="0" w:line="2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Corporate Vice President, Controller and</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118"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LETTER FROM INDEPENDENT REGISTERED PUBLIC ACCOUNTING FIRM</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Falls Church, Virginia 22042</w:t>
      </w:r>
    </w:p>
    <w:p>
      <w:pPr>
        <w:spacing w:after="0" w:line="7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Northrop Grumman Corporation and subsidiaries for the periods ended September 30, 2020, and 2019, as indicated in our report dated October 21, 2020; because we did not perform an audit, we expressed no opinion on that information.</w:t>
      </w:r>
    </w:p>
    <w:p>
      <w:pPr>
        <w:spacing w:after="0" w:line="4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We are aware that our report referred to above, which is included in your Quarterly Report on Form 10-Q for the quarter ended September 30, 2020, is incorporated by reference in Registration Statement Nos. 033-59815, 033-59853, 333-67266, 333-100179, 333-107734, 333-121104, 333-125120, 333-127317, and 333-175798 on Form S-8; and Registration Statement No. 333-237504 on Form S-3.</w:t>
      </w:r>
    </w:p>
    <w:p>
      <w:pPr>
        <w:spacing w:after="0" w:line="30"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21, 2020</w:t>
      </w:r>
    </w:p>
    <w:p>
      <w:pPr>
        <w:sectPr>
          <w:pgSz w:w="11900" w:h="16838" w:orient="portrait"/>
          <w:cols w:equalWidth="0" w:num="1">
            <w:col w:w="11240"/>
          </w:cols>
          <w:pgMar w:left="320" w:top="55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460" w:hanging="644"/>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ind w:left="1300" w:right="18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21,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55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F. Keffer, certify that:</w:t>
      </w:r>
    </w:p>
    <w:p>
      <w:pPr>
        <w:spacing w:after="0" w:line="90"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Northrop Grumman Corporation (“company”);</w:t>
      </w:r>
    </w:p>
    <w:p>
      <w:pPr>
        <w:spacing w:after="0" w:line="90"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4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34"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300" w:right="260" w:hanging="644"/>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8"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 w:lineRule="exact"/>
        <w:rPr>
          <w:rFonts w:ascii="Arial" w:cs="Arial" w:eastAsia="Arial" w:hAnsi="Arial"/>
          <w:sz w:val="17"/>
          <w:szCs w:val="17"/>
          <w:color w:val="auto"/>
        </w:rPr>
      </w:pPr>
    </w:p>
    <w:p>
      <w:pPr>
        <w:ind w:left="1300" w:right="460" w:hanging="644"/>
        <w:spacing w:after="0" w:line="334"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ind w:left="1300" w:right="18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21,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David F. Keffer</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Corporate Vice President and Chief Financial Officer</w:t>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Northrop Grumman Corporation (the “company”) on Form 10-Q for the period ended September 30, 2020, as filed with the Securities and Exchange Commission on the date hereof (the “Report”), I, Kathy J. Warden, Chairman, Chief Executive Officer and President of the company, certify, pursuant to 18 U.S.C. § 1350, as adopted pursuant to § 906 of the Sarbanes-Oxley Act of 2002, that:</w:t>
      </w:r>
    </w:p>
    <w:p>
      <w:pPr>
        <w:spacing w:after="0" w:line="30" w:lineRule="exact"/>
        <w:rPr>
          <w:sz w:val="20"/>
          <w:szCs w:val="20"/>
          <w:color w:val="auto"/>
        </w:rPr>
      </w:pPr>
    </w:p>
    <w:p>
      <w:pPr>
        <w:ind w:left="980" w:hanging="648"/>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21,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Kathy J. Warden</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Chairman, Chief Executive Officer and President</w:t>
      </w:r>
    </w:p>
    <w:p>
      <w:pPr>
        <w:sectPr>
          <w:pgSz w:w="11900" w:h="16838" w:orient="portrait"/>
          <w:cols w:equalWidth="0" w:num="1">
            <w:col w:w="11240"/>
          </w:cols>
          <w:pgMar w:left="320" w:top="55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In connection with the Quarterly Report of Northrop Grumman Corporation (the “company”) on Form 10-Q for the period ended September 30, 2020, as filed with the Securities and Exchange Commission on the date hereof (the “Report”), I, David F. Keffer, Corporate Vice President and Chief Financial Officer of the company, certify, pursuant to 18 U.S.C. § 1350, as adopted pursuant to § 906 of the Sarbanes-Oxley Act of 2002, that:</w:t>
      </w:r>
    </w:p>
    <w:p>
      <w:pPr>
        <w:spacing w:after="0" w:line="14" w:lineRule="exact"/>
        <w:rPr>
          <w:sz w:val="20"/>
          <w:szCs w:val="20"/>
          <w:color w:val="auto"/>
        </w:rPr>
      </w:pPr>
    </w:p>
    <w:p>
      <w:pPr>
        <w:ind w:left="980" w:hanging="648"/>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80" w:right="600" w:hanging="648"/>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21, 2020</w:t>
      </w:r>
    </w:p>
    <w:p>
      <w:pPr>
        <w:spacing w:after="0" w:line="200" w:lineRule="exact"/>
        <w:rPr>
          <w:sz w:val="20"/>
          <w:szCs w:val="20"/>
          <w:color w:val="auto"/>
        </w:rPr>
      </w:pPr>
    </w:p>
    <w:p>
      <w:pPr>
        <w:spacing w:after="0" w:line="23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80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David F. Keffer</w:t>
      </w:r>
    </w:p>
    <w:p>
      <w:pPr>
        <w:spacing w:after="0" w:line="6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Corporate Vice President and 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3"/>
    </w:lvl>
  </w:abstractNum>
  <w:abstractNum w:abstractNumId="7">
    <w:nsid w:val="3F2DBA31"/>
    <w:multiLevelType w:val="hybridMultilevel"/>
    <w:lvl w:ilvl="0">
      <w:lvlJc w:val="left"/>
      <w:lvlText w:val="%1."/>
      <w:numFmt w:val="decimal"/>
      <w:start w:val="4"/>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5"/>
    </w:lvl>
  </w:abstractNum>
  <w:abstractNum w:abstractNumId="10">
    <w:nsid w:val="62BBD95A"/>
    <w:multiLevelType w:val="hybridMultilevel"/>
    <w:lvl w:ilvl="0">
      <w:lvlJc w:val="left"/>
      <w:lvlText w:val="%1."/>
      <w:numFmt w:val="decimal"/>
      <w:start w:val="6"/>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7"/>
    </w:lvl>
  </w:abstractNum>
  <w:abstractNum w:abstractNumId="13">
    <w:nsid w:val="333AB105"/>
    <w:multiLevelType w:val="hybridMultilevel"/>
    <w:lvl w:ilvl="0">
      <w:lvlJc w:val="left"/>
      <w:lvlText w:val="%1."/>
      <w:numFmt w:val="decimal"/>
      <w:start w:val="8"/>
    </w:lvl>
  </w:abstractNum>
  <w:abstractNum w:abstractNumId="14">
    <w:nsid w:val="721DA317"/>
    <w:multiLevelType w:val="hybridMultilevel"/>
    <w:lvl w:ilvl="0">
      <w:lvlJc w:val="left"/>
      <w:lvlText w:val="%1."/>
      <w:numFmt w:val="decimal"/>
      <w:start w:val="9"/>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1" Type="http://schemas.openxmlformats.org/officeDocument/2006/relationships/hyperlink" Target="http://www.sec.gov/Archives/edgar/data/1133421/000095012311032455/v59140exv10w1.htm" TargetMode="External"/><Relationship Id="rId12" Type="http://schemas.openxmlformats.org/officeDocument/2006/relationships/hyperlink" Target="http://www.sec.gov/Archives/edgar/data/1133421/000095012311032455/v59140exv10w2.htm" TargetMode="External"/><Relationship Id="rId13" Type="http://schemas.openxmlformats.org/officeDocument/2006/relationships/hyperlink" Target="http://www.sec.gov/Archives/edgar/data/1133421/000095015717001299/ex2-1.htm" TargetMode="External"/><Relationship Id="rId14" Type="http://schemas.openxmlformats.org/officeDocument/2006/relationships/hyperlink" Target="http://www.sec.gov/Archives/edgar/data/866121/000095015714000426/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2020-10-22T05:43:41Z</dcterms:created>
  <dcterms:modified xsi:type="dcterms:W3CDTF">2020-10-22T05:43:41Z</dcterms:modified>
</cp:coreProperties>
</file>