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213" w:type="dxa"/>
        <w:jc w:val="center"/>
        <w:tblInd w:w="0" w:type="dxa"/>
        <w:tblLayout w:type="fixed"/>
        <w:tblCellMar>
          <w:top w:w="28" w:type="dxa"/>
          <w:left w:w="28" w:type="dxa"/>
          <w:bottom w:w="28" w:type="dxa"/>
          <w:right w:w="28" w:type="dxa"/>
        </w:tblCellMar>
      </w:tblPr>
      <w:tblGrid>
        <w:gridCol w:w="210"/>
        <w:gridCol w:w="184"/>
        <w:gridCol w:w="184"/>
        <w:gridCol w:w="184"/>
        <w:gridCol w:w="184"/>
        <w:gridCol w:w="267"/>
      </w:tblGrid>
      <w:tr>
        <w:trPr/>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213"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10-Q</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2026</w:t>
      </w:r>
    </w:p>
    <w:p>
      <w:pPr>
        <w:pStyle w:val="TextBody"/>
        <w:bidi w:val="0"/>
        <w:spacing w:lineRule="auto" w:line="288" w:before="160" w:after="283"/>
        <w:jc w:val="center"/>
        <w:rPr>
          <w:rFonts w:ascii="Times New Roman;serif" w:hAnsi="Times New Roman;serif"/>
          <w:b w:val="false"/>
          <w:color w:val="000000"/>
          <w:sz w:val="24"/>
        </w:rPr>
      </w:pPr>
      <w:r>
        <w:rPr>
          <w:rFonts w:ascii="Times New Roman;serif" w:hAnsi="Times New Roman;serif"/>
          <w:b w:val="false"/>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1-16411 </w:t>
      </w:r>
    </w:p>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 xml:space="preserve">NORTHROP GRUMMAN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273" w:type="dxa"/>
        <w:jc w:val="left"/>
        <w:tblInd w:w="0" w:type="dxa"/>
        <w:tblLayout w:type="fixed"/>
        <w:tblCellMar>
          <w:top w:w="28" w:type="dxa"/>
          <w:left w:w="28" w:type="dxa"/>
          <w:bottom w:w="28" w:type="dxa"/>
          <w:right w:w="28" w:type="dxa"/>
        </w:tblCellMar>
      </w:tblPr>
      <w:tblGrid>
        <w:gridCol w:w="607"/>
        <w:gridCol w:w="533"/>
        <w:gridCol w:w="533"/>
        <w:gridCol w:w="533"/>
        <w:gridCol w:w="533"/>
        <w:gridCol w:w="558"/>
        <w:gridCol w:w="109"/>
        <w:gridCol w:w="109"/>
        <w:gridCol w:w="109"/>
        <w:gridCol w:w="481"/>
        <w:gridCol w:w="481"/>
        <w:gridCol w:w="687"/>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80-0640649</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2980 Fairview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Falls Church,</w:t>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22042</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280-2900 </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Yes ☒    No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Yes ☒    No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Large Accelerated Filer ☒     Accelerated Filer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Non-accelerated Filer ☐    Smaller Reporting Company ☐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60" w:after="100"/>
        <w:jc w:val="left"/>
        <w:rPr>
          <w:color w:val="000000"/>
        </w:rPr>
      </w:pPr>
      <w:r>
        <w:rPr>
          <w:color w:val="000000"/>
        </w:rPr>
        <w:t>    </w:t>
      </w:r>
      <w:r>
        <w:rPr>
          <w:rFonts w:ascii="Times New Roman;serif" w:hAnsi="Times New Roman;serif"/>
          <w:b w:val="false"/>
          <w:color w:val="000000"/>
          <w:sz w:val="20"/>
        </w:rPr>
        <w:t>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15, 2026, 142,064,489 shares of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687" w:type="dxa"/>
        <w:jc w:val="left"/>
        <w:tblInd w:w="0" w:type="dxa"/>
        <w:tblLayout w:type="fixed"/>
        <w:tblCellMar>
          <w:top w:w="28" w:type="dxa"/>
          <w:left w:w="28" w:type="dxa"/>
          <w:bottom w:w="28" w:type="dxa"/>
          <w:right w:w="28" w:type="dxa"/>
        </w:tblCellMar>
      </w:tblPr>
      <w:tblGrid>
        <w:gridCol w:w="293"/>
        <w:gridCol w:w="257"/>
        <w:gridCol w:w="261"/>
        <w:gridCol w:w="2454"/>
        <w:gridCol w:w="2454"/>
        <w:gridCol w:w="2457"/>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65f6b59d8149609cf05e66144c1917_10">
              <w:r>
                <w:rPr>
                  <w:rStyle w:val="InternetLink"/>
                  <w:rFonts w:ascii="Times New Roman;serif" w:hAnsi="Times New Roman;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6">
              <w:r>
                <w:rPr>
                  <w:rStyle w:val="InternetLink"/>
                  <w:rFonts w:ascii="Times New Roman;serif" w:hAnsi="Times New Roman;serif"/>
                  <w:b w:val="false"/>
                  <w:color w:val="0000FF"/>
                  <w:sz w:val="20"/>
                  <w:u w:val="single"/>
                </w:rPr>
                <w:t>Condensed Consolidated Statements of Earnings and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9">
              <w:r>
                <w:rPr>
                  <w:rStyle w:val="InternetLink"/>
                  <w:rFonts w:ascii="Times New Roman;serif" w:hAnsi="Times New Roman;serif"/>
                  <w:b w:val="false"/>
                  <w:color w:val="0000FF"/>
                  <w:sz w:val="20"/>
                  <w:u w:val="single"/>
                </w:rPr>
                <w:t>Condensed Consolidated Statements of Financial Position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9">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22">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22">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25">
              <w:r>
                <w:rPr>
                  <w:rStyle w:val="InternetLink"/>
                  <w:rFonts w:ascii="Times New Roman;serif" w:hAnsi="Times New Roman;serif"/>
                  <w:b w:val="false"/>
                  <w:color w:val="0000FF"/>
                  <w:sz w:val="20"/>
                  <w:u w:val="single"/>
                </w:rPr>
                <w:t>Condensed Consolidated Statements of Changes in Shareholders’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25">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28">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31">
              <w:r>
                <w:rPr>
                  <w:rStyle w:val="InternetLink"/>
                  <w:rFonts w:ascii="Times New Roman;serif" w:hAnsi="Times New Roman;serif"/>
                  <w:b w:val="false"/>
                  <w:color w:val="0000FF"/>
                  <w:sz w:val="20"/>
                  <w:u w:val="single"/>
                </w:rPr>
                <w:t>1. Summary of Significant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31">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34">
              <w:r>
                <w:rPr>
                  <w:rStyle w:val="InternetLink"/>
                  <w:rFonts w:ascii="Times New Roman;serif" w:hAnsi="Times New Roman;serif"/>
                  <w:b w:val="false"/>
                  <w:color w:val="0000FF"/>
                  <w:sz w:val="20"/>
                  <w:u w:val="single"/>
                </w:rPr>
                <w:t>2. Earnings Per Share, Share Repurchases and Dividends on Common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34">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37">
              <w:r>
                <w:rPr>
                  <w:rStyle w:val="InternetLink"/>
                  <w:rFonts w:ascii="Times New Roman;serif" w:hAnsi="Times New Roman;serif"/>
                  <w:b w:val="false"/>
                  <w:color w:val="0000FF"/>
                  <w:sz w:val="20"/>
                  <w:u w:val="single"/>
                </w:rPr>
                <w:t>3. Inventoried Costs, Net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37">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40">
              <w:r>
                <w:rPr>
                  <w:rStyle w:val="InternetLink"/>
                  <w:rFonts w:ascii="Times New Roman;serif" w:hAnsi="Times New Roman;serif"/>
                  <w:b w:val="false"/>
                  <w:color w:val="0000FF"/>
                  <w:sz w:val="20"/>
                  <w:u w:val="single"/>
                </w:rPr>
                <w:t>4.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40">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43">
              <w:r>
                <w:rPr>
                  <w:rStyle w:val="InternetLink"/>
                  <w:rFonts w:ascii="Times New Roman;serif" w:hAnsi="Times New Roman;serif"/>
                  <w:b w:val="false"/>
                  <w:color w:val="0000FF"/>
                  <w:sz w:val="20"/>
                  <w:u w:val="single"/>
                </w:rPr>
                <w:t>5. Fair Value of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43">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46">
              <w:r>
                <w:rPr>
                  <w:rStyle w:val="InternetLink"/>
                  <w:rFonts w:ascii="Times New Roman;serif" w:hAnsi="Times New Roman;serif"/>
                  <w:b w:val="false"/>
                  <w:color w:val="0000FF"/>
                  <w:sz w:val="20"/>
                  <w:u w:val="single"/>
                </w:rPr>
                <w:t>6. Investigations, Claims and Litigation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46">
              <w:r>
                <w:rPr>
                  <w:rStyle w:val="InternetLink"/>
                  <w:rFonts w:ascii="Times New Roman;serif" w:hAnsi="Times New Roman;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49">
              <w:r>
                <w:rPr>
                  <w:rStyle w:val="InternetLink"/>
                  <w:rFonts w:ascii="Times New Roman;serif" w:hAnsi="Times New Roman;serif"/>
                  <w:b w:val="false"/>
                  <w:color w:val="0000FF"/>
                  <w:sz w:val="20"/>
                  <w:u w:val="single"/>
                </w:rPr>
                <w:t>7. Commitments and Contingencies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49">
              <w:r>
                <w:rPr>
                  <w:rStyle w:val="InternetLink"/>
                  <w:rFonts w:ascii="Times New Roman;serif" w:hAnsi="Times New Roman;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52">
              <w:r>
                <w:rPr>
                  <w:rStyle w:val="InternetLink"/>
                  <w:rFonts w:ascii="Times New Roman;serif" w:hAnsi="Times New Roman;serif"/>
                  <w:b w:val="false"/>
                  <w:color w:val="0000FF"/>
                  <w:sz w:val="20"/>
                  <w:u w:val="single"/>
                </w:rPr>
                <w:t>8. Retirement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52">
              <w:r>
                <w:rPr>
                  <w:rStyle w:val="InternetLink"/>
                  <w:rFonts w:ascii="Times New Roman;serif" w:hAnsi="Times New Roman;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55">
              <w:r>
                <w:rPr>
                  <w:rStyle w:val="InternetLink"/>
                  <w:rFonts w:ascii="Times New Roman;serif" w:hAnsi="Times New Roman;serif"/>
                  <w:b w:val="false"/>
                  <w:color w:val="0000FF"/>
                  <w:sz w:val="20"/>
                  <w:u w:val="single"/>
                </w:rPr>
                <w:t>9. Stock Compensation Plans and Other Compensation Arrangements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55">
              <w:r>
                <w:rPr>
                  <w:rStyle w:val="InternetLink"/>
                  <w:rFonts w:ascii="Times New Roman;serif" w:hAnsi="Times New Roman;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61">
              <w:r>
                <w:rPr>
                  <w:rStyle w:val="InternetLink"/>
                  <w:rFonts w:ascii="Times New Roman;serif" w:hAnsi="Times New Roman;serif"/>
                  <w:b w:val="false"/>
                  <w:color w:val="0000FF"/>
                  <w:sz w:val="20"/>
                  <w:u w:val="single"/>
                </w:rPr>
                <w:t>10. Segment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61">
              <w:r>
                <w:rPr>
                  <w:rStyle w:val="InternetLink"/>
                  <w:rFonts w:ascii="Times New Roman;serif" w:hAnsi="Times New Roman;serif"/>
                  <w:b w:val="false"/>
                  <w:color w:val="0000FF"/>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64">
              <w:r>
                <w:rPr>
                  <w:rStyle w:val="InternetLink"/>
                  <w:rFonts w:ascii="Times New Roman;serif" w:hAnsi="Times New Roman;serif"/>
                  <w:b w:val="false"/>
                  <w:color w:val="0000FF"/>
                  <w:sz w:val="20"/>
                  <w:u w:val="single"/>
                </w:rPr>
                <w:t>Report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64">
              <w:r>
                <w:rPr>
                  <w:rStyle w:val="InternetLink"/>
                  <w:rFonts w:ascii="Times New Roman;serif" w:hAnsi="Times New Roman;serif"/>
                  <w:b w:val="false"/>
                  <w:color w:val="0000FF"/>
                  <w:sz w:val="20"/>
                  <w:u w:val="singl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70">
              <w:r>
                <w:rPr>
                  <w:rStyle w:val="InternetLink"/>
                  <w:rFonts w:ascii="Times New Roman;serif" w:hAnsi="Times New Roman;serif"/>
                  <w:b w:val="false"/>
                  <w:color w:val="0000FF"/>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70">
              <w:r>
                <w:rPr>
                  <w:rStyle w:val="InternetLink"/>
                  <w:rFonts w:ascii="Times New Roman;serif" w:hAnsi="Times New Roman;serif"/>
                  <w:b w:val="false"/>
                  <w:color w:val="0000FF"/>
                  <w:sz w:val="20"/>
                  <w:u w:val="single"/>
                </w:rPr>
                <w:t>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73">
              <w:r>
                <w:rPr>
                  <w:rStyle w:val="InternetLink"/>
                  <w:rFonts w:ascii="Times New Roman;serif" w:hAnsi="Times New Roman;serif"/>
                  <w:b w:val="false"/>
                  <w:color w:val="0000FF"/>
                  <w:sz w:val="20"/>
                  <w:u w:val="single"/>
                </w:rPr>
                <w:t>Consolidated Operating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73">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76">
              <w:r>
                <w:rPr>
                  <w:rStyle w:val="InternetLink"/>
                  <w:rFonts w:ascii="Times New Roman;serif" w:hAnsi="Times New Roman;serif"/>
                  <w:b w:val="false"/>
                  <w:color w:val="0000FF"/>
                  <w:sz w:val="20"/>
                  <w:u w:val="single"/>
                </w:rPr>
                <w:t>Segment Operating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76">
              <w:r>
                <w:rPr>
                  <w:rStyle w:val="InternetLink"/>
                  <w:rFonts w:ascii="Times New Roman;serif" w:hAnsi="Times New Roman;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79">
              <w:r>
                <w:rPr>
                  <w:rStyle w:val="InternetLink"/>
                  <w:rFonts w:ascii="Times New Roman;serif" w:hAnsi="Times New Roman;serif"/>
                  <w:b w:val="false"/>
                  <w:color w:val="0000FF"/>
                  <w:sz w:val="20"/>
                  <w:u w:val="single"/>
                </w:rPr>
                <w:t>Product and Service Analysis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79">
              <w:r>
                <w:rPr>
                  <w:rStyle w:val="InternetLink"/>
                  <w:rFonts w:ascii="Times New Roman;serif" w:hAnsi="Times New Roman;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82">
              <w:r>
                <w:rPr>
                  <w:rStyle w:val="InternetLink"/>
                  <w:rFonts w:ascii="Times New Roman;serif" w:hAnsi="Times New Roman;serif"/>
                  <w:b w:val="false"/>
                  <w:color w:val="0000FF"/>
                  <w:sz w:val="20"/>
                  <w:u w:val="single"/>
                </w:rPr>
                <w:t>Backlog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82">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85">
              <w:r>
                <w:rPr>
                  <w:rStyle w:val="InternetLink"/>
                  <w:rFonts w:ascii="Times New Roman;serif" w:hAnsi="Times New Roman;serif"/>
                  <w:b w:val="false"/>
                  <w:color w:val="0000FF"/>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85">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88">
              <w:r>
                <w:rPr>
                  <w:rStyle w:val="InternetLink"/>
                  <w:rFonts w:ascii="Times New Roman;serif" w:hAnsi="Times New Roman;serif"/>
                  <w:b w:val="false"/>
                  <w:color w:val="0000FF"/>
                  <w:sz w:val="20"/>
                  <w:u w:val="single"/>
                </w:rPr>
                <w:t>Critical Accounting Policies, Estimates and Judgments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88">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88">
              <w:r>
                <w:rPr>
                  <w:rStyle w:val="InternetLink"/>
                  <w:rFonts w:ascii="Times New Roman;serif" w:hAnsi="Times New Roman;serif"/>
                  <w:b w:val="false"/>
                  <w:color w:val="0000FF"/>
                  <w:sz w:val="20"/>
                  <w:u w:val="single"/>
                </w:rPr>
                <w:t>Accounting Standards Updates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88">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91">
              <w:r>
                <w:rPr>
                  <w:rStyle w:val="InternetLink"/>
                  <w:rFonts w:ascii="Times New Roman;serif" w:hAnsi="Times New Roman;serif"/>
                  <w:b w:val="false"/>
                  <w:color w:val="0000FF"/>
                  <w:sz w:val="20"/>
                  <w:u w:val="single"/>
                </w:rPr>
                <w:t>Forward-Looking Statements and Projections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91">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94">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94">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97">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97">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265f6b59d8149609cf05e66144c1917_100">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03">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03">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0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06">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0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09">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12">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12">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15">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15">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5f6b59d8149609cf05e66144c1917_118">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5f6b59d8149609cf05e66144c1917_118">
              <w:r>
                <w:rPr>
                  <w:rStyle w:val="InternetLink"/>
                  <w:rFonts w:ascii="Times New Roman;serif" w:hAnsi="Times New Roman;serif"/>
                  <w:b w:val="false"/>
                  <w:color w:val="0000FF"/>
                  <w:sz w:val="20"/>
                  <w:u w:val="single"/>
                </w:rPr>
                <w:t>39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EARNINGS AND COMPREHENSIVE INCOME (Unaudited)</w:t>
      </w:r>
    </w:p>
    <w:tbl>
      <w:tblPr>
        <w:tblW w:w="10205" w:type="dxa"/>
        <w:jc w:val="left"/>
        <w:tblInd w:w="0" w:type="dxa"/>
        <w:tblLayout w:type="fixed"/>
        <w:tblCellMar>
          <w:top w:w="28" w:type="dxa"/>
          <w:left w:w="28" w:type="dxa"/>
          <w:bottom w:w="28" w:type="dxa"/>
          <w:right w:w="28" w:type="dxa"/>
        </w:tblCellMar>
      </w:tblPr>
      <w:tblGrid>
        <w:gridCol w:w="1628"/>
        <w:gridCol w:w="1294"/>
        <w:gridCol w:w="1299"/>
        <w:gridCol w:w="268"/>
        <w:gridCol w:w="802"/>
        <w:gridCol w:w="138"/>
        <w:gridCol w:w="138"/>
        <w:gridCol w:w="138"/>
        <w:gridCol w:w="138"/>
        <w:gridCol w:w="268"/>
        <w:gridCol w:w="783"/>
        <w:gridCol w:w="138"/>
        <w:gridCol w:w="109"/>
        <w:gridCol w:w="109"/>
        <w:gridCol w:w="109"/>
        <w:gridCol w:w="242"/>
        <w:gridCol w:w="847"/>
        <w:gridCol w:w="124"/>
        <w:gridCol w:w="124"/>
        <w:gridCol w:w="124"/>
        <w:gridCol w:w="124"/>
        <w:gridCol w:w="242"/>
        <w:gridCol w:w="830"/>
        <w:gridCol w:w="189"/>
      </w:tblGrid>
      <w:tr>
        <w:trPr/>
        <w:tc>
          <w:tcPr>
            <w:tcW w:w="162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4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9,098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25,864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31,879</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20,786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1,572</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1,083</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28,525</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1,269</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FAS pension benefit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3,496</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foreign income tax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3,093</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in millions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w:t>
            </w:r>
            <w:r>
              <w:rPr>
                <w:color w:val="000000"/>
              </w:rPr>
              <w:t>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21.72</w:t>
            </w:r>
            <w:r>
              <w:rPr>
                <w:color w:val="000000"/>
              </w:rPr>
              <w:t>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diluted shares outstanding, in millions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above)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cumulative translation adjustment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1,126</w:t>
            </w:r>
            <w:r>
              <w:rPr>
                <w:color w:val="000000"/>
              </w:rPr>
              <w:t> </w:t>
            </w:r>
          </w:p>
        </w:tc>
        <w:tc>
          <w:tcPr>
            <w:tcW w:w="1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3,087</w:t>
            </w:r>
            <w:r>
              <w:rPr>
                <w:color w:val="000000"/>
              </w:rPr>
              <w:t>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FINANCIAL POSITION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0"/>
        <w:gridCol w:w="2140"/>
        <w:gridCol w:w="2148"/>
        <w:gridCol w:w="294"/>
        <w:gridCol w:w="1030"/>
        <w:gridCol w:w="152"/>
        <w:gridCol w:w="109"/>
        <w:gridCol w:w="109"/>
        <w:gridCol w:w="109"/>
        <w:gridCol w:w="284"/>
        <w:gridCol w:w="971"/>
        <w:gridCol w:w="209"/>
      </w:tblGrid>
      <w:tr>
        <w:trPr/>
        <w:tc>
          <w:tcPr>
            <w:tcW w:w="265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par value</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3,744</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net</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7,899</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 net</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16,977</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$10,306 for 2026 and $9,648 for 2025</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10,461</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2,182</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17,440</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 assets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3,447</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1,502</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52,497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billings in excess of costs incurred</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4,595</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 of $764 for 2026 and $534 for 2025</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14,433</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 liabilities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1,076</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33,814</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7)</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 par value; 10,000,000 shares authorized; no shares issued and outstanding</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 par value; 800,000,000 shares authorized; issued and outstanding: 2026—142,064,132 and 2025—141,997,194</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18,610</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18,683</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52,497</w:t>
            </w:r>
            <w:r>
              <w:rPr>
                <w:color w:val="000000"/>
              </w:rPr>
              <w:t> </w:t>
            </w:r>
          </w:p>
        </w:tc>
        <w:tc>
          <w:tcPr>
            <w:tcW w:w="1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51,377 </w:t>
            </w:r>
          </w:p>
        </w:tc>
        <w:tc>
          <w:tcPr>
            <w:tcW w:w="2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(Unaudited)</w:t>
      </w:r>
    </w:p>
    <w:tbl>
      <w:tblPr>
        <w:tblW w:w="8709" w:type="dxa"/>
        <w:jc w:val="left"/>
        <w:tblInd w:w="0" w:type="dxa"/>
        <w:tblLayout w:type="fixed"/>
        <w:tblCellMar>
          <w:top w:w="28" w:type="dxa"/>
          <w:left w:w="28" w:type="dxa"/>
          <w:bottom w:w="28" w:type="dxa"/>
          <w:right w:w="28" w:type="dxa"/>
        </w:tblCellMar>
      </w:tblPr>
      <w:tblGrid>
        <w:gridCol w:w="2093"/>
        <w:gridCol w:w="1833"/>
        <w:gridCol w:w="1849"/>
        <w:gridCol w:w="274"/>
        <w:gridCol w:w="821"/>
        <w:gridCol w:w="141"/>
        <w:gridCol w:w="141"/>
        <w:gridCol w:w="141"/>
        <w:gridCol w:w="141"/>
        <w:gridCol w:w="274"/>
        <w:gridCol w:w="801"/>
        <w:gridCol w:w="200"/>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 provided by operating activities: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B-21 loss provision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OPB income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OPB contributions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payments and billings in excess of costs incurred</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equipment to a customer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training services business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long-term debt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employee taxes withheld from share-based awards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and cash equivalents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3,744</w:t>
            </w:r>
            <w:r>
              <w:rPr>
                <w:color w:val="000000"/>
              </w:rPr>
              <w:t> </w:t>
            </w:r>
          </w:p>
        </w:tc>
        <w:tc>
          <w:tcPr>
            <w:tcW w:w="1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(Unaudited)</w:t>
      </w:r>
    </w:p>
    <w:tbl>
      <w:tblPr>
        <w:tblW w:w="10052" w:type="dxa"/>
        <w:jc w:val="left"/>
        <w:tblInd w:w="0" w:type="dxa"/>
        <w:tblLayout w:type="fixed"/>
        <w:tblCellMar>
          <w:top w:w="28" w:type="dxa"/>
          <w:left w:w="28" w:type="dxa"/>
          <w:bottom w:w="28" w:type="dxa"/>
          <w:right w:w="28" w:type="dxa"/>
        </w:tblCellMar>
      </w:tblPr>
      <w:tblGrid>
        <w:gridCol w:w="1384"/>
        <w:gridCol w:w="1218"/>
        <w:gridCol w:w="1222"/>
        <w:gridCol w:w="258"/>
        <w:gridCol w:w="902"/>
        <w:gridCol w:w="133"/>
        <w:gridCol w:w="133"/>
        <w:gridCol w:w="133"/>
        <w:gridCol w:w="133"/>
        <w:gridCol w:w="258"/>
        <w:gridCol w:w="883"/>
        <w:gridCol w:w="133"/>
        <w:gridCol w:w="109"/>
        <w:gridCol w:w="109"/>
        <w:gridCol w:w="109"/>
        <w:gridCol w:w="251"/>
        <w:gridCol w:w="876"/>
        <w:gridCol w:w="129"/>
        <w:gridCol w:w="129"/>
        <w:gridCol w:w="129"/>
        <w:gridCol w:w="129"/>
        <w:gridCol w:w="251"/>
        <w:gridCol w:w="858"/>
        <w:gridCol w:w="183"/>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Paid-in capital</w:t>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16,658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3,093</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18,683</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share</w:t>
            </w:r>
          </w:p>
        </w:tc>
        <w:tc>
          <w:tcPr>
            <w:tcW w:w="25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133"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33"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w:t>
            </w:r>
            <w:r>
              <w:rPr>
                <w:color w:val="000000"/>
              </w:rPr>
              <w:t> </w:t>
            </w:r>
          </w:p>
        </w:tc>
        <w:tc>
          <w:tcPr>
            <w:tcW w:w="12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83"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Principles of Consolidation and Reporting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2025 operating results include sales and operating income for the training services business prior to the Divestiture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modified our presentation of the changes in liabilities in the operating cash flow section of the consolidated statement of cash flows by disaggregating Accounts payable and other liabilities into three separate line items: Accounts payable, Advance payments and billings in excess of costs incurred, and Other liabilities. Prior period amounts have been conformed to the current period presentation. The modified presentation does not impact previously reported cash provided by operating activities.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Results reported in the financial statements are not necessarily indicative of results that may be expected for the entire year. The financial statements should be read in conjunction with the information contained in the company’s 2025 Annual Report on Form 10-K.</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Estimates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obligation, the entire amount of the estimable future loss, including an allocation of general and administrative (G&amp;A) cost, is charged against income in the period the loss is identified.</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B-21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has previously recognized and disclosed cumulative losses of approximately $2.0 billion on the low-rate initial production (LRIP) phase of the B-21 program. As of September 30, 2026, the remaining loss accrual totaled $1.0 billion, which is included in Other current liabilities.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EAC Adjustments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aggregate net EAC adjustments:</w:t>
      </w:r>
    </w:p>
    <w:tbl>
      <w:tblPr>
        <w:tblW w:w="9215" w:type="dxa"/>
        <w:jc w:val="left"/>
        <w:tblInd w:w="0" w:type="dxa"/>
        <w:tblLayout w:type="fixed"/>
        <w:tblCellMar>
          <w:top w:w="28" w:type="dxa"/>
          <w:left w:w="28" w:type="dxa"/>
          <w:bottom w:w="28" w:type="dxa"/>
          <w:right w:w="28" w:type="dxa"/>
        </w:tblCellMar>
      </w:tblPr>
      <w:tblGrid>
        <w:gridCol w:w="1080"/>
        <w:gridCol w:w="950"/>
        <w:gridCol w:w="954"/>
        <w:gridCol w:w="327"/>
        <w:gridCol w:w="746"/>
        <w:gridCol w:w="169"/>
        <w:gridCol w:w="169"/>
        <w:gridCol w:w="169"/>
        <w:gridCol w:w="169"/>
        <w:gridCol w:w="327"/>
        <w:gridCol w:w="723"/>
        <w:gridCol w:w="169"/>
        <w:gridCol w:w="109"/>
        <w:gridCol w:w="109"/>
        <w:gridCol w:w="109"/>
        <w:gridCol w:w="316"/>
        <w:gridCol w:w="722"/>
        <w:gridCol w:w="163"/>
        <w:gridCol w:w="163"/>
        <w:gridCol w:w="163"/>
        <w:gridCol w:w="163"/>
        <w:gridCol w:w="316"/>
        <w:gridCol w:w="699"/>
        <w:gridCol w:w="231"/>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data</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earnings</w:t>
            </w:r>
            <w:r>
              <w:rPr>
                <w:rFonts w:ascii="Times New Roman;serif" w:hAnsi="Times New Roman;serif"/>
                <w:b w:val="false"/>
                <w:color w:val="000000"/>
                <w:sz w:val="13"/>
              </w:rPr>
              <w:t>(1)</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earnings per share</w:t>
            </w:r>
            <w:r>
              <w:rPr>
                <w:rFonts w:ascii="Times New Roman;serif" w:hAnsi="Times New Roman;serif"/>
                <w:b w:val="false"/>
                <w:color w:val="000000"/>
                <w:sz w:val="13"/>
              </w:rPr>
              <w:t>(1)</w:t>
            </w:r>
          </w:p>
        </w:tc>
        <w:tc>
          <w:tcPr>
            <w:tcW w:w="10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color w:val="000000"/>
          <w:sz w:val="12"/>
        </w:rPr>
        <w:t>(1)</w:t>
      </w:r>
      <w:r>
        <w:rPr>
          <w:rFonts w:ascii="Times New Roman;serif" w:hAnsi="Times New Roman;serif"/>
          <w:b w:val="false"/>
          <w:color w:val="000000"/>
          <w:sz w:val="18"/>
        </w:rPr>
        <w:t>Based on a 21 percent federal statutory tax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EAC adjustments can have a significant effect on the company’s financial statements. When such adjustments occur, we generally disclose the nature, underlying conditions and financial impact of the adjustments. In most cases, EAC adjustments have an equal impact on both revenue and operating income. However, for contracts in a forward loss position, the impact of EAC adjustments on revenue is different than the impact on operating income because changes in forward losses also impact cost of sales.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2026 – No EAC adjustments on a single performance obligation had a significant impact on the financial statements during the three months ended September 30, 2026. During the second quarter of 2026, the company recorded a $91 million unfavorable EAC adjustment on the Graphite Epoxy Motor (GEM) 63XL program at Space Systems and a $68 million unfavorable EAC adjustment on the Stand-in Attack Weapon (SiAW) program at Defense Systems. During the first quarter of 2026, the company recorded a $71 million unfavorable EAC adjustment on the GEM 63XL program and a $157 million net unfavorable EAC adjustment on the first four LRIP lots of the B-21 program at Aeronautics Systems, which was offset by a net reduction in the loss contingency accrual on the remainder of the program.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2025 – During the third quarter of 2025, the company recorded a $68 million favorable EAC adjustment in the restricted advanced microelectronics portfolio at Mission Systems as well as a $122 million unfavorable EAC adjustment on the first and second LRIP lots of the B-21 program, which was offset by a net reduction in the loss contingency accrual on the remaining LRIP lots. During the second quarter of 2025, the company recorded a $76 million favorable EAC adjustment on the engineering and manufacturing development (EMD) phase of the Sentinel program at Defense Systems. During the first quarter of 2025, the company recorded a $226 million unfavorable EAC adjustment on the first and second LRIP lots of the B-21 program at Aeronautics Systems.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Company backlog as of September 30, 2026 was $109.6 billion. Of our September 30, 2026 backlog, we expect to recognize approximately 35 percent as revenue over the next 12 months and 55 percent as revenue over the next 24 months, with the remainder to be recognized thereafter.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costs incurred in the unaudited condensed consolidated statements of financial position. The amount of revenue recognized for the three and nine months ended September 30, 2026 that was included in the December 31, 2025 contract liability balance was $552 million and $3.1 billion, respectively. The amount of revenue recognized for the three and nine months ended September 30, 2025 that was included in the December 31, 2024 contract liability balance was $431 million and $3.1 billion, respectively.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Plant, and Equipment (PP&amp;E)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first quarter 2026 agreement with the U.S. Air Force to expand production capacity and increase the aircraft production rate for the B-21 program, we agreed to sell an aircraft to the U.S. Air Force that we had previously planned to utilize as a company-owned test asset. While the sale of this asset accelerates the LRIP aircraft delivery schedule, it does not change the number of aircraft we expect to deliver under the LRIP phase of the program. Because the company previously intended to use the test asset for internal purposes, we recognized the acquisition costs as capital expenditures and included it in PP&amp;E. As we regularly sell this type of asset to customers in the ordinary course of business, we recorded the sale as a revenue transaction and included the net book value of the asset in Operating costs and expenses. Although we generally classify proceeds from revenue transactions as cash inflows from operating activities, we recognized the proceeds from this transaction as cash inflows from investing activities, consistent with our prior recognition of the cost to acquire the asset as capital expenditures. The company received cash payments of $371 million related to the sale during the third quarter of 2026 and included it in Proceeds from sale of equipment to a customer in the consolidated statements of cash flows.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received lease incentives for landlord funded leasehold improvements of $90 million related to Aeronautics Systems real estate leases, which were recorded in PP&amp;E and included in non-cash investing activities.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 for the nine months ended September 30, 2026 and 2025 include capital expenditures incurred but not yet paid of $149 million and $140 million, respectively.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Accumulated Other Comprehensive Loss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net of tax, are as follows:</w:t>
      </w:r>
    </w:p>
    <w:tbl>
      <w:tblPr>
        <w:tblW w:w="7557" w:type="dxa"/>
        <w:jc w:val="left"/>
        <w:tblInd w:w="0" w:type="dxa"/>
        <w:tblLayout w:type="fixed"/>
        <w:tblCellMar>
          <w:top w:w="28" w:type="dxa"/>
          <w:left w:w="28" w:type="dxa"/>
          <w:bottom w:w="28" w:type="dxa"/>
          <w:right w:w="28" w:type="dxa"/>
        </w:tblCellMar>
      </w:tblPr>
      <w:tblGrid>
        <w:gridCol w:w="1353"/>
        <w:gridCol w:w="1186"/>
        <w:gridCol w:w="1196"/>
        <w:gridCol w:w="466"/>
        <w:gridCol w:w="1063"/>
        <w:gridCol w:w="241"/>
        <w:gridCol w:w="109"/>
        <w:gridCol w:w="109"/>
        <w:gridCol w:w="109"/>
        <w:gridCol w:w="429"/>
        <w:gridCol w:w="980"/>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2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all periods presented, the company had no material related party transactions.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00"/>
        <w:jc w:val="left"/>
        <w:rPr/>
      </w:pPr>
      <w:r>
        <w:rPr>
          <w:rFonts w:ascii="Times New Roman;serif" w:hAnsi="Times New Roman;serif"/>
          <w:b w:val="false"/>
          <w:color w:val="000000"/>
          <w:sz w:val="20"/>
        </w:rPr>
        <w:t xml:space="preserve">On November 4, 2024, the Financial Accounting Standards Board (FASB) issued Accounting Standards Update (ASU) No. 2024-03 </w:t>
      </w:r>
      <w:r>
        <w:rPr>
          <w:rFonts w:ascii="Times New Roman;serif" w:hAnsi="Times New Roman;serif"/>
          <w:b w:val="false"/>
          <w:i/>
          <w:color w:val="000000"/>
          <w:sz w:val="20"/>
        </w:rPr>
        <w:t>Disaggregation of Income Statement Expenses (Subtopic 220-40).</w:t>
      </w:r>
      <w:r>
        <w:rPr>
          <w:color w:val="000000"/>
        </w:rPr>
        <w:t xml:space="preserve"> </w:t>
      </w:r>
      <w:r>
        <w:rPr>
          <w:rFonts w:ascii="Times New Roman;serif" w:hAnsi="Times New Roman;serif"/>
          <w:b w:val="false"/>
          <w:color w:val="000000"/>
          <w:sz w:val="20"/>
        </w:rPr>
        <w:t>ASU 2024-03 requires disaggregation of certain expense captions into specified categories in disclosures within the footnotes to the financial statements. ASU 2024-03 will be effective for annual periods beginning January 1, 2027 and interim periods beginning January 1, 2028. We expect to adopt ASU 2024-03 on a prospective basis; the standard will not have an impact on the company’s consolidated financial position, results of operations or cash flows.</w:t>
      </w:r>
    </w:p>
    <w:p>
      <w:pPr>
        <w:pStyle w:val="TextBody"/>
        <w:bidi w:val="0"/>
        <w:spacing w:lineRule="auto" w:line="288" w:before="0" w:after="100"/>
        <w:jc w:val="left"/>
        <w:rPr/>
      </w:pPr>
      <w:r>
        <w:rPr>
          <w:rFonts w:ascii="Times New Roman;serif" w:hAnsi="Times New Roman;serif"/>
          <w:b w:val="false"/>
          <w:color w:val="000000"/>
          <w:sz w:val="20"/>
        </w:rPr>
        <w:t xml:space="preserve">On September 18, 2025, the FASB issued ASU No. 2025-06 </w:t>
      </w:r>
      <w:r>
        <w:rPr>
          <w:rFonts w:ascii="Times New Roman;serif" w:hAnsi="Times New Roman;serif"/>
          <w:b w:val="false"/>
          <w:i/>
          <w:color w:val="000000"/>
          <w:sz w:val="20"/>
        </w:rPr>
        <w:t>Targeted Improvements to the Accounting for Internal-Use Software (Subtopic 350-40)</w:t>
      </w:r>
      <w:r>
        <w:rPr>
          <w:rFonts w:ascii="Times New Roman;serif" w:hAnsi="Times New Roman;serif"/>
          <w:b w:val="false"/>
          <w:color w:val="000000"/>
          <w:sz w:val="20"/>
        </w:rPr>
        <w:t>. ASU 2025-06 removes references to prescriptive and sequential software development stages, requiring companies to capitalize internal-use software costs when management commits to funding the software project and it is probable the project will be completed. ASU 2025-06 will be effective for annual and interim periods beginning January 1, 2028, and can be applied on a prospective, modified prospective, or retrospective basis. We do not currently expect the standard will have a material impact on the company’s consolidated financial position, results of operations or cash flows.</w:t>
      </w:r>
    </w:p>
    <w:p>
      <w:pPr>
        <w:pStyle w:val="TextBody"/>
        <w:bidi w:val="0"/>
        <w:spacing w:lineRule="auto" w:line="288" w:before="0" w:after="100"/>
        <w:jc w:val="left"/>
        <w:rPr/>
      </w:pPr>
      <w:r>
        <w:rPr>
          <w:rFonts w:ascii="Times New Roman;serif" w:hAnsi="Times New Roman;serif"/>
          <w:b w:val="false"/>
          <w:color w:val="000000"/>
          <w:sz w:val="20"/>
        </w:rPr>
        <w:t xml:space="preserve">On December 8, 2025, the FASB issued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ASU 2025-11 clarifies the applicability of Topic 270 and the form and content of interim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statements. In addition, ASU 2025-11 requires entities to disclose material events occurring since the last annual reporting period. ASU 2025-11 will be effective for interim periods beginning January 1, 2028, and can be applied on a prospective or retrospective basis. We are evaluating the disclosure impact of ASU 2025-11; however, the standard will not have an impact on the company’s consolidated financial position, results of operations or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accounting standards updates adopted and/or issued, but not effective until after September 30, 2026, are not expected to have a material effect on the company’s consolidated financial position, results of operations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2.    EARNINGS PER SHARE, SHARE REPURCHASES AND DIVIDENDS ON COMMON STOCK</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Basic Earnings Per Share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calculate basic earnings per share by dividing net earnings by the weighted-average number of shares of common stock outstanding during each period.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include the dilutive effect of awards granted to employees under stock-based compensation plans. The dilutive effect of these securities totaled 0.3 million shares for each of the three and nine months ended September 30, 2026. The dilutive effect of these securities totaled 0.4 million shares and 0.3 million shares for the three and nine months ended September 30, 2025, respectively.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00"/>
        <w:jc w:val="left"/>
        <w:rPr/>
      </w:pPr>
      <w:r>
        <w:rPr>
          <w:rFonts w:ascii="Times New Roman;serif" w:hAnsi="Times New Roman;serif"/>
          <w:b w:val="false"/>
          <w:color w:val="000000"/>
          <w:sz w:val="20"/>
        </w:rPr>
        <w:t>On December 11, 2024, the company’s board of directors authorized a share repurchase program of up to $3.0 billion in share repurchases of the company’s common stock. Repurchases under the p</w:t>
      </w:r>
      <w:r>
        <w:rPr>
          <w:rFonts w:ascii="Times New Roman;serif" w:hAnsi="Times New Roman;serif"/>
          <w:b w:val="false"/>
          <w:color w:val="000000"/>
          <w:sz w:val="20"/>
          <w:shd w:fill="FFFFFF" w:val="clear"/>
        </w:rPr>
        <w:t xml:space="preserve">rogram commenced in September 2025 </w:t>
      </w:r>
      <w:r>
        <w:rPr>
          <w:rFonts w:ascii="Times New Roman;serif" w:hAnsi="Times New Roman;serif"/>
          <w:b w:val="false"/>
          <w:color w:val="000000"/>
          <w:sz w:val="20"/>
        </w:rPr>
        <w:t>and $2.5 billion of the share repurchase authorization remained as of September 30, 2026. We had no repurchases of common stock during the three months ended September 30, 2026.</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on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2026, the company increased the quarterly common stock dividend 7 percent to $2.47 per share from the previous amount of $2.31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3.    INVENTORIED COSTS,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 net consisted of the following:</w:t>
      </w:r>
    </w:p>
    <w:tbl>
      <w:tblPr>
        <w:tblW w:w="6052"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392"/>
        <w:gridCol w:w="1174"/>
        <w:gridCol w:w="204"/>
        <w:gridCol w:w="109"/>
        <w:gridCol w:w="109"/>
        <w:gridCol w:w="109"/>
        <w:gridCol w:w="371"/>
        <w:gridCol w:w="1083"/>
        <w:gridCol w:w="27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Inventoried costs, net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1,361</w:t>
            </w:r>
            <w:r>
              <w:rPr>
                <w:color w:val="000000"/>
              </w:rPr>
              <w:t> </w:t>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4.    INCOME TAXES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As part of the enactment of the OBBBA, the company became subject to the corporate alternative minimum tax (CAMT) and recorded CAMT credit carryforwards of $187 million during 2025. In February 2026, the Internal Revenue Service (IRS) issued Notice 2026-7, providing interim relief for the CAMT through a favorable adjustment related to the amortization of research and development expenditures under IRC Section 174. The company recognized the impacts of Notice 2026-7 during the first quarter of 2026, resulting in a $187 million decrease in CAMT credit carryforwards and a corresponding increase in Taxes receivable, as well as a $19 million reduction to federal income tax expense.</w:t>
      </w:r>
    </w:p>
    <w:tbl>
      <w:tblPr>
        <w:tblW w:w="9575" w:type="dxa"/>
        <w:jc w:val="left"/>
        <w:tblInd w:w="0" w:type="dxa"/>
        <w:tblLayout w:type="fixed"/>
        <w:tblCellMar>
          <w:top w:w="28" w:type="dxa"/>
          <w:left w:w="28" w:type="dxa"/>
          <w:bottom w:w="28" w:type="dxa"/>
          <w:right w:w="28" w:type="dxa"/>
        </w:tblCellMar>
      </w:tblPr>
      <w:tblGrid>
        <w:gridCol w:w="1212"/>
        <w:gridCol w:w="1062"/>
        <w:gridCol w:w="1071"/>
        <w:gridCol w:w="276"/>
        <w:gridCol w:w="630"/>
        <w:gridCol w:w="394"/>
        <w:gridCol w:w="142"/>
        <w:gridCol w:w="142"/>
        <w:gridCol w:w="142"/>
        <w:gridCol w:w="276"/>
        <w:gridCol w:w="610"/>
        <w:gridCol w:w="355"/>
        <w:gridCol w:w="109"/>
        <w:gridCol w:w="109"/>
        <w:gridCol w:w="109"/>
        <w:gridCol w:w="268"/>
        <w:gridCol w:w="611"/>
        <w:gridCol w:w="382"/>
        <w:gridCol w:w="138"/>
        <w:gridCol w:w="138"/>
        <w:gridCol w:w="138"/>
        <w:gridCol w:w="268"/>
        <w:gridCol w:w="592"/>
        <w:gridCol w:w="401"/>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foreign income tax expense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income tax rate</w:t>
            </w:r>
          </w:p>
        </w:tc>
        <w:tc>
          <w:tcPr>
            <w:tcW w:w="9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3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income tax expense decreased $49 million, or 22 percent, due to a lower effective tax rate (ETR) and $25 million of lower earnings before income taxes. The third quarter 2026 ETR decreased to 13.4 percent from 16.9 percent principally due to higher research credits. The third quarter 2026 ETR includes benefits of $112 million for research credits and $15 million for foreign-derived deduction-eligible income (FDDEI), partially offset by $21 million of interest expense on unrecognized tax benefits. The third quarter 2025 ETR included benefits of $66 million for research credits and $16 million for foreign derived intangible income (FDII), partially offset by $19 million of interest expense on unrecognized tax benefits.</w:t>
      </w:r>
    </w:p>
    <w:p>
      <w:pPr>
        <w:pStyle w:val="TextBody"/>
        <w:bidi w:val="0"/>
        <w:spacing w:lineRule="auto" w:line="288" w:before="0" w:after="100"/>
        <w:jc w:val="left"/>
        <w:rPr/>
      </w:pPr>
      <w:r>
        <w:rPr>
          <w:rFonts w:ascii="Times New Roman;serif" w:hAnsi="Times New Roman;serif"/>
          <w:b w:val="false"/>
          <w:i/>
          <w:color w:val="000000"/>
          <w:sz w:val="20"/>
        </w:rPr>
        <w:t>Year to Date</w:t>
        <w:br/>
      </w:r>
      <w:r>
        <w:rPr>
          <w:rFonts w:ascii="Times New Roman;serif" w:hAnsi="Times New Roman;serif"/>
          <w:b w:val="false"/>
          <w:color w:val="000000"/>
          <w:sz w:val="20"/>
        </w:rPr>
        <w:t>Year to date 2026 income tax expense decreased $170 million, or 30 percent, due to a lower ETR, partially offset by $168 million of higher earnings before income taxes. The year to date 2026 ETR decreased to 11.5 percent from 17.2 percent primarily due to the remeasurement of unrecognized tax benefits during the second quarter of 2026 given recent developments with the IRS towards resolving our previously filed federal income tax returns and refund claims, as well as higher research credits, including a $19 million benefit related to the CAMT guidance discussed above. The year to date 2026 ETR includes benefits of $356 million for research credits, inclusive of the unrecognized tax benefit remeasurement of $115 million, and $35 million for FDDEI, partially offset by $46 million of interest expense on unrecognized tax benefits. The year to date 2025 ETR included benefits of $169 million for research credits and $34 million for FDII, partially offset by $53 million of interest expense on unrecognized tax benefits and $17 million of tax expense related to nondeductible goodwill in the divested training services business.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file income tax returns in the U.S. federal jurisdiction and in various state and foreign jurisdictions. Certain matters related to the company’s 2018-2024 federal income tax returns are currently under IRS examination. Certain matters related to the company’s 2014-2017 federal income tax returns and refund claims related to its 2007-2016 federal tax returns are currently under review by the IRS Appeals Office.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Current unrecognized tax benefits, which are included in Other current liabilities, were $800 million and $436 million as of September 30, 2026 and December 31, 2025, respectively. Non-current unrecognized tax benefits, which are included in Other non-current liabilities, were $1.3 billion and $1.6 billion as of September 30, 2026 and December 31,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Taxes receivable, which are included in Prepaid expenses and other current assets in the unaudited condensed consolidated statements of financial position, were $1.0 billion as of September 30, 2026 and $924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5.    FAIR VALUE OF FINANCIAL INSTRUMENTS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a portfolio of marketable securities including investments to partially fund non-qualified employee benefit plans as well as investments in companies that are advancing or developing technologies applicable to our business. A portion of these securities are held in common/collective trust funds and are measured at fair value using net asset value (NAV) per share as a practical expedient; therefore, they are not categorized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fair value hierarchy table below. Marketable securities are included in Other non-current assets in the unaudited condensed consolidated statements of financial position.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financial assets and liabilities the company records at fair value identified by the level of inputs used to determine fair value: </w:t>
      </w:r>
    </w:p>
    <w:tbl>
      <w:tblPr>
        <w:tblW w:w="10205" w:type="dxa"/>
        <w:jc w:val="left"/>
        <w:tblInd w:w="0" w:type="dxa"/>
        <w:tblLayout w:type="fixed"/>
        <w:tblCellMar>
          <w:top w:w="28" w:type="dxa"/>
          <w:left w:w="28" w:type="dxa"/>
          <w:bottom w:w="28" w:type="dxa"/>
          <w:right w:w="28" w:type="dxa"/>
        </w:tblCellMar>
      </w:tblPr>
      <w:tblGrid>
        <w:gridCol w:w="703"/>
        <w:gridCol w:w="465"/>
        <w:gridCol w:w="453"/>
        <w:gridCol w:w="109"/>
        <w:gridCol w:w="109"/>
        <w:gridCol w:w="109"/>
        <w:gridCol w:w="211"/>
        <w:gridCol w:w="481"/>
        <w:gridCol w:w="109"/>
        <w:gridCol w:w="109"/>
        <w:gridCol w:w="109"/>
        <w:gridCol w:w="109"/>
        <w:gridCol w:w="223"/>
        <w:gridCol w:w="287"/>
        <w:gridCol w:w="115"/>
        <w:gridCol w:w="109"/>
        <w:gridCol w:w="109"/>
        <w:gridCol w:w="109"/>
        <w:gridCol w:w="213"/>
        <w:gridCol w:w="381"/>
        <w:gridCol w:w="110"/>
        <w:gridCol w:w="109"/>
        <w:gridCol w:w="109"/>
        <w:gridCol w:w="109"/>
        <w:gridCol w:w="211"/>
        <w:gridCol w:w="481"/>
        <w:gridCol w:w="109"/>
        <w:gridCol w:w="109"/>
        <w:gridCol w:w="109"/>
        <w:gridCol w:w="109"/>
        <w:gridCol w:w="211"/>
        <w:gridCol w:w="466"/>
        <w:gridCol w:w="109"/>
        <w:gridCol w:w="109"/>
        <w:gridCol w:w="109"/>
        <w:gridCol w:w="109"/>
        <w:gridCol w:w="211"/>
        <w:gridCol w:w="406"/>
        <w:gridCol w:w="109"/>
        <w:gridCol w:w="109"/>
        <w:gridCol w:w="109"/>
        <w:gridCol w:w="109"/>
        <w:gridCol w:w="213"/>
        <w:gridCol w:w="366"/>
        <w:gridCol w:w="110"/>
        <w:gridCol w:w="109"/>
        <w:gridCol w:w="109"/>
        <w:gridCol w:w="109"/>
        <w:gridCol w:w="211"/>
        <w:gridCol w:w="466"/>
        <w:gridCol w:w="159"/>
      </w:tblGrid>
      <w:tr>
        <w:trPr/>
        <w:tc>
          <w:tcPr>
            <w:tcW w:w="7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valued using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into or out of Level 3 of the fair value hierarchy during the nine months ended September 30, 2026.</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sold its investment in a public company for $107 million and recognized a related gain of $35 million. Unrealized gains and losses from marketable securities, which are reflected in Other, net on the unaudited condensed consolidated statement of earnings and comprehensive income, were not material for the three and nine months ended September 30, 2026. Unrealized gains and losses from marketable securities were $82 million and $92 million for the three and nine months ended September 30, 2025.</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notional value of the company’s foreign currency forward contracts at September 30, 2026 and December 31, 2025 was $291 million and $308 million, respectively. The portion of notional value designated as a cash flow hedge at September 30, 2026 and December 31, 2025 was $147 million and $167 million, respectively.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derivative fair values and related unrealized gains/losses at September 30, 2026 and December 31, 2025 were not material.</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carrying value of cash and cash equivalents approximates fair value.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long-term debt was $13.7 billion and $15.1 billion as of September 30, 2026 and December 31, 2025,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Issuance of Senior Notes</w:t>
      </w:r>
    </w:p>
    <w:p>
      <w:pPr>
        <w:pStyle w:val="TextBody"/>
        <w:bidi w:val="0"/>
        <w:spacing w:lineRule="auto" w:line="288" w:before="0" w:after="100"/>
        <w:jc w:val="left"/>
        <w:rPr/>
      </w:pPr>
      <w:r>
        <w:rPr>
          <w:rFonts w:ascii="Times New Roman;serif" w:hAnsi="Times New Roman;serif"/>
          <w:b w:val="false"/>
          <w:color w:val="000000"/>
          <w:sz w:val="20"/>
        </w:rPr>
        <w:t>During the nine months ended September 30, 2026</w:t>
      </w:r>
      <w:r>
        <w:rPr>
          <w:rFonts w:ascii="sans-serif" w:hAnsi="sans-serif"/>
          <w:b w:val="false"/>
          <w:color w:val="000000"/>
          <w:sz w:val="20"/>
        </w:rPr>
        <w:t>,</w:t>
      </w:r>
      <w:r>
        <w:rPr>
          <w:color w:val="000000"/>
        </w:rPr>
        <w:t xml:space="preserve"> </w:t>
      </w:r>
      <w:r>
        <w:rPr>
          <w:rFonts w:ascii="Times New Roman;serif" w:hAnsi="Times New Roman;serif"/>
          <w:b w:val="false"/>
          <w:color w:val="000000"/>
          <w:sz w:val="20"/>
        </w:rPr>
        <w:t>the company issued no unsecured senior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May 2025, the company issued $1.0 billion of unsecured senior notes for general corporate purposes, including debt repayment, share repurchases, and working capital, as follows: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$500 million of 4.65% senior notes due 2030 (the “2030 Notes”) and</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$500 million of 5.25% senior notes due 2035 (the “2035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refer to the 2030 Notes and 2035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Repayment of Senior Notes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March 2026, the company repaid $270 million of 7.875% unsecured senior notes and $257 million of 7.75% unsecured senior notes upon maturity.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repaid $1.5 billion of 2.93% unsecured senior notes upon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6.    INVESTIGATIONS, CLAIMS AND LITIGATION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had previously stayed the filed individual lawsuits and, at an April 24, 2026 hearing, denied plaintiffs’ motion to lift that stay as to a subset of plaintiffs. The parties have submitted supplemental briefing on pending class certification and expert motions in the putative class action. On September 17, 2026, the court granted the parties’ joint request to defer decision on the class certification and expert motions in deference to the parties’ mediation process.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received from the U.S. Department of Justice (DOJ) a criminal subpoena on December 9, 2022, and a civil investigative demand (CID) on February 2, 2023, both seeking information regarding financial and cost accounting and controls focused on the interest rate assumptions the company used to determine our U.S. Government Cost Accounting Standards (CAS) pension expense, which are the subject of the Defense Contract Management Agency (DCMA) inquiry we discuss in Note 7 below. On May 20, 2026, DOJ confirmed that, based on the information it had learned to date, the Criminal Division closed its inquiry into this matter. The company continues to engage with the government in relation to the CID and the DCMA inquiry. We cannot at this point predict the outcome of these remaining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2026, or its annual results of operations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Government Cost Claims and Contingencies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accrued for disputed amounts that are probable and reasonably estimable, and that the outcome of any such matters would not have a material adverse effect on its unaudited condensed consolidated financial position as of September 30, 2026, or its annual results of operations and/or cash flows.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2019, the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matter, including responding to requests for and providing additional information. On February 15, 2024, DCMA sent to the company a Contracting Officer’s determination of noncompliance with CAS, which is an interim, non-final determination, and the parties engaged in discussions. In addition, as noted in Note 6 above, the company received from the DOJ a criminal subpoena on December 9, 2022 and a CID on February 2, 2023, both seeking information related to the interest rate assumptions at issue in our discussions with DCMA. On May 20, 2026, DOJ confirmed that, based on the information it had learned to date, the Criminal Division closed its inquiry into this matter. The company continues to engage with the government in relation to the CID and the DCMA inquiry. We cannot at this point predict the outcome of these remaining matters. The sensitivity to changes in interest rate assumptions makes it reasonably possible the outcome of these matters could have a material adverse effect on our financial position, results of operations and/or cash flows, although we are not currently able to estimate a range of any potential loss.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amount of accrued and deferred costs associated with the company’s environmental remediation liabilities as of September 30, 2026 and December 31, 2025:</w:t>
      </w:r>
    </w:p>
    <w:tbl>
      <w:tblPr>
        <w:tblW w:w="5574" w:type="dxa"/>
        <w:jc w:val="left"/>
        <w:tblInd w:w="0" w:type="dxa"/>
        <w:tblLayout w:type="fixed"/>
        <w:tblCellMar>
          <w:top w:w="28" w:type="dxa"/>
          <w:left w:w="28" w:type="dxa"/>
          <w:bottom w:w="28" w:type="dxa"/>
          <w:right w:w="28" w:type="dxa"/>
        </w:tblCellMar>
      </w:tblPr>
      <w:tblGrid>
        <w:gridCol w:w="516"/>
        <w:gridCol w:w="453"/>
        <w:gridCol w:w="456"/>
        <w:gridCol w:w="109"/>
        <w:gridCol w:w="109"/>
        <w:gridCol w:w="109"/>
        <w:gridCol w:w="466"/>
        <w:gridCol w:w="1063"/>
        <w:gridCol w:w="241"/>
        <w:gridCol w:w="109"/>
        <w:gridCol w:w="109"/>
        <w:gridCol w:w="109"/>
        <w:gridCol w:w="438"/>
        <w:gridCol w:w="966"/>
        <w:gridCol w:w="32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costs</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costs</w:t>
            </w:r>
            <w:r>
              <w:rPr>
                <w:rFonts w:ascii="Times New Roman;serif" w:hAnsi="Times New Roman;serif"/>
                <w:b w:val="false"/>
                <w:color w:val="000000"/>
                <w:sz w:val="13"/>
              </w:rPr>
              <w:t>(2)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w:t>
            </w: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As of September 30, 2026, $215 million is recorded in Other current liabilities and $339 million is recorded in Other non-current liabilities in the unaudited condensed consolidated statements of financial position. Estimated remediation costs are not discounted to present value.</w:t>
      </w:r>
    </w:p>
    <w:p>
      <w:pPr>
        <w:pStyle w:val="TextBody"/>
        <w:bidi w:val="0"/>
        <w:spacing w:lineRule="auto" w:line="288" w:before="0" w:after="10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The company defers the portion of environmental remediation costs we expect to be recoverable through overhead charges on U.S. government contracts. As of September 30, 2026, $200 million is deferred in Prepaid expenses and other current assets and $311 million is deferred in Other non-current assets in the unaudited condensed consolidated statements of financial position. These amounts are routinely evaluated for recoverability.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Reasonably possible future costs in excess of accrued costs were $403 million and $380 million as of September 30, 2026 and December 31, 2025, respectively. We currently expect any such future costs would be recoverable through overhead charges on our U.S. government contracts in a similar proportion as the amounts deferred in the table above.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Although we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September 30, 2026, or its annual results of operations and/or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Arrangements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uses standby letters of credit and guarantees issued by commercial banks and surety bonds issued principally by insurance companies to guarantee the performance on certain obligations. At September 30, 2026, there were $615 million of stand-by letters of credit and guarantees and $271 million of surety bonds outstanding.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Commercial Paper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maintains a commercial paper program that serves as a source of short-term financing with capacity to issue unsecured commercial paper notes up to $3.0 billion. At September 30, 2026, there were no commercial paper borrowings outstanding.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maintains a five-year senior unsecured revolving credit facility in an aggregate principal amount of $3.0 billion (the “2025 Credit Agreement”) that matures in September 2030 and is intended to support the company's commercial paper program and other general corporate purposes. Commercial paper borrowings reduce the amount available for borrowing under the 2025 Credit Agreement. At September 30, 2026, there were no borrowings outstanding under this facility.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generally customary terms and conditions, including covenants restricting the company’s ability to sell all or substantially all of its assets, merge or consolidate with another entity or undertake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other fundamental changes and incur liens. The company also cannot permit the ratio of its debt to capitalization (as set forth in the credit agreement) to exceed 65 percent.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September 30, 2026, the company was in compliance with all covenants under its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8.    RETIREMENT BENEFITS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cost to the company of its pension and other postretirement benefit (OPB) plans is shown in the following table:</w:t>
      </w:r>
    </w:p>
    <w:tbl>
      <w:tblPr>
        <w:tblW w:w="10205" w:type="dxa"/>
        <w:jc w:val="left"/>
        <w:tblInd w:w="0" w:type="dxa"/>
        <w:tblLayout w:type="fixed"/>
        <w:tblCellMar>
          <w:top w:w="28" w:type="dxa"/>
          <w:left w:w="28" w:type="dxa"/>
          <w:bottom w:w="28" w:type="dxa"/>
          <w:right w:w="28" w:type="dxa"/>
        </w:tblCellMar>
      </w:tblPr>
      <w:tblGrid>
        <w:gridCol w:w="758"/>
        <w:gridCol w:w="645"/>
        <w:gridCol w:w="654"/>
        <w:gridCol w:w="211"/>
        <w:gridCol w:w="498"/>
        <w:gridCol w:w="109"/>
        <w:gridCol w:w="109"/>
        <w:gridCol w:w="109"/>
        <w:gridCol w:w="109"/>
        <w:gridCol w:w="211"/>
        <w:gridCol w:w="393"/>
        <w:gridCol w:w="109"/>
        <w:gridCol w:w="109"/>
        <w:gridCol w:w="109"/>
        <w:gridCol w:w="109"/>
        <w:gridCol w:w="211"/>
        <w:gridCol w:w="288"/>
        <w:gridCol w:w="109"/>
        <w:gridCol w:w="109"/>
        <w:gridCol w:w="109"/>
        <w:gridCol w:w="109"/>
        <w:gridCol w:w="211"/>
        <w:gridCol w:w="288"/>
        <w:gridCol w:w="109"/>
        <w:gridCol w:w="109"/>
        <w:gridCol w:w="109"/>
        <w:gridCol w:w="109"/>
        <w:gridCol w:w="211"/>
        <w:gridCol w:w="498"/>
        <w:gridCol w:w="109"/>
        <w:gridCol w:w="109"/>
        <w:gridCol w:w="109"/>
        <w:gridCol w:w="109"/>
        <w:gridCol w:w="211"/>
        <w:gridCol w:w="498"/>
        <w:gridCol w:w="109"/>
        <w:gridCol w:w="109"/>
        <w:gridCol w:w="109"/>
        <w:gridCol w:w="109"/>
        <w:gridCol w:w="211"/>
        <w:gridCol w:w="393"/>
        <w:gridCol w:w="109"/>
        <w:gridCol w:w="109"/>
        <w:gridCol w:w="109"/>
        <w:gridCol w:w="109"/>
        <w:gridCol w:w="211"/>
        <w:gridCol w:w="393"/>
        <w:gridCol w:w="159"/>
      </w:tblGrid>
      <w:tr>
        <w:trPr/>
        <w:tc>
          <w:tcPr>
            <w:tcW w:w="7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OPB</w:t>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 (benefit)</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benefit cost (benefit)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Employer Contributions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Contributions made by the company to its retirement plans are as follows:</w:t>
      </w:r>
    </w:p>
    <w:tbl>
      <w:tblPr>
        <w:tblW w:w="8782" w:type="dxa"/>
        <w:jc w:val="left"/>
        <w:tblInd w:w="0" w:type="dxa"/>
        <w:tblLayout w:type="fixed"/>
        <w:tblCellMar>
          <w:top w:w="28" w:type="dxa"/>
          <w:left w:w="28" w:type="dxa"/>
          <w:bottom w:w="28" w:type="dxa"/>
          <w:right w:w="28" w:type="dxa"/>
        </w:tblCellMar>
      </w:tblPr>
      <w:tblGrid>
        <w:gridCol w:w="924"/>
        <w:gridCol w:w="810"/>
        <w:gridCol w:w="816"/>
        <w:gridCol w:w="367"/>
        <w:gridCol w:w="655"/>
        <w:gridCol w:w="190"/>
        <w:gridCol w:w="190"/>
        <w:gridCol w:w="190"/>
        <w:gridCol w:w="190"/>
        <w:gridCol w:w="367"/>
        <w:gridCol w:w="629"/>
        <w:gridCol w:w="190"/>
        <w:gridCol w:w="109"/>
        <w:gridCol w:w="109"/>
        <w:gridCol w:w="109"/>
        <w:gridCol w:w="354"/>
        <w:gridCol w:w="632"/>
        <w:gridCol w:w="183"/>
        <w:gridCol w:w="183"/>
        <w:gridCol w:w="183"/>
        <w:gridCol w:w="183"/>
        <w:gridCol w:w="354"/>
        <w:gridCol w:w="607"/>
        <w:gridCol w:w="258"/>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OPB plans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plans</w:t>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w:t>
            </w:r>
            <w:r>
              <w:rPr>
                <w:color w:val="000000"/>
              </w:rPr>
              <w:t> </w:t>
            </w:r>
          </w:p>
        </w:tc>
        <w:tc>
          <w:tcPr>
            <w:tcW w:w="1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9.    STOCK COMPENSATION PLANS AND OTHER COMPENSATION ARRANGEMENTS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Awards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number of restricted stock rights (RSRs), restricted performance stock rights (RPSRs), and market stock units (MSUs) granted to employees under the company’s long-term incentive stock plan and the grant date aggregate fair value of those stock awards for the periods presented:</w:t>
      </w:r>
    </w:p>
    <w:tbl>
      <w:tblPr>
        <w:tblW w:w="5872" w:type="dxa"/>
        <w:jc w:val="left"/>
        <w:tblInd w:w="0" w:type="dxa"/>
        <w:tblLayout w:type="fixed"/>
        <w:tblCellMar>
          <w:top w:w="28" w:type="dxa"/>
          <w:left w:w="28" w:type="dxa"/>
          <w:bottom w:w="28" w:type="dxa"/>
          <w:right w:w="28" w:type="dxa"/>
        </w:tblCellMar>
      </w:tblPr>
      <w:tblGrid>
        <w:gridCol w:w="946"/>
        <w:gridCol w:w="827"/>
        <w:gridCol w:w="836"/>
        <w:gridCol w:w="109"/>
        <w:gridCol w:w="109"/>
        <w:gridCol w:w="109"/>
        <w:gridCol w:w="316"/>
        <w:gridCol w:w="722"/>
        <w:gridCol w:w="163"/>
        <w:gridCol w:w="163"/>
        <w:gridCol w:w="163"/>
        <w:gridCol w:w="163"/>
        <w:gridCol w:w="316"/>
        <w:gridCol w:w="699"/>
        <w:gridCol w:w="231"/>
      </w:tblGrid>
      <w:tr>
        <w:trPr/>
        <w:tc>
          <w:tcPr>
            <w:tcW w:w="9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RSRs granted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RPSRs/MSUs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aggregate fair value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RSRs typically vest on the third anniversary of the grant date, while RPSRs and MSUs generally vest and pay out based on the achievement of certain performance metrics and/or market conditions over a three-year period for RPSRs and through December 31, 2031 for MSUs.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Awards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minimum and maximum aggregate payout amounts related to cash units (CUs) and cash performance units (CPUs) granted to employees in the periods presented:</w:t>
      </w:r>
    </w:p>
    <w:tbl>
      <w:tblPr>
        <w:tblW w:w="6338" w:type="dxa"/>
        <w:jc w:val="left"/>
        <w:tblInd w:w="0" w:type="dxa"/>
        <w:tblLayout w:type="fixed"/>
        <w:tblCellMar>
          <w:top w:w="28" w:type="dxa"/>
          <w:left w:w="28" w:type="dxa"/>
          <w:bottom w:w="28" w:type="dxa"/>
          <w:right w:w="28" w:type="dxa"/>
        </w:tblCellMar>
      </w:tblPr>
      <w:tblGrid>
        <w:gridCol w:w="1114"/>
        <w:gridCol w:w="976"/>
        <w:gridCol w:w="984"/>
        <w:gridCol w:w="109"/>
        <w:gridCol w:w="109"/>
        <w:gridCol w:w="109"/>
        <w:gridCol w:w="348"/>
        <w:gridCol w:w="671"/>
        <w:gridCol w:w="180"/>
        <w:gridCol w:w="180"/>
        <w:gridCol w:w="180"/>
        <w:gridCol w:w="180"/>
        <w:gridCol w:w="348"/>
        <w:gridCol w:w="596"/>
        <w:gridCol w:w="254"/>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aggregate payout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aggregate payout amount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CUs typically vest and settle in cash on the third anniversary of the grant date, while CPUs generally vest and pay out in cash based on the achievement of certain performance metrics over a three-year period. During the nine months ended September 30, 2026, there were no CUs granted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aligned in four operating sectors, which also comprise our reportable segments: Aeronautics Systems, Defense Systems, Mission Systems and Space Systems. We generally organize our segments based on the nature of products and services offered.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sales, operating costs and expenses, and operating income by segment: </w:t>
      </w:r>
    </w:p>
    <w:tbl>
      <w:tblPr>
        <w:tblW w:w="9500" w:type="dxa"/>
        <w:jc w:val="left"/>
        <w:tblInd w:w="0" w:type="dxa"/>
        <w:tblLayout w:type="fixed"/>
        <w:tblCellMar>
          <w:top w:w="28" w:type="dxa"/>
          <w:left w:w="28" w:type="dxa"/>
          <w:bottom w:w="28" w:type="dxa"/>
          <w:right w:w="28" w:type="dxa"/>
        </w:tblCellMar>
      </w:tblPr>
      <w:tblGrid>
        <w:gridCol w:w="1183"/>
        <w:gridCol w:w="1038"/>
        <w:gridCol w:w="1048"/>
        <w:gridCol w:w="283"/>
        <w:gridCol w:w="846"/>
        <w:gridCol w:w="146"/>
        <w:gridCol w:w="146"/>
        <w:gridCol w:w="146"/>
        <w:gridCol w:w="146"/>
        <w:gridCol w:w="283"/>
        <w:gridCol w:w="826"/>
        <w:gridCol w:w="146"/>
        <w:gridCol w:w="109"/>
        <w:gridCol w:w="109"/>
        <w:gridCol w:w="109"/>
        <w:gridCol w:w="262"/>
        <w:gridCol w:w="915"/>
        <w:gridCol w:w="135"/>
        <w:gridCol w:w="135"/>
        <w:gridCol w:w="135"/>
        <w:gridCol w:w="135"/>
        <w:gridCol w:w="262"/>
        <w:gridCol w:w="766"/>
        <w:gridCol w:w="191"/>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2,048</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operating income</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6,299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4,668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Defense Systems operating income</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590</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3,155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9,266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Mission Systems operating income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1,434</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7,982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5,817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Space Systems operating income</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783</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profit eliminations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1,345</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3,575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income</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FAS pension benefit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326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w:t>
            </w:r>
            <w:r>
              <w:rPr>
                <w:color w:val="000000"/>
              </w:rPr>
              <w:t>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3,496</w:t>
            </w:r>
            <w:r>
              <w:rPr>
                <w:color w:val="000000"/>
              </w:rPr>
              <w:t> </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FAS/CAS Operating Adjustment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Unallocated Corporate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tbl>
      <w:tblPr>
        <w:tblW w:w="10162" w:type="dxa"/>
        <w:jc w:val="left"/>
        <w:tblInd w:w="0" w:type="dxa"/>
        <w:tblLayout w:type="fixed"/>
        <w:tblCellMar>
          <w:top w:w="28" w:type="dxa"/>
          <w:left w:w="28" w:type="dxa"/>
          <w:bottom w:w="28" w:type="dxa"/>
          <w:right w:w="28" w:type="dxa"/>
        </w:tblCellMar>
      </w:tblPr>
      <w:tblGrid>
        <w:gridCol w:w="808"/>
        <w:gridCol w:w="711"/>
        <w:gridCol w:w="715"/>
        <w:gridCol w:w="211"/>
        <w:gridCol w:w="736"/>
        <w:gridCol w:w="109"/>
        <w:gridCol w:w="188"/>
        <w:gridCol w:w="188"/>
        <w:gridCol w:w="301"/>
        <w:gridCol w:w="109"/>
        <w:gridCol w:w="109"/>
        <w:gridCol w:w="109"/>
        <w:gridCol w:w="211"/>
        <w:gridCol w:w="721"/>
        <w:gridCol w:w="109"/>
        <w:gridCol w:w="202"/>
        <w:gridCol w:w="204"/>
        <w:gridCol w:w="271"/>
        <w:gridCol w:w="109"/>
        <w:gridCol w:w="109"/>
        <w:gridCol w:w="109"/>
        <w:gridCol w:w="211"/>
        <w:gridCol w:w="736"/>
        <w:gridCol w:w="109"/>
        <w:gridCol w:w="188"/>
        <w:gridCol w:w="188"/>
        <w:gridCol w:w="301"/>
        <w:gridCol w:w="109"/>
        <w:gridCol w:w="109"/>
        <w:gridCol w:w="109"/>
        <w:gridCol w:w="211"/>
        <w:gridCol w:w="721"/>
        <w:gridCol w:w="109"/>
        <w:gridCol w:w="202"/>
        <w:gridCol w:w="204"/>
        <w:gridCol w:w="316"/>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by Customer Type</w:t>
            </w:r>
          </w:p>
        </w:tc>
        <w:tc>
          <w:tcPr>
            <w:tcW w:w="37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3"/>
              </w:rPr>
              <w:t>(3)</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government</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Sales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pStyle w:val="TextBody"/>
        <w:bidi w:val="0"/>
        <w:spacing w:lineRule="auto" w:line="288" w:before="100" w:after="100"/>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International sales include sales from contracts for which we are the prime contractor, as well as those for which we are a subcontractor and the ultimate customer is an international customer to the extent that information is available to us or can be reasonably estimated. These sales include foreign military sales contracted through the U.S. government.</w:t>
      </w:r>
    </w:p>
    <w:p>
      <w:pPr>
        <w:pStyle w:val="TextBody"/>
        <w:bidi w:val="0"/>
        <w:spacing w:lineRule="auto" w:line="288" w:before="100" w:after="100"/>
        <w:ind w:left="0" w:right="0" w:hanging="18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10072" w:type="dxa"/>
        <w:jc w:val="left"/>
        <w:tblInd w:w="0" w:type="dxa"/>
        <w:tblLayout w:type="fixed"/>
        <w:tblCellMar>
          <w:top w:w="28" w:type="dxa"/>
          <w:left w:w="28" w:type="dxa"/>
          <w:bottom w:w="28" w:type="dxa"/>
          <w:right w:w="28" w:type="dxa"/>
        </w:tblCellMar>
      </w:tblPr>
      <w:tblGrid>
        <w:gridCol w:w="809"/>
        <w:gridCol w:w="710"/>
        <w:gridCol w:w="715"/>
        <w:gridCol w:w="211"/>
        <w:gridCol w:w="736"/>
        <w:gridCol w:w="109"/>
        <w:gridCol w:w="188"/>
        <w:gridCol w:w="188"/>
        <w:gridCol w:w="301"/>
        <w:gridCol w:w="109"/>
        <w:gridCol w:w="109"/>
        <w:gridCol w:w="109"/>
        <w:gridCol w:w="211"/>
        <w:gridCol w:w="721"/>
        <w:gridCol w:w="109"/>
        <w:gridCol w:w="180"/>
        <w:gridCol w:w="181"/>
        <w:gridCol w:w="271"/>
        <w:gridCol w:w="109"/>
        <w:gridCol w:w="109"/>
        <w:gridCol w:w="109"/>
        <w:gridCol w:w="211"/>
        <w:gridCol w:w="736"/>
        <w:gridCol w:w="109"/>
        <w:gridCol w:w="188"/>
        <w:gridCol w:w="188"/>
        <w:gridCol w:w="301"/>
        <w:gridCol w:w="109"/>
        <w:gridCol w:w="109"/>
        <w:gridCol w:w="109"/>
        <w:gridCol w:w="211"/>
        <w:gridCol w:w="721"/>
        <w:gridCol w:w="109"/>
        <w:gridCol w:w="180"/>
        <w:gridCol w:w="181"/>
        <w:gridCol w:w="316"/>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by Contract Type</w:t>
            </w:r>
          </w:p>
        </w:tc>
        <w:tc>
          <w:tcPr>
            <w:tcW w:w="37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(1)</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Cost-type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10205" w:type="dxa"/>
        <w:jc w:val="left"/>
        <w:tblInd w:w="0" w:type="dxa"/>
        <w:tblLayout w:type="fixed"/>
        <w:tblCellMar>
          <w:top w:w="28" w:type="dxa"/>
          <w:left w:w="28" w:type="dxa"/>
          <w:bottom w:w="28" w:type="dxa"/>
          <w:right w:w="28" w:type="dxa"/>
        </w:tblCellMar>
      </w:tblPr>
      <w:tblGrid>
        <w:gridCol w:w="816"/>
        <w:gridCol w:w="699"/>
        <w:gridCol w:w="701"/>
        <w:gridCol w:w="211"/>
        <w:gridCol w:w="736"/>
        <w:gridCol w:w="109"/>
        <w:gridCol w:w="203"/>
        <w:gridCol w:w="203"/>
        <w:gridCol w:w="301"/>
        <w:gridCol w:w="109"/>
        <w:gridCol w:w="109"/>
        <w:gridCol w:w="109"/>
        <w:gridCol w:w="211"/>
        <w:gridCol w:w="721"/>
        <w:gridCol w:w="109"/>
        <w:gridCol w:w="202"/>
        <w:gridCol w:w="204"/>
        <w:gridCol w:w="271"/>
        <w:gridCol w:w="109"/>
        <w:gridCol w:w="109"/>
        <w:gridCol w:w="109"/>
        <w:gridCol w:w="211"/>
        <w:gridCol w:w="736"/>
        <w:gridCol w:w="109"/>
        <w:gridCol w:w="203"/>
        <w:gridCol w:w="203"/>
        <w:gridCol w:w="301"/>
        <w:gridCol w:w="109"/>
        <w:gridCol w:w="109"/>
        <w:gridCol w:w="109"/>
        <w:gridCol w:w="211"/>
        <w:gridCol w:w="721"/>
        <w:gridCol w:w="109"/>
        <w:gridCol w:w="202"/>
        <w:gridCol w:w="204"/>
        <w:gridCol w:w="317"/>
      </w:tblGrid>
      <w:tr>
        <w:trPr/>
        <w:tc>
          <w:tcPr>
            <w:tcW w:w="8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Sales by Geographic Region</w:t>
            </w:r>
            <w:r>
              <w:rPr>
                <w:rFonts w:ascii="Times New Roman;serif" w:hAnsi="Times New Roman;serif"/>
                <w:b w:val="false"/>
                <w:i/>
                <w:color w:val="000000"/>
                <w:sz w:val="13"/>
              </w:rPr>
              <w:t>(1)</w:t>
            </w:r>
          </w:p>
        </w:tc>
        <w:tc>
          <w:tcPr>
            <w:tcW w:w="38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2"/>
              </w:rPr>
              <w:t>%</w:t>
            </w:r>
            <w:r>
              <w:rPr>
                <w:rFonts w:ascii="Times New Roman;serif" w:hAnsi="Times New Roman;serif"/>
                <w:b w:val="false"/>
                <w:color w:val="000000"/>
                <w:sz w:val="14"/>
              </w:rPr>
              <w:t>(3)</w:t>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 sales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geographic regions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 sales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geographic regions</w:t>
            </w:r>
            <w:r>
              <w:rPr>
                <w:rFonts w:ascii="Times New Roman;serif" w:hAnsi="Times New Roman;serif"/>
                <w:b w:val="false"/>
                <w:color w:val="000000"/>
                <w:sz w:val="13"/>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Sales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Sales are attributed to countries based on the ultimate customer’s location to the extent that information is available to us or can be reasonably estimated. No country other than the United States represents greater than 10 percent of total company sales.</w:t>
      </w:r>
      <w:r>
        <w:rPr>
          <w:color w:val="000000"/>
        </w:rPr>
        <w:t xml:space="preserve"> </w:t>
      </w:r>
    </w:p>
    <w:p>
      <w:pPr>
        <w:pStyle w:val="TextBody"/>
        <w:bidi w:val="0"/>
        <w:spacing w:lineRule="auto" w:line="288" w:before="100" w:after="100"/>
        <w:ind w:left="0" w:right="0" w:hanging="180"/>
        <w:jc w:val="left"/>
        <w:rPr/>
      </w:pPr>
      <w:r>
        <w:rPr>
          <w:rFonts w:ascii="Times New Roman;serif" w:hAnsi="Times New Roman;serif"/>
          <w:b w:val="false"/>
          <w:color w:val="000000"/>
          <w:sz w:val="12"/>
        </w:rPr>
        <w:t>(2)</w:t>
      </w:r>
      <w:r>
        <w:rPr>
          <w:rFonts w:ascii="Times New Roman;serif" w:hAnsi="Times New Roman;serif"/>
          <w:b w:val="false"/>
          <w:color w:val="000000"/>
          <w:sz w:val="18"/>
        </w:rPr>
        <w:t>Other geographic regions are principally comprised of the Middle East.</w:t>
      </w:r>
    </w:p>
    <w:p>
      <w:pPr>
        <w:pStyle w:val="TextBody"/>
        <w:bidi w:val="0"/>
        <w:spacing w:lineRule="auto" w:line="288" w:before="100" w:after="180"/>
        <w:ind w:left="0" w:right="0" w:hanging="180"/>
        <w:jc w:val="left"/>
        <w:rPr/>
      </w:pPr>
      <w:r>
        <w:rPr>
          <w:rFonts w:ascii="Times New Roman;serif" w:hAnsi="Times New Roman;serif"/>
          <w:b w:val="false"/>
          <w:color w:val="000000"/>
          <w:sz w:val="12"/>
        </w:rPr>
        <w:t>(3)</w:t>
      </w:r>
      <w:r>
        <w:rPr>
          <w:rFonts w:ascii="Times New Roman;serif" w:hAnsi="Times New Roman;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Capital Expenditures and Depreciation and Amortization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and depreciation and amortization for each of our reportable segments and for Corporate:</w:t>
      </w:r>
    </w:p>
    <w:tbl>
      <w:tblPr>
        <w:tblW w:w="9601" w:type="dxa"/>
        <w:jc w:val="left"/>
        <w:tblInd w:w="0" w:type="dxa"/>
        <w:tblLayout w:type="fixed"/>
        <w:tblCellMar>
          <w:top w:w="28" w:type="dxa"/>
          <w:left w:w="28" w:type="dxa"/>
          <w:bottom w:w="28" w:type="dxa"/>
          <w:right w:w="28" w:type="dxa"/>
        </w:tblCellMar>
      </w:tblPr>
      <w:tblGrid>
        <w:gridCol w:w="1104"/>
        <w:gridCol w:w="964"/>
        <w:gridCol w:w="977"/>
        <w:gridCol w:w="109"/>
        <w:gridCol w:w="109"/>
        <w:gridCol w:w="109"/>
        <w:gridCol w:w="327"/>
        <w:gridCol w:w="746"/>
        <w:gridCol w:w="169"/>
        <w:gridCol w:w="169"/>
        <w:gridCol w:w="169"/>
        <w:gridCol w:w="169"/>
        <w:gridCol w:w="327"/>
        <w:gridCol w:w="723"/>
        <w:gridCol w:w="169"/>
        <w:gridCol w:w="109"/>
        <w:gridCol w:w="109"/>
        <w:gridCol w:w="109"/>
        <w:gridCol w:w="274"/>
        <w:gridCol w:w="821"/>
        <w:gridCol w:w="141"/>
        <w:gridCol w:w="141"/>
        <w:gridCol w:w="141"/>
        <w:gridCol w:w="141"/>
        <w:gridCol w:w="274"/>
        <w:gridCol w:w="801"/>
        <w:gridCol w:w="200"/>
      </w:tblGrid>
      <w:tr>
        <w:trPr/>
        <w:tc>
          <w:tcPr>
            <w:tcW w:w="110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pStyle w:val="TextBody"/>
        <w:bidi w:val="0"/>
        <w:spacing w:lineRule="auto" w:line="288" w:before="100" w:after="100"/>
        <w:jc w:val="left"/>
        <w:rPr/>
      </w:pPr>
      <w:r>
        <w:rPr>
          <w:rFonts w:ascii="Times New Roman;serif" w:hAnsi="Times New Roman;serif"/>
          <w:b/>
          <w:color w:val="000000"/>
          <w:sz w:val="20"/>
        </w:rPr>
        <w:t>Assets</w:t>
        <w:br/>
      </w:r>
      <w:r>
        <w:rPr>
          <w:rFonts w:ascii="Times New Roman;serif" w:hAnsi="Times New Roman;serif"/>
          <w:b w:val="false"/>
          <w:color w:val="000000"/>
          <w:sz w:val="20"/>
        </w:rPr>
        <w:t>Our chief operating decision maker (“CODM”) does not use assets by segment to evaluate segment performance or allocate resources. Therefore,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Falls Church, Virginia</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Results of Review of Interim Financial Information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reviewed the accompanying condensed consolidated statement of financial position of Northrop Grumman Corporation and subsidiaries (the “Company”) as of September 30, 2026, and the related condensed consolidated statements of earnings and comprehensive income and changes in shareholders’ equity for the three-month and nine-month periods ended September 30, 2026 and 2025, and of cash flows for the nine-month periods ended September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statement of financial position of Northrop Grumman Corporation and subsidiaries as of December 31, 2025, and the related consolidated statements of earnings and comprehensive income, changes in shareholders’ equity, and cash flows for the year then ended (not presented herein); and in our report dated January 26, 2026, we expressed an unqualified opinion on those consolidated financial statements. In our opinion, the information set forth in the accompanying condensed consolidated statement of financial position as of December 31, 2025, is fairly stated, in all material respects, in relation to the audited consolidated statement of financial position from which it has been derived.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80" w:after="283"/>
        <w:jc w:val="left"/>
        <w:rPr/>
      </w:pPr>
      <w:r>
        <w:rPr/>
      </w:r>
    </w:p>
    <w:tbl>
      <w:tblPr>
        <w:tblW w:w="2397" w:type="dxa"/>
        <w:jc w:val="left"/>
        <w:tblInd w:w="0" w:type="dxa"/>
        <w:tblLayout w:type="fixed"/>
        <w:tblCellMar>
          <w:top w:w="28" w:type="dxa"/>
          <w:left w:w="28" w:type="dxa"/>
          <w:bottom w:w="28" w:type="dxa"/>
          <w:right w:w="28" w:type="dxa"/>
        </w:tblCellMar>
      </w:tblPr>
      <w:tblGrid>
        <w:gridCol w:w="124"/>
        <w:gridCol w:w="109"/>
        <w:gridCol w:w="109"/>
        <w:gridCol w:w="602"/>
        <w:gridCol w:w="602"/>
        <w:gridCol w:w="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Deloitte &amp; Touche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McLean, 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19,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60" w:after="1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War (“DoW”) and intelligence community. Our broad portfolio is aligned to support national security priorities and our solutions equip our customers with capabilities they need to connect, protect and advance humanity.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2025 Annual Report on Form 10-K, which provides additional information on our business, the environment in which we operate and our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Divestiture of Training Services Business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2025 operating results include sales and operating income for the training services business prior to the Divestiture date.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Security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U.S. and its allies continue to face a dynamic global security environment of heightened tensions and instability, threats from state and non-state actors, including in particular major global powers, as well as terrorist organizations, increasing nuclear tensions, diverse regional security concerns, political instability and uncertainty concerning global strategic alliances. The market for defense products, services and solutions globally is driven by these complex and rapidly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ongoing conflicts in Ukraine and Iran and threats elsewhere, particularly in the Middle East and the Western Pacific region, have increased global tensions and instability and highlighted security requirements globally. These conflicts have resulted in and may continue to result in increased demand for defense products and services from allies and partner nations, particularly in those regions. We continue to monitor developments in these regions, but have not experienced, and do not anticipate experiencing, significant adverse financial impacts directly from these conflicts.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believe the current global security environment, characterized by significant national security threats to the U.S. and its allies, continues to highlight the need for strong deterrence and robust defense capabilities. We are actively evaluating both opportunities and risks associated with this environment and are moving with speed and at scale to deliver innovative solutions to our customers. We believe our capabilities, particularly in space, C4ISR, air and missile defense, battle management, solid rocket motors, advanced weapons, strategic deterrence, survivable aircraft, autonomous aircraft systems and mission systems should help our customers in the U.S. and globally defend against current and future threats and, as a result, continue to position us for long-term profitable business growth.</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Economic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the global economic environment has experienced challenges, including inflationary pressures; widespread delays and disruptions in supply chains; constraints on the availability of critical materials, including rare earth minerals and metals; business slowdowns or shutdowns; workforce challenges and labor shortfalls; and market volatility. These macroeconomic factors have contributed, and could continue to contribute, to increased costs, delays, disruptions and other performance challenges, as well as increased competing demands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limited resources to address such increased costs and other challenges, for our company, suppliers and partners, and customers.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addition, increases or fluctuations in interest rates could impact government spending priorities (in the U.S. and allied countries, in particular), including the demand for defense products. Economic tensions and changes in international trade policies, including, for example, widespread tariffs announced since last year by the U.S. on its major trading partners, higher tariffs on imported goods and materials and actions taken in response (such as retaliatory tariffs or other trade protectionist measures or the renegotiation of free trade agreements), could also further impact the global market for defense products, services and solutions. In addition, following the first quarter 2026 U.S. Supreme Court decision that invalidated tariffs imposed pursuant to the International Emergency Economic Powers Act (“IEEPA”), the U.S. has announced various tariffs under different statutory authorities. The full impact of these governmental actions on macroeconomic conditions and on our business is uncertain, difficult to predict and depends on a number of factors, including the extent and duration of tariffs, the availability of exemptions, changes in the amount and scope of tariffs, any reversal or temporary suspension of announced tariffs, the availability of refunds for tariffs paid under IEEPA, the imposition of new tariffs and other measures that target countries may take in response to U.S. trade policies, and possible resulting general inflationary pressures in the global economy. We are continuing to monitor the impact on our business, suppliers and customers, but do not believe that the tariffs, including the IEEPA tariffs, have had or will have a material adverse effect on our business.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Political, Budget and Regulatory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U.S. continues to face an uncertain and evolving political, budget and regulatory environment. In particular, it is difficult to predict the specific course of future defense budgets. Current and future requirements related to the conflicts in Ukraine and Iran and threats in the Middle East, the Western Pacific and Latin America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defense spending levels and the debt ceiling will continue to be subjects of considerable debate, with a potentially significant impact on our programs and the company.</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July 4, 2025, the FY 2025 reconciliation bill titled the One Big Beautiful Bill Act (the “OBBBA”) was enacted. The OBBBA allocated approximately $150 billion in mandatory defense funding, including funding for air and missile defense, munitions, strategic deterrence, shipbuilding and supply chains and other military capabilities. The appropriated funds will remain available to be obligated until September 30, 2029 and expended through FY 2034. Funding from the OBBBA has allowed for increased investments by the DoW in defense modernization projects, homeland missile defense capabilities, and increased production capacity across a number of key programs. See Note 4 to the financial statements for additional information on key income tax provisions of the OBBBA.</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annual appropriations to fund a vast majority of the federal government for FY 2026, including approximately $859 billion for defense, were enacted. Appropriations to partially fund the Department of Homeland Security were enacted on April 30, 2026, with the remaining appropriations enacted on June 10, 2026. On April 3, 2026, the Trump Administration (the “Administration”) released its FY 2027 budget request. The request includes $1.45 trillion for defense, with $1.1 trillion in the base budget (discretionary funding) and $350 billion in reconciliation (mandatory) funding. The total defense budget request reflects an increase of 44% ($441 billion) above the FY 2026 enacted levels (including $153 billion in FY 2026 reconciliation funding). Congress is evaluating the Administration’s budget request as it drafts authorization and appropriations legislation for FY 2027. Additionally, the Administration requested $88 billion in supplemental funding for FY 2026, which included $67 billion to address the operational costs associated with the Iran conflict and other defense priorities. There is uncertainty as to when Congress will act on the reconciliation funding and supplemental request.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On September 2, 2026, a continuing resolution (“CR”) was enacted to provide funding for the federal government, including the DoW, through December 11, 2026, generally at FY 2026 funding levels. The CR also requires that any new multi-year contracts for military equipment receive prior Congressional approval. Annual appropriations for FY 2027 have not yet been enacted, and it remains uncertain when the government will approve full-year FY 2027 appropriations and what levels of funding those appropriations will provide. Government operations under an extended CR could have adverse impacts on our programs and new starts, in particular. If the CR is not extended or full-year appropriations legislation is not enacted before the current CR expires, a government shutdown could occur. A prolonged government shutdown could result in program disruptions and limit the U.S. Government’s ability to progress programs and make timely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Administration has issued numerous executive orders, including orders to undertake a comprehensive overhaul of the Federal Acquisition Regulation, to reform the DoW defense acquisition process and, more recently, to promote the use of fixed price contracts where appropriate and to address underperformance and insufficient prioritization of government contracts, insufficient investment in production and production speed and incentive compensation metrics applicable to defense contractors. See “Risk factors” for further discussion regarding risks associated with executive orders and regulatory changes. Some of the Administration’s executive orders are subject to ongoing court challenges. In addition, the DoW has outlined initiatives to, among other efforts, reform government contract accounting and promote supplier cost and pricing transparency. Implementation of certain of these executive orders and initiatives could adversely affect our business or create a more challenging or costly regulatory, operating and economic environment.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light of the ongoing conflicts and heightened global instability as well as political tensions and related legal challenges, we expect continued uncertainty in the global security, U.S. political, budget and regulatory environment. Initiatives to reduce governmental spending, federal budget and debt ceiling action, and further changes in U.S. government policy positions, including trade and foreign policy, tax policy and DoW policies or priorities, could materially impact defense spending broadly and the company’s programs in particular.</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B-21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2015, the U.S. Air Force awarded Northrop Grumman the B-21 contract, which includes a base contract for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We have previously recognized and disclosed cumulative losses of approximately $2.0 billion on the LRIP phase of the program. Northrop Grumman and the U.S. Air Force have also established not to exceed (NTE) pricing for two additional lots. Final terms, quantity, and pricing for the NTE lots are not fully negotiated; however, the average value for these NTE lots is above the average unit price of the five LRIP lots, and the NTE lots include an economic price adjustment clause to help protect against certain inflationary pressures.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reached an agreement with the U.S. Air Force to expand production capacity for the B-21 program and increase the aircraft production rate. We continue to expect to invest approximately $2.5 billion over a multi-year period to expand production capacity; in return, we have the opportunity to earn improved returns on the LRIP and NTE phases of the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2026, we again reviewed our estimated profitability on the LRIP phase of the program and made no significant changes to the previously recognized loss. The company’s third quarter 2026 results reflect our current best estimate of cost to complete the LRIP and NTE aircraft, as well as the outcome of ongoing discussions with our suppliers. If our estimated cost to complete the aircraft changes, or if our assumptions regarding contract performance, quantities, or supplier negotiations are resolved more or less favorably than what we have estimated, our financial position, results of operations and/or cash flows could be materially affected.</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Sentinel Program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July 2024, the Sentinel program was certified for continuation by the DoW upon completion of the Nunn-McCurdy breach review. In connection with the certification, the DoW directed that the program be restructured, including plans for infrastructure related to the command and launch segment, which was the main driver of the increased cost estimates for the Production and Deployment phases.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partnered with the U.S. Air Force in defining the preliminary execution framework necessary for successful restructure of the program. The program restructure will include a revision to the acquisition strategy, joint establishment of a new program baseline, and other critical preparation activities necessary to re-accomplish Milestone B approval.</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and third quarters of 2026, we continued to make progress on joint activities with the U.S. Air Force. These efforts, which included requirements and design maturation, risk reduction activities, and evaluation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options to accelerate fielding of initial capability, have resulted in further definition and authorization of elements of the program execution plan, resulting in a $9.4 billion increase in program backlog.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2026, we again reviewed our estimated profitability on the Sentinel program and made no significant changes. If our estimated cost to complete the restructured EMD effort or our achievement of future contract incentives is more or less favorable than what we have estimated, our financial position, results of operations and/or cash flows could be materially affected.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Performance Assessment and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 of contract type and/or life cycle (e.g., cost-type, fixed-price, development, production, and/or sustainment). Contract mix can also refer to differences in the profitability of the programs that drive changes in sales (e.g., sales growth or decreases on programs with accretive or dilutive margin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CONSOLIDATED OPERATING RESULTS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Selected financial highlights are presented in the table below:</w:t>
      </w:r>
    </w:p>
    <w:tbl>
      <w:tblPr>
        <w:tblW w:w="10205" w:type="dxa"/>
        <w:jc w:val="left"/>
        <w:tblInd w:w="0" w:type="dxa"/>
        <w:tblLayout w:type="fixed"/>
        <w:tblCellMar>
          <w:top w:w="28" w:type="dxa"/>
          <w:left w:w="28" w:type="dxa"/>
          <w:bottom w:w="28" w:type="dxa"/>
          <w:right w:w="28" w:type="dxa"/>
        </w:tblCellMar>
      </w:tblPr>
      <w:tblGrid>
        <w:gridCol w:w="728"/>
        <w:gridCol w:w="567"/>
        <w:gridCol w:w="570"/>
        <w:gridCol w:w="217"/>
        <w:gridCol w:w="758"/>
        <w:gridCol w:w="278"/>
        <w:gridCol w:w="112"/>
        <w:gridCol w:w="112"/>
        <w:gridCol w:w="112"/>
        <w:gridCol w:w="217"/>
        <w:gridCol w:w="743"/>
        <w:gridCol w:w="278"/>
        <w:gridCol w:w="109"/>
        <w:gridCol w:w="109"/>
        <w:gridCol w:w="109"/>
        <w:gridCol w:w="199"/>
        <w:gridCol w:w="199"/>
        <w:gridCol w:w="437"/>
        <w:gridCol w:w="109"/>
        <w:gridCol w:w="109"/>
        <w:gridCol w:w="109"/>
        <w:gridCol w:w="215"/>
        <w:gridCol w:w="750"/>
        <w:gridCol w:w="276"/>
        <w:gridCol w:w="110"/>
        <w:gridCol w:w="110"/>
        <w:gridCol w:w="110"/>
        <w:gridCol w:w="215"/>
        <w:gridCol w:w="735"/>
        <w:gridCol w:w="276"/>
        <w:gridCol w:w="109"/>
        <w:gridCol w:w="109"/>
        <w:gridCol w:w="109"/>
        <w:gridCol w:w="199"/>
        <w:gridCol w:w="199"/>
        <w:gridCol w:w="502"/>
      </w:tblGrid>
      <w:tr>
        <w:trPr/>
        <w:tc>
          <w:tcPr>
            <w:tcW w:w="72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31,879</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9,853</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28,525</w:t>
            </w: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1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1,269</w:t>
            </w: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3,354</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11.4</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11.9</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10.5</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foreign income tax expense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income tax rate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13.4</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11.5</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17.2</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w:t>
            </w: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3,093</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6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w:t>
            </w:r>
            <w:r>
              <w:rPr>
                <w:color w:val="000000"/>
              </w:rPr>
              <w:t> </w:t>
            </w:r>
          </w:p>
        </w:tc>
        <w:tc>
          <w:tcPr>
            <w:tcW w:w="2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21.72</w:t>
            </w:r>
            <w:r>
              <w:rPr>
                <w:color w:val="000000"/>
              </w:rPr>
              <w:t> </w:t>
            </w:r>
          </w:p>
        </w:tc>
        <w:tc>
          <w:tcPr>
            <w:tcW w:w="2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2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5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sales increased $699 million, or 7 percent, driven by higher sales at all four sectors, including a 14 percent increase at Aeronautics Systems and a 12 percent increase at Defense Systems. These increases were partially offset by $95 million of higher intercompany eliminations.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$1.6 billion, or 5 percent, driven by higher sales at all four sectors, including a 14 percent increase at Aeronautics Systems. These increases were partially offset by $393 million of higher intercompany eliminations.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 and Margin Rate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operating income increased $27 million, or 2 percent, primarily due to $68 million of higher segment operating income, partially offset by a $52 million decrease in the FAS/CAS operating adjustment. Operating margin rate declined to 11.4 percent from 11.9 percent principally due to the decrease in the FAS/CAS operating adjustment.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G&amp;A costs as a percentage of sales increased to 9.7 percent from 9.5 percent in the prior year period primarily due to an increase in our investments for future business opportunities, partially offset by higher 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increased $114 million, or 4 percent, primarily due to $511 million of higher segment operating income largely driven by the prior year B-21 loss provision at Aeronautics Systems, partially offset by the prior year $231 million gain on the training services divestiture and a $164 million decrease in the FAS/CAS operating adjustment. Operating margin rate declined to 10.5 percent from 10.7 percent primarily due to the prior year gain on the training services divestiture and the decrease in the FAS/CAS operating adjustment, partially offset by a higher segment operating margin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G&amp;A costs as a percentage of sales decreased to 9.7 percent from 9.9 percent in the prior year period primarily due to higher sales.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“Segment Operating Results” below for further information by segment. For information regarding product and service operating costs and expenses, see “Product and Service Analysis” below.</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Federal and Foreign Income Taxes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76"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income tax expense decreased $49 million, or 22 percent, due to a lower ETR and $25 million of lower earnings before income taxes. The third quarter 2026 ETR decreased to 13.4 percent from 16.9 percent principally due to higher research credits.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income tax expense decreased $170 million, or 30 percent, due to a lower ETR, partially offset by $168 million of higher earnings before income taxes. The year to date 2026 ETR decreased to 11.5 percent from 17.2 percent primarily due to the remeasurement of unrecognized tax benefits during the second quarter of 2026 given recent developments with the IRS towards resolving our previously filed federal income tax returns and refund claims, as well as higher research credits, including a benefit related to CAMT guidance recently issued by the IRS.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See Note 4 to the financial statements for additional information.</w:t>
      </w:r>
    </w:p>
    <w:p>
      <w:pPr>
        <w:pStyle w:val="TextBody"/>
        <w:bidi w:val="0"/>
        <w:spacing w:lineRule="auto" w:line="288" w:before="0" w:after="0"/>
        <w:jc w:val="left"/>
        <w:rPr/>
      </w:pPr>
      <w:r>
        <w:rPr>
          <w:rFonts w:ascii="Times New Roman;serif" w:hAnsi="Times New Roman;serif"/>
          <w:b/>
          <w:color w:val="000000"/>
          <w:sz w:val="20"/>
        </w:rPr>
        <w:t>Net Earnings</w:t>
      </w:r>
      <w:r>
        <w:rPr>
          <w:rFonts w:ascii="Times New Roman;serif" w:hAnsi="Times New Roman;serif"/>
          <w:b w:val="false"/>
          <w:i/>
          <w:color w:val="000000"/>
          <w:sz w:val="20"/>
        </w:rPr>
        <w:b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net earnings increased $24 million, or 2 percent, primarily due to a $49 million decrease in income tax expense, a $31 million increase in the non-operating FAS pension benefit and a $27 million increase in operating income, partially offset by an $86 million decrease in Other, net largely driven by favorable returns on marketable securities in the prior year.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net earnings increased $338 million, or 12 percent, primarily due to a $170 million decrease in income tax expense, a $114 million increase in operating income and a $96 million increase in the non-operating FAS pension benefit, partially offset by a $51 million decrease in Other, net largely driven by lower favorable returns on marketable securities.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diluted earnings per share increased $0.22, or 3 percent, reflecting a 2 percent increase in net earnings and a 1 percent reduction in weighted-average diluted shares outstanding.</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 to date 2026 diluted earnings per share increased $2.60, or 14 percent, reflecting a 12 percent increase in net earnings and a 1 percent reduction in weighted-average diluted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SEGMENT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is aligned in four operating sectors, which also comprise our reportable segments: Aeronautics Systems, Defense Systems, Mission Systems and Space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purposes of the operating results discussion below, we assess our performance using certain financial measures that are not calculated in accordance with GAAP.</w:t>
      </w:r>
    </w:p>
    <w:p>
      <w:pPr>
        <w:pStyle w:val="TextBody"/>
        <w:bidi w:val="0"/>
        <w:spacing w:lineRule="auto" w:line="288" w:before="0" w:after="100"/>
        <w:jc w:val="left"/>
        <w:rPr/>
      </w:pPr>
      <w:r>
        <w:rPr>
          <w:rFonts w:ascii="Times New Roman;serif" w:hAnsi="Times New Roman;serif"/>
          <w:b/>
          <w:color w:val="000000"/>
          <w:sz w:val="20"/>
        </w:rPr>
        <w:t>Organic Sales</w:t>
        <w:br/>
      </w:r>
      <w:r>
        <w:rPr>
          <w:rFonts w:ascii="Times New Roman;serif" w:hAnsi="Times New Roman;serif"/>
          <w:b w:val="false"/>
          <w:color w:val="000000"/>
          <w:sz w:val="20"/>
        </w:rPr>
        <w:t>In the operating results discussion below, we present the performance of our Defense Systems sector using organic sales, a financial measure that is not calculated in accordance with GAAP. Organic sales is defined as 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 We reconcile this non-GAAP financial measure to its most directly comparable GAAP financial measure below. This non-GAAP measure may not be defined and calculated by other companies in the same manner and should not be considered in isolation or as an alternative to operating results presented in accordance with GAAP.</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Income and Margin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tbl>
      <w:tblPr>
        <w:tblW w:w="10205" w:type="dxa"/>
        <w:jc w:val="left"/>
        <w:tblInd w:w="0" w:type="dxa"/>
        <w:tblLayout w:type="fixed"/>
        <w:tblCellMar>
          <w:top w:w="28" w:type="dxa"/>
          <w:left w:w="28" w:type="dxa"/>
          <w:bottom w:w="28" w:type="dxa"/>
          <w:right w:w="28" w:type="dxa"/>
        </w:tblCellMar>
      </w:tblPr>
      <w:tblGrid>
        <w:gridCol w:w="944"/>
        <w:gridCol w:w="629"/>
        <w:gridCol w:w="513"/>
        <w:gridCol w:w="216"/>
        <w:gridCol w:w="647"/>
        <w:gridCol w:w="277"/>
        <w:gridCol w:w="111"/>
        <w:gridCol w:w="111"/>
        <w:gridCol w:w="111"/>
        <w:gridCol w:w="216"/>
        <w:gridCol w:w="631"/>
        <w:gridCol w:w="277"/>
        <w:gridCol w:w="109"/>
        <w:gridCol w:w="109"/>
        <w:gridCol w:w="109"/>
        <w:gridCol w:w="192"/>
        <w:gridCol w:w="192"/>
        <w:gridCol w:w="437"/>
        <w:gridCol w:w="109"/>
        <w:gridCol w:w="109"/>
        <w:gridCol w:w="109"/>
        <w:gridCol w:w="215"/>
        <w:gridCol w:w="644"/>
        <w:gridCol w:w="276"/>
        <w:gridCol w:w="111"/>
        <w:gridCol w:w="111"/>
        <w:gridCol w:w="111"/>
        <w:gridCol w:w="215"/>
        <w:gridCol w:w="628"/>
        <w:gridCol w:w="276"/>
        <w:gridCol w:w="109"/>
        <w:gridCol w:w="109"/>
        <w:gridCol w:w="109"/>
        <w:gridCol w:w="315"/>
        <w:gridCol w:w="316"/>
        <w:gridCol w:w="502"/>
      </w:tblGrid>
      <w:tr>
        <w:trPr/>
        <w:tc>
          <w:tcPr>
            <w:tcW w:w="9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1,269</w:t>
            </w: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3,354</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11.4</w:t>
            </w: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10.5</w:t>
            </w: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segment operating income: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 pension expense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 pension service expense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FAS/CAS operating adjustment</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training services business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Training services divestiture – unallowable state taxes and transaction costs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and PP&amp;E step-up depreciation</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expense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1,371</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086"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operating margin rate</w:t>
            </w:r>
          </w:p>
        </w:tc>
        <w:tc>
          <w:tcPr>
            <w:tcW w:w="863"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12.1</w:t>
            </w:r>
            <w:r>
              <w:rPr>
                <w:color w:val="000000"/>
              </w:rPr>
              <w:t> </w:t>
            </w:r>
          </w:p>
        </w:tc>
        <w:tc>
          <w:tcPr>
            <w:tcW w:w="27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12.3 </w:t>
            </w:r>
          </w:p>
        </w:tc>
        <w:tc>
          <w:tcPr>
            <w:tcW w:w="27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11.2</w:t>
            </w:r>
            <w:r>
              <w:rPr>
                <w:color w:val="000000"/>
              </w:rPr>
              <w:t> </w:t>
            </w:r>
          </w:p>
        </w:tc>
        <w:tc>
          <w:tcPr>
            <w:tcW w:w="27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10.1 </w:t>
            </w:r>
          </w:p>
        </w:tc>
        <w:tc>
          <w:tcPr>
            <w:tcW w:w="27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segment operating income increased $68 million, or 5 percent, primarily due to $72 million of higher operating income at Aeronautics Systems. Third quarter 2026 segment operating margin rate of 12.1 percent reflects strong program performance and higher operating margin rates at Aeronautics Systems and Space Systems. Segment operating margin rate decreased from 12.3 percent in the third quarter of 2025 principally due to a prior year $68 million favorable EAC adjustment in the restricted advanced microelectronics portfolio at Mission Systems.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segment operating income increased $511 million, or 17 percent, primarily due to $601 million of higher operating income at Aeronautics Systems and $117 million of higher operating income at Mission Systems, partially offset by $78 million of lower operating income at Space Systems and $76 million of lower operating income at Defense Systems. Segment operating margin rate increased to 11.2 percent from 10.1 percent primarily due to a higher operating margin rate at Aeronautics Systems and Mission Systems, partially offset by a lower operating margin rate at Defense Systems and Space Systems.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FAS/CAS Operating Adjustment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third quarter 2026 and year to date 2026 FAS/CAS operating adjustment reflects lower CAS pension expense largely driven by favorable plan asset returns in prior years.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Unallocated Corporate Expense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decrease in third quarter 2026 unallocated corporate expense is primarily driven by lower intangible asset amortization and PP&amp;E step-up depreciation.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increase in year to date 2026 unallocated corporate expense is primarily due to the prior year $231 million gain on the training services divestiture.</w:t>
      </w:r>
    </w:p>
    <w:p>
      <w:pPr>
        <w:pStyle w:val="TextBody"/>
        <w:bidi w:val="0"/>
        <w:spacing w:lineRule="auto" w:line="288" w:before="0" w:after="100"/>
        <w:jc w:val="left"/>
        <w:rPr/>
      </w:pPr>
      <w:r>
        <w:rPr>
          <w:rFonts w:ascii="Times New Roman;serif" w:hAnsi="Times New Roman;serif"/>
          <w:b w:val="false"/>
          <w:i/>
          <w:color w:val="000000"/>
          <w:sz w:val="20"/>
        </w:rPr>
        <w:t>Net EAC Adjustments</w:t>
      </w:r>
      <w:r>
        <w:rPr>
          <w:color w:val="000000"/>
        </w:rPr>
        <w:t xml:space="preserve"> </w:t>
      </w:r>
      <w:r>
        <w:rPr>
          <w:rFonts w:ascii="Times New Roman;serif" w:hAnsi="Times New Roman;serif"/>
          <w:b w:val="false"/>
          <w:color w:val="000000"/>
          <w:sz w:val="20"/>
        </w:rPr>
        <w:t>- We record changes in estimated contract earnings at completion (net EAC adjustments) using the cumulative catch-up method of accounting. Net EAC adjustments can have a significant effect on segment operating income and margin rate.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aggregate favorable and unfavorable EAC adjustments are presented in the table below:</w:t>
      </w:r>
    </w:p>
    <w:tbl>
      <w:tblPr>
        <w:tblW w:w="8809" w:type="dxa"/>
        <w:jc w:val="center"/>
        <w:tblInd w:w="0" w:type="dxa"/>
        <w:tblLayout w:type="fixed"/>
        <w:tblCellMar>
          <w:top w:w="28" w:type="dxa"/>
          <w:left w:w="28" w:type="dxa"/>
          <w:bottom w:w="28" w:type="dxa"/>
          <w:right w:w="28" w:type="dxa"/>
        </w:tblCellMar>
      </w:tblPr>
      <w:tblGrid>
        <w:gridCol w:w="935"/>
        <w:gridCol w:w="819"/>
        <w:gridCol w:w="826"/>
        <w:gridCol w:w="327"/>
        <w:gridCol w:w="746"/>
        <w:gridCol w:w="169"/>
        <w:gridCol w:w="169"/>
        <w:gridCol w:w="169"/>
        <w:gridCol w:w="169"/>
        <w:gridCol w:w="327"/>
        <w:gridCol w:w="723"/>
        <w:gridCol w:w="169"/>
        <w:gridCol w:w="109"/>
        <w:gridCol w:w="109"/>
        <w:gridCol w:w="109"/>
        <w:gridCol w:w="274"/>
        <w:gridCol w:w="821"/>
        <w:gridCol w:w="141"/>
        <w:gridCol w:w="141"/>
        <w:gridCol w:w="141"/>
        <w:gridCol w:w="141"/>
        <w:gridCol w:w="274"/>
        <w:gridCol w:w="801"/>
        <w:gridCol w:w="200"/>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EAC adjustments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Unfavorable EAC adjustments</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w:t>
            </w:r>
          </w:p>
        </w:tc>
        <w:tc>
          <w:tcPr>
            <w:tcW w:w="3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1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 by segment are presented in the table below:</w:t>
      </w:r>
    </w:p>
    <w:tbl>
      <w:tblPr>
        <w:tblW w:w="8087" w:type="dxa"/>
        <w:jc w:val="center"/>
        <w:tblInd w:w="0" w:type="dxa"/>
        <w:tblLayout w:type="fixed"/>
        <w:tblCellMar>
          <w:top w:w="28" w:type="dxa"/>
          <w:left w:w="28" w:type="dxa"/>
          <w:bottom w:w="28" w:type="dxa"/>
          <w:right w:w="28" w:type="dxa"/>
        </w:tblCellMar>
      </w:tblPr>
      <w:tblGrid>
        <w:gridCol w:w="674"/>
        <w:gridCol w:w="590"/>
        <w:gridCol w:w="595"/>
        <w:gridCol w:w="332"/>
        <w:gridCol w:w="758"/>
        <w:gridCol w:w="171"/>
        <w:gridCol w:w="171"/>
        <w:gridCol w:w="171"/>
        <w:gridCol w:w="171"/>
        <w:gridCol w:w="332"/>
        <w:gridCol w:w="687"/>
        <w:gridCol w:w="171"/>
        <w:gridCol w:w="109"/>
        <w:gridCol w:w="109"/>
        <w:gridCol w:w="109"/>
        <w:gridCol w:w="305"/>
        <w:gridCol w:w="695"/>
        <w:gridCol w:w="157"/>
        <w:gridCol w:w="157"/>
        <w:gridCol w:w="157"/>
        <w:gridCol w:w="157"/>
        <w:gridCol w:w="305"/>
        <w:gridCol w:w="782"/>
        <w:gridCol w:w="222"/>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EAC adjustments</w:t>
            </w:r>
          </w:p>
        </w:tc>
        <w:tc>
          <w:tcPr>
            <w:tcW w:w="3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tbl>
      <w:tblPr>
        <w:tblW w:w="10205" w:type="dxa"/>
        <w:jc w:val="left"/>
        <w:tblInd w:w="0" w:type="dxa"/>
        <w:tblLayout w:type="fixed"/>
        <w:tblCellMar>
          <w:top w:w="28" w:type="dxa"/>
          <w:left w:w="28" w:type="dxa"/>
          <w:bottom w:w="28" w:type="dxa"/>
          <w:right w:w="28" w:type="dxa"/>
        </w:tblCellMar>
      </w:tblPr>
      <w:tblGrid>
        <w:gridCol w:w="708"/>
        <w:gridCol w:w="621"/>
        <w:gridCol w:w="624"/>
        <w:gridCol w:w="226"/>
        <w:gridCol w:w="679"/>
        <w:gridCol w:w="291"/>
        <w:gridCol w:w="117"/>
        <w:gridCol w:w="117"/>
        <w:gridCol w:w="117"/>
        <w:gridCol w:w="226"/>
        <w:gridCol w:w="663"/>
        <w:gridCol w:w="291"/>
        <w:gridCol w:w="109"/>
        <w:gridCol w:w="109"/>
        <w:gridCol w:w="109"/>
        <w:gridCol w:w="188"/>
        <w:gridCol w:w="188"/>
        <w:gridCol w:w="437"/>
        <w:gridCol w:w="109"/>
        <w:gridCol w:w="109"/>
        <w:gridCol w:w="109"/>
        <w:gridCol w:w="219"/>
        <w:gridCol w:w="767"/>
        <w:gridCol w:w="282"/>
        <w:gridCol w:w="113"/>
        <w:gridCol w:w="113"/>
        <w:gridCol w:w="113"/>
        <w:gridCol w:w="219"/>
        <w:gridCol w:w="642"/>
        <w:gridCol w:w="282"/>
        <w:gridCol w:w="109"/>
        <w:gridCol w:w="109"/>
        <w:gridCol w:w="109"/>
        <w:gridCol w:w="240"/>
        <w:gridCol w:w="241"/>
        <w:gridCol w:w="500"/>
      </w:tblGrid>
      <w:tr>
        <w:trPr/>
        <w:tc>
          <w:tcPr>
            <w:tcW w:w="70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10,377</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1,044</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90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10.5</w:t>
            </w:r>
            <w:r>
              <w:rPr>
                <w:color w:val="000000"/>
              </w:rPr>
              <w:t>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10.1</w:t>
            </w:r>
            <w:r>
              <w:rPr>
                <w:color w:val="000000"/>
              </w:rPr>
              <w:t> </w:t>
            </w:r>
          </w:p>
        </w:tc>
        <w:tc>
          <w:tcPr>
            <w:tcW w:w="2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4.9 </w:t>
            </w:r>
          </w:p>
        </w:tc>
        <w:tc>
          <w:tcPr>
            <w:tcW w:w="2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Third quarter 2026 sales increased $433 million, or 14 percent, primarily due to a $195 million increase on F-35 driven by the timing of material costs on production lots and increased sustainment volume, higher B-21 sales and an increase in B-2 sustainment volume.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$1.3 billion, or 14 percent, primarily due to higher sales on B-21 and other restricted programs, a $237 million increase on the E-130J TACAMO (“TACAMO”) program as it ramps up, a $229 million increase on F-35, and $116 million of higher B-2 sustainment volume. The higher B-21 sales reflect the company’s first quarter 2026 agreement with the U.S. Air Force to expand production capacity and increase the aircraft production rate, including the sale of a company-owned test asset. The sales increases were partially offset by a decrease on F/A-18 as final production deliveries have completed.</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operating income increased $72 million, or 24 percent, due to higher sales and a higher operating margin rate. Operating margin rate increased to 10.5 percent from 9.7 percent primarily due to higher net contract margin adjustments, including on certain mature production and sustainment programs.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increased $601 million, or 136 percent, due to a higher operating margin rate and higher sales. Year to date 2026 operating margin rate of 10.1 percent reflects strong performance on certain mature production and sustainment programs. Operating margin rate increased from 4.9 percent in 2025 primarily due to the absence of the prior year B-21 loss provision.</w:t>
      </w:r>
    </w:p>
    <w:tbl>
      <w:tblPr>
        <w:tblW w:w="10205" w:type="dxa"/>
        <w:jc w:val="left"/>
        <w:tblInd w:w="0" w:type="dxa"/>
        <w:tblLayout w:type="fixed"/>
        <w:tblCellMar>
          <w:top w:w="28" w:type="dxa"/>
          <w:left w:w="28" w:type="dxa"/>
          <w:bottom w:w="28" w:type="dxa"/>
          <w:right w:w="28" w:type="dxa"/>
        </w:tblCellMar>
      </w:tblPr>
      <w:tblGrid>
        <w:gridCol w:w="697"/>
        <w:gridCol w:w="612"/>
        <w:gridCol w:w="614"/>
        <w:gridCol w:w="233"/>
        <w:gridCol w:w="700"/>
        <w:gridCol w:w="300"/>
        <w:gridCol w:w="120"/>
        <w:gridCol w:w="120"/>
        <w:gridCol w:w="120"/>
        <w:gridCol w:w="233"/>
        <w:gridCol w:w="684"/>
        <w:gridCol w:w="300"/>
        <w:gridCol w:w="109"/>
        <w:gridCol w:w="109"/>
        <w:gridCol w:w="109"/>
        <w:gridCol w:w="188"/>
        <w:gridCol w:w="188"/>
        <w:gridCol w:w="437"/>
        <w:gridCol w:w="109"/>
        <w:gridCol w:w="109"/>
        <w:gridCol w:w="109"/>
        <w:gridCol w:w="229"/>
        <w:gridCol w:w="688"/>
        <w:gridCol w:w="295"/>
        <w:gridCol w:w="118"/>
        <w:gridCol w:w="118"/>
        <w:gridCol w:w="118"/>
        <w:gridCol w:w="229"/>
        <w:gridCol w:w="671"/>
        <w:gridCol w:w="295"/>
        <w:gridCol w:w="109"/>
        <w:gridCol w:w="109"/>
        <w:gridCol w:w="109"/>
        <w:gridCol w:w="207"/>
        <w:gridCol w:w="207"/>
        <w:gridCol w:w="503"/>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DEFENSE SYSTEMS</w:t>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Training services sales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w:t>
            </w: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9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10.8</w:t>
            </w:r>
            <w:r>
              <w:rPr>
                <w:color w:val="000000"/>
              </w:rPr>
              <w:t> </w:t>
            </w:r>
          </w:p>
        </w:tc>
        <w:tc>
          <w:tcPr>
            <w:tcW w:w="3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11.4 </w:t>
            </w:r>
          </w:p>
        </w:tc>
        <w:tc>
          <w:tcPr>
            <w:tcW w:w="3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9.4</w:t>
            </w:r>
            <w:r>
              <w:rPr>
                <w:color w:val="000000"/>
              </w:rPr>
              <w:t> </w:t>
            </w:r>
          </w:p>
        </w:tc>
        <w:tc>
          <w:tcPr>
            <w:tcW w:w="2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11.4 </w:t>
            </w:r>
          </w:p>
        </w:tc>
        <w:tc>
          <w:tcPr>
            <w:tcW w:w="2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sales increased $248 million, or 12 percent, primarily due to a $180 million increase on Sentinel as the program continues to ramp, higher volume on the Guided Multiple Launch Rocket System Extended Range (GMLRS ER) program due to the timing of awards, and higher volume on various tactical solid rocket motor programs. These increases were partially offset by lower volume on armament programs, primarily on certain military ammunition programs.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$444 million, or 8 percent, primarily due to a $356 million increase on Sentinel as the program continues to ramp, a $114 million increase on various tactical solid rocket motor programs, and higher volume across the IBCS portfolio. These increases were partially offset by a $112 million reduction in sales related to the divested training services business and a $109 million decrease on armament programs, including certain military ammunition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operating income increased $16 million, or 7 percent, primarily due to higher sales, partially offset by a lower operating margin rate. Operating margin rate decreased to 10.8 percent from 11.4 percent, primarily due to changes in contract mix toward more cost-type content.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decreased $76 million, or 11 percent, primarily due to a lower operating margin rate, partially offset by higher sales. Operating margin rate decreased to 9.4 percent from 11.4 percent principally due to lower net EAC adjustments, largely due to the Q2 2026 unfavorable EAC adjustment on the Stand-in Attack Weapon (SiAW) program and the absence of a prior year favorable EAC adjustment on the EMD phase of the Sentinel program.</w:t>
      </w:r>
    </w:p>
    <w:tbl>
      <w:tblPr>
        <w:tblW w:w="10205" w:type="dxa"/>
        <w:jc w:val="left"/>
        <w:tblInd w:w="0" w:type="dxa"/>
        <w:tblLayout w:type="fixed"/>
        <w:tblCellMar>
          <w:top w:w="28" w:type="dxa"/>
          <w:left w:w="28" w:type="dxa"/>
          <w:bottom w:w="28" w:type="dxa"/>
          <w:right w:w="28" w:type="dxa"/>
        </w:tblCellMar>
      </w:tblPr>
      <w:tblGrid>
        <w:gridCol w:w="680"/>
        <w:gridCol w:w="597"/>
        <w:gridCol w:w="599"/>
        <w:gridCol w:w="242"/>
        <w:gridCol w:w="728"/>
        <w:gridCol w:w="312"/>
        <w:gridCol w:w="125"/>
        <w:gridCol w:w="125"/>
        <w:gridCol w:w="125"/>
        <w:gridCol w:w="242"/>
        <w:gridCol w:w="711"/>
        <w:gridCol w:w="312"/>
        <w:gridCol w:w="109"/>
        <w:gridCol w:w="109"/>
        <w:gridCol w:w="109"/>
        <w:gridCol w:w="164"/>
        <w:gridCol w:w="164"/>
        <w:gridCol w:w="437"/>
        <w:gridCol w:w="109"/>
        <w:gridCol w:w="109"/>
        <w:gridCol w:w="109"/>
        <w:gridCol w:w="237"/>
        <w:gridCol w:w="711"/>
        <w:gridCol w:w="305"/>
        <w:gridCol w:w="122"/>
        <w:gridCol w:w="122"/>
        <w:gridCol w:w="122"/>
        <w:gridCol w:w="237"/>
        <w:gridCol w:w="694"/>
        <w:gridCol w:w="305"/>
        <w:gridCol w:w="109"/>
        <w:gridCol w:w="109"/>
        <w:gridCol w:w="109"/>
        <w:gridCol w:w="153"/>
        <w:gridCol w:w="153"/>
        <w:gridCol w:w="500"/>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MISSION SYSTEMS</w:t>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3,155</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9,266</w:t>
            </w: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1,434</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9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15.8</w:t>
            </w:r>
            <w:r>
              <w:rPr>
                <w:color w:val="000000"/>
              </w:rPr>
              <w:t> </w:t>
            </w:r>
          </w:p>
        </w:tc>
        <w:tc>
          <w:tcPr>
            <w:tcW w:w="3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16.7 </w:t>
            </w:r>
          </w:p>
        </w:tc>
        <w:tc>
          <w:tcPr>
            <w:tcW w:w="3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15.5</w:t>
            </w:r>
            <w:r>
              <w:rPr>
                <w:color w:val="000000"/>
              </w:rPr>
              <w:t>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14.5 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sales increased $62 million, or 2 percent, primarily due to ramp-up on restricted airborne radar programs and higher volume on marine systems programs. These increases were partially offset by lower volume on restricted advanced microelectronics programs.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$209 million, or 2 percent, primarily due to ramp-up on restricted airborne radar programs, higher sales of $255 million on marine systems programs, and the timing of materials on F-35. These increases were partially offset by lower volume on restricted advanced microelectronics programs and a $129 million decrease on the Scalable Agile Beam Radar program.</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operating income decreased $15 million, or 3 percent, primarily due to a lower operating margin rate, partially offset by higher sales. Third quarter 2026 operating margin rate of 15.8 percent reflects strong program performance on marine systems and restricted airborne radar programs. Operating margin rate decreased from 16.7 percent in the third quarter of 2025 due, in part, to a prior year $68 million favorable EAC adjustment in the restricted advanced microelectronics portfolio.</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increased $117 million, or 9 percent, due to a higher operating margin rate and higher sales. Operating margin rate increased to 15.5 percent from 14.5 percent, primarily due to higher net EAC adjustments driven by improved performance, as well as prior year investments made by the sector in connection with restricted business opportunities.</w:t>
      </w:r>
    </w:p>
    <w:tbl>
      <w:tblPr>
        <w:tblW w:w="10205" w:type="dxa"/>
        <w:jc w:val="left"/>
        <w:tblInd w:w="0" w:type="dxa"/>
        <w:tblLayout w:type="fixed"/>
        <w:tblCellMar>
          <w:top w:w="28" w:type="dxa"/>
          <w:left w:w="28" w:type="dxa"/>
          <w:bottom w:w="28" w:type="dxa"/>
          <w:right w:w="28" w:type="dxa"/>
        </w:tblCellMar>
      </w:tblPr>
      <w:tblGrid>
        <w:gridCol w:w="678"/>
        <w:gridCol w:w="596"/>
        <w:gridCol w:w="597"/>
        <w:gridCol w:w="242"/>
        <w:gridCol w:w="727"/>
        <w:gridCol w:w="312"/>
        <w:gridCol w:w="125"/>
        <w:gridCol w:w="125"/>
        <w:gridCol w:w="125"/>
        <w:gridCol w:w="242"/>
        <w:gridCol w:w="710"/>
        <w:gridCol w:w="312"/>
        <w:gridCol w:w="109"/>
        <w:gridCol w:w="109"/>
        <w:gridCol w:w="109"/>
        <w:gridCol w:w="157"/>
        <w:gridCol w:w="157"/>
        <w:gridCol w:w="437"/>
        <w:gridCol w:w="109"/>
        <w:gridCol w:w="109"/>
        <w:gridCol w:w="109"/>
        <w:gridCol w:w="237"/>
        <w:gridCol w:w="711"/>
        <w:gridCol w:w="305"/>
        <w:gridCol w:w="122"/>
        <w:gridCol w:w="122"/>
        <w:gridCol w:w="122"/>
        <w:gridCol w:w="237"/>
        <w:gridCol w:w="693"/>
        <w:gridCol w:w="305"/>
        <w:gridCol w:w="109"/>
        <w:gridCol w:w="109"/>
        <w:gridCol w:w="109"/>
        <w:gridCol w:w="163"/>
        <w:gridCol w:w="163"/>
        <w:gridCol w:w="502"/>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SPACE SYSTEMS</w:t>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2,749</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7,982</w:t>
            </w: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rate</w:t>
            </w:r>
          </w:p>
        </w:tc>
        <w:tc>
          <w:tcPr>
            <w:tcW w:w="96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11.3</w:t>
            </w:r>
            <w:r>
              <w:rPr>
                <w:color w:val="000000"/>
              </w:rPr>
              <w:t> </w:t>
            </w:r>
          </w:p>
        </w:tc>
        <w:tc>
          <w:tcPr>
            <w:tcW w:w="3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7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11.0 </w:t>
            </w:r>
          </w:p>
        </w:tc>
        <w:tc>
          <w:tcPr>
            <w:tcW w:w="3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9.8</w:t>
            </w:r>
            <w:r>
              <w:rPr>
                <w:color w:val="000000"/>
              </w:rPr>
              <w:t>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10.9 </w:t>
            </w:r>
          </w:p>
        </w:tc>
        <w:tc>
          <w:tcPr>
            <w:tcW w:w="3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sales increased $51 million, or 2 percent, primarily due to ramp-up of programs in the restricted space portfolio, partially offset by $136 million of lower sales on Commercial Resupply Service missions due to launch timing.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sales increased $70 million, or 1 percent, primarily due to ramp-up of programs in the restricted space portfolio, $141 million of higher intercompany sales in support of Sentinel, and $107 million of higher GPI sales. These increases were partially offset by a $159 million decrease on the Graphite Epoxy Motor (GEM) 63XL program and a $129 million decrease on the Next-Generation Overhead Persistent Infrared Polar program.</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operating income increased $14 million, or 5 percent, due to a higher operating margin rate and higher sales. Operating margin rate increased to 11.3 percent from 11.0 percent, primarily due to changes in contract mix toward more fixed-price content.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 to date 2026 operating income decreased $78 million, or 9 percent, primarily due to a lower operating margin rate, partially offset by higher sales. Operating margin rate decreased to 9.8 percent from 10.9 percent, largely due to lower net EAC adjustments, partially offset by changes in contract mix toward more fixed-price content.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PRODUCT AND SERVICE ANALYSIS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product and service sales and operating costs and expenses by segment:</w:t>
      </w:r>
    </w:p>
    <w:tbl>
      <w:tblPr>
        <w:tblW w:w="10205" w:type="dxa"/>
        <w:jc w:val="left"/>
        <w:tblInd w:w="0" w:type="dxa"/>
        <w:tblLayout w:type="fixed"/>
        <w:tblCellMar>
          <w:top w:w="28" w:type="dxa"/>
          <w:left w:w="28" w:type="dxa"/>
          <w:bottom w:w="28" w:type="dxa"/>
          <w:right w:w="28" w:type="dxa"/>
        </w:tblCellMar>
      </w:tblPr>
      <w:tblGrid>
        <w:gridCol w:w="456"/>
        <w:gridCol w:w="388"/>
        <w:gridCol w:w="392"/>
        <w:gridCol w:w="211"/>
        <w:gridCol w:w="736"/>
        <w:gridCol w:w="109"/>
        <w:gridCol w:w="238"/>
        <w:gridCol w:w="714"/>
        <w:gridCol w:w="124"/>
        <w:gridCol w:w="211"/>
        <w:gridCol w:w="721"/>
        <w:gridCol w:w="109"/>
        <w:gridCol w:w="233"/>
        <w:gridCol w:w="681"/>
        <w:gridCol w:w="120"/>
        <w:gridCol w:w="109"/>
        <w:gridCol w:w="109"/>
        <w:gridCol w:w="109"/>
        <w:gridCol w:w="211"/>
        <w:gridCol w:w="736"/>
        <w:gridCol w:w="109"/>
        <w:gridCol w:w="230"/>
        <w:gridCol w:w="803"/>
        <w:gridCol w:w="119"/>
        <w:gridCol w:w="211"/>
        <w:gridCol w:w="721"/>
        <w:gridCol w:w="109"/>
        <w:gridCol w:w="229"/>
        <w:gridCol w:w="782"/>
        <w:gridCol w:w="175"/>
      </w:tblGrid>
      <w:tr>
        <w:trPr/>
        <w:tc>
          <w:tcPr>
            <w:tcW w:w="4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21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20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22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Information:</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Costs and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Aeronautics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Aeronautics Systems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Defense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eliminations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Defense Systems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Mission Systems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Mission Systems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2,655</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Space Systems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Space Systems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Totals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8,031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23,142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Segment</w:t>
            </w:r>
            <w:r>
              <w:rPr>
                <w:rFonts w:ascii="Times New Roman;serif" w:hAnsi="Times New Roman;serif"/>
                <w:b/>
                <w:color w:val="000000"/>
                <w:sz w:val="13"/>
              </w:rPr>
              <w:t>(1)</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9,777</w:t>
            </w:r>
            <w:r>
              <w:rPr>
                <w:color w:val="000000"/>
              </w:rPr>
              <w:t>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28,304</w:t>
            </w:r>
            <w:r>
              <w:rPr>
                <w:color w:val="000000"/>
              </w:rPr>
              <w:t>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27,178 </w:t>
            </w:r>
          </w:p>
        </w:tc>
        <w:tc>
          <w:tcPr>
            <w:tcW w:w="1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 reconciliation of segment operating income to total operating income is included in “Segment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Sales and Costs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product sales increased $729 million, or 9 percent, primarily due to higher sales on F-35, B-21 and TACAMO at Aeronautics Systems and higher volume on Sentinel, GMLRS ER, and tactical solid rocket motor programs at Defense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product costs increased $635 million, or 9 percent, consistent with the higher product sales described above.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product sales increased $1.7 billion, or 7 percent, primarily due to higher sales on B-21, TACAMO and F-35 at Aeronautics Systems and higher volume on Sentinel, tactical solid rocket motor programs and across the IBCS portfolio at Defense Systems.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product costs increased $1.2 billion, or 6 percent, reflecting a higher operating margin rate principally due to the absence of the prior year B-21 loss provision at Aeronautics Systems.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Service Sales and Costs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Quarter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service sales decreased $30 million, or 1 percent, primarily due to completion of the Special Electronic Mission Aircraft program at Defense Systems in the prior year.</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 2026 service costs were comparable with the prior year period.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Year to Date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service sales decreased $79 million, or 1 percent, primarily due to lower restricted service sales at Space Systems, lower service volume at Defense Systems due to the training services divestiture, and lower volume on airborne electronic warfare programs at Mission Systems, partially offset by higher restricted service sales at Aeronautics Systems.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 to date 2026 service costs decreased $122 million, or 2 percent, reflecting a higher operating margin rate principally driven by higher net EAC adjustments on service programs at Aeronautics Systems, Mission Systems and Space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Backlog consisted of the following as of September 30, 2026 and December 31, 2025:</w:t>
      </w:r>
    </w:p>
    <w:tbl>
      <w:tblPr>
        <w:tblW w:w="10052" w:type="dxa"/>
        <w:jc w:val="left"/>
        <w:tblInd w:w="0" w:type="dxa"/>
        <w:tblLayout w:type="fixed"/>
        <w:tblCellMar>
          <w:top w:w="28" w:type="dxa"/>
          <w:left w:w="28" w:type="dxa"/>
          <w:bottom w:w="28" w:type="dxa"/>
          <w:right w:w="28" w:type="dxa"/>
        </w:tblCellMar>
      </w:tblPr>
      <w:tblGrid>
        <w:gridCol w:w="652"/>
        <w:gridCol w:w="571"/>
        <w:gridCol w:w="576"/>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340"/>
        <w:gridCol w:w="1164"/>
        <w:gridCol w:w="176"/>
        <w:gridCol w:w="109"/>
        <w:gridCol w:w="109"/>
        <w:gridCol w:w="109"/>
        <w:gridCol w:w="321"/>
        <w:gridCol w:w="321"/>
        <w:gridCol w:w="1023"/>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in 2026</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Aeronautics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50,095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59,502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109,597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95,681 </w:t>
            </w:r>
          </w:p>
        </w:tc>
        <w:tc>
          <w:tcPr>
            <w:tcW w:w="1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Third quarter and year to date 2026 net awards totaled $16.4 billion and $46.2 billion, respectively. Backlog totaled $109.6 billion. Significant third quarter new awards include $4.6 billion for restricted programs (primarily at Aeronautics Systems, Space Systems, and Mission Systems), $2.0 billion for Sentinel, $1.4 billion for Virginia Class submarines, $1.3 billion for F-35 at Aeronautics Systems, and $1.0 billion for E-2.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At September 30, 2026, we had $3.7 billion in cash and cash equivalents. We expect cash and cash equivalents and cash generated from operating activities, supplemented by borrowings under credit facilities, commercial paper and/or in the capital markets, if needed, to be sufficient to provide liquidity to the company in the short-term and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term. The company has a five-year senior unsecured revolving credit facility in an aggregate principal amount of $3.0 billion, and in April 2026, we renewed our one-year $500 million uncommitted credit facility. At September 30, 2026, there were no borrowings outstanding under these credit facilities.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Measures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addition to our cash position, we consider various cash flow measures in capital deployment decision-making, including cash provided by operating activities and adjusted free cash flow, a non-GAAP measure described in more detail below.</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Cash Flow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key components of cash provided by operating activities:</w:t>
      </w:r>
    </w:p>
    <w:tbl>
      <w:tblPr>
        <w:tblW w:w="7607" w:type="dxa"/>
        <w:jc w:val="left"/>
        <w:tblInd w:w="0" w:type="dxa"/>
        <w:tblLayout w:type="fixed"/>
        <w:tblCellMar>
          <w:top w:w="28" w:type="dxa"/>
          <w:left w:w="28" w:type="dxa"/>
          <w:bottom w:w="28" w:type="dxa"/>
          <w:right w:w="28" w:type="dxa"/>
        </w:tblCellMar>
      </w:tblPr>
      <w:tblGrid>
        <w:gridCol w:w="1255"/>
        <w:gridCol w:w="1100"/>
        <w:gridCol w:w="1109"/>
        <w:gridCol w:w="275"/>
        <w:gridCol w:w="825"/>
        <w:gridCol w:w="142"/>
        <w:gridCol w:w="142"/>
        <w:gridCol w:w="142"/>
        <w:gridCol w:w="142"/>
        <w:gridCol w:w="275"/>
        <w:gridCol w:w="805"/>
        <w:gridCol w:w="142"/>
        <w:gridCol w:w="109"/>
        <w:gridCol w:w="109"/>
        <w:gridCol w:w="109"/>
        <w:gridCol w:w="218"/>
        <w:gridCol w:w="218"/>
        <w:gridCol w:w="490"/>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3,093</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trade working capital</w:t>
            </w:r>
            <w:r>
              <w:rPr>
                <w:rFonts w:ascii="Times New Roman;serif" w:hAnsi="Times New Roman;serif"/>
                <w:b w:val="false"/>
                <w:color w:val="000000"/>
                <w:sz w:val="13"/>
              </w:rPr>
              <w:t>(1)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46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w:t>
            </w:r>
            <w:r>
              <w:rPr>
                <w:color w:val="000000"/>
              </w:rPr>
              <w:t> </w:t>
            </w:r>
          </w:p>
        </w:tc>
        <w:tc>
          <w:tcPr>
            <w:tcW w:w="1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4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100"/>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Beginning in the fourth quarter of 2025, the company redefined trade working capital presented in this table to include accounts receivable, unbilled receivables, inventoried costs, trade accounts payable and advance payments and billings in excess of costs incurred. Prior period amounts and disclosures have been recast to conform to the current period presentation.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net cash provided by operating activities increased $509 million as compared with the same period in 2025, primarily due to lower net cash tax payments.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Free Cash Flow</w:t>
      </w:r>
    </w:p>
    <w:p>
      <w:pPr>
        <w:pStyle w:val="TextBody"/>
        <w:bidi w:val="0"/>
        <w:spacing w:lineRule="auto" w:line="288" w:before="0" w:after="100"/>
        <w:jc w:val="left"/>
        <w:rPr/>
      </w:pPr>
      <w:r>
        <w:rPr>
          <w:rFonts w:ascii="Times New Roman;serif" w:hAnsi="Times New Roman;serif"/>
          <w:b w:val="false"/>
          <w:color w:val="000000"/>
          <w:sz w:val="20"/>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if any, as such proceeds were generated in a customer sales transaction. It also includes the after-tax impact of discretionary pension contributions, if any,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During the nine months ended September 30, 2026</w:t>
      </w:r>
      <w:r>
        <w:rPr>
          <w:color w:val="000000"/>
        </w:rPr>
        <w:t xml:space="preserve"> </w:t>
      </w:r>
      <w:r>
        <w:rPr>
          <w:rFonts w:ascii="Times New Roman;serif" w:hAnsi="Times New Roman;serif"/>
          <w:b w:val="false"/>
          <w:color w:val="000000"/>
          <w:sz w:val="20"/>
        </w:rPr>
        <w:t>and 2025, the company made no discretionary pension contributions.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net cash provided by operating activities to adjusted free cash flow:</w:t>
      </w:r>
    </w:p>
    <w:tbl>
      <w:tblPr>
        <w:tblW w:w="8208" w:type="dxa"/>
        <w:jc w:val="left"/>
        <w:tblInd w:w="0" w:type="dxa"/>
        <w:tblLayout w:type="fixed"/>
        <w:tblCellMar>
          <w:top w:w="28" w:type="dxa"/>
          <w:left w:w="28" w:type="dxa"/>
          <w:bottom w:w="28" w:type="dxa"/>
          <w:right w:w="28" w:type="dxa"/>
        </w:tblCellMar>
      </w:tblPr>
      <w:tblGrid>
        <w:gridCol w:w="1402"/>
        <w:gridCol w:w="1229"/>
        <w:gridCol w:w="1239"/>
        <w:gridCol w:w="296"/>
        <w:gridCol w:w="885"/>
        <w:gridCol w:w="152"/>
        <w:gridCol w:w="152"/>
        <w:gridCol w:w="152"/>
        <w:gridCol w:w="152"/>
        <w:gridCol w:w="296"/>
        <w:gridCol w:w="653"/>
        <w:gridCol w:w="152"/>
        <w:gridCol w:w="109"/>
        <w:gridCol w:w="109"/>
        <w:gridCol w:w="109"/>
        <w:gridCol w:w="315"/>
        <w:gridCol w:w="316"/>
        <w:gridCol w:w="490"/>
      </w:tblGrid>
      <w:tr>
        <w:trPr/>
        <w:tc>
          <w:tcPr>
            <w:tcW w:w="140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equipment to a customer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r>
        <w:trPr/>
        <w:tc>
          <w:tcPr>
            <w:tcW w:w="3870"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9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w:t>
            </w:r>
            <w:r>
              <w:rPr>
                <w:color w:val="000000"/>
              </w:rPr>
              <w:t> </w:t>
            </w:r>
          </w:p>
        </w:tc>
        <w:tc>
          <w:tcPr>
            <w:tcW w:w="15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w:t>
            </w:r>
            <w:r>
              <w:rPr>
                <w:color w:val="000000"/>
              </w:rPr>
              <w:t> </w:t>
            </w:r>
          </w:p>
        </w:tc>
        <w:tc>
          <w:tcPr>
            <w:tcW w:w="49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adjusted free cash flow increased $893 million, or 1,240 percent, as compared with the same period in 2025, primarily due to higher net cash from operating activities and proceeds received in connection with the sale of equipment to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Cash Flow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to date 2026 net cash used in investing activities decreased $177 million, or 36 percent, as compared with the same period in 2025, principally due to $371 million of proceeds from the sale of equipment to a customer and $107 million of proceeds from the sale of an investment, partially offset by $333 million of proceeds from the training services divestiture in the prior year.</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Financing Cash Flow</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Year to date 2026 net cash used in financing activities decreased $1.1 billion, or 38 percent, as compared with the same period in 2025, primarily due to a $1.1 billion decrease in share repurchases.</w:t>
      </w:r>
    </w:p>
    <w:p>
      <w:pPr>
        <w:pStyle w:val="TextBody"/>
        <w:bidi w:val="0"/>
        <w:spacing w:lineRule="auto" w:line="288" w:before="0" w:after="100"/>
        <w:jc w:val="left"/>
        <w:rPr/>
      </w:pPr>
      <w:r>
        <w:rPr>
          <w:rFonts w:ascii="Times New Roman;serif" w:hAnsi="Times New Roman;serif"/>
          <w:b w:val="false"/>
          <w:i/>
          <w:color w:val="000000"/>
          <w:sz w:val="20"/>
        </w:rPr>
        <w:t xml:space="preserve">Credit Facilities, Commercial Paper and Financial Arrangements - </w:t>
      </w:r>
      <w:r>
        <w:rPr>
          <w:rFonts w:ascii="Times New Roman;serif" w:hAnsi="Times New Roman;serif"/>
          <w:b w:val="false"/>
          <w:color w:val="000000"/>
          <w:sz w:val="20"/>
        </w:rPr>
        <w:t>See Note 7 to the financial statements for further information on our credit facilities, commercial paper and our use of standby letters of credit and guarantees.</w:t>
      </w:r>
    </w:p>
    <w:p>
      <w:pPr>
        <w:pStyle w:val="TextBody"/>
        <w:bidi w:val="0"/>
        <w:spacing w:lineRule="auto" w:line="288" w:before="0" w:after="100"/>
        <w:jc w:val="left"/>
        <w:rPr/>
      </w:pPr>
      <w:r>
        <w:rPr>
          <w:rFonts w:ascii="Times New Roman;serif" w:hAnsi="Times New Roman;serif"/>
          <w:b w:val="false"/>
          <w:i/>
          <w:color w:val="000000"/>
          <w:sz w:val="20"/>
        </w:rPr>
        <w:t>Share Repurchases</w:t>
      </w:r>
      <w:r>
        <w:rPr>
          <w:color w:val="000000"/>
        </w:rPr>
        <w:t xml:space="preserve"> </w:t>
      </w:r>
      <w:r>
        <w:rPr>
          <w:rFonts w:ascii="Times New Roman;serif" w:hAnsi="Times New Roman;serif"/>
          <w:b w:val="false"/>
          <w:color w:val="000000"/>
          <w:sz w:val="20"/>
        </w:rPr>
        <w:t>- See Note 2 to the financial statements for further information on our share repurchase programs.</w:t>
      </w:r>
    </w:p>
    <w:p>
      <w:pPr>
        <w:pStyle w:val="TextBody"/>
        <w:bidi w:val="0"/>
        <w:spacing w:lineRule="auto" w:line="288" w:before="0" w:after="180"/>
        <w:jc w:val="left"/>
        <w:rPr/>
      </w:pP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See Note 5 to the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discussed in our 2025 Annual Report on Form 10-K.</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1 to our financial statements for further information on accounting standards updates.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FORWARD-LOOKING STATEMENTS AND PROJECTIONS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2025 Annual Report on Form 10-K and from time to time in our other filings with the SEC. They include: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Industry and Economic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dependence on the U.S. government for a substantial portion of our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delays or reductions in payments as a result of or related to a breach of the debt ceiling or a prolonged government shutdown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to management’s judgments and assumptions in estimating and/or projecting contract revenue and performance which may be inaccurate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increased competition within our markets and bid protests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continued pressures from macroeconomic trends, including on costs, schedules, performance and ability to meet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Legal and Regulatory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investigations, claims, disputes, enforcement actions, litigation (including criminal, civil and administrative) and/or other legal proceedings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changes in procurement and other laws, SEC,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improper conduct of employees, agents, subcontractors, suppliers, business partners or joint ventures in which we participate, including the impact on our reputation and our ability to do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environmental matters, unforeseen environmental costs and government and third-party claims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unanticipated changes in our tax provisions or exposure to additional tax liabilities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Business and Operational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cyber and other security threats or disruptions faced by us, our customers or our suppliers and other partners, including threats or disruptions from the use of artificial intelligence models capable of exploiting vulnerabilities to conduct or enhance cyber attacks, and changes in related regulations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performance and viability of our subcontractors and suppliers and the availability and pricing of raw materials, critical minerals and metals, chemicals, parts and components, particularly with inflationary pressures, increased costs, pricing changes, shortages in labor and financial resources, supply chain disruptions, and extended material lead times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to attract and retain a qualified and talented workforce with the necessary security clearances to meet our performance obligations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exposure to additional risks as a result of our international business, including risks related to global security and strategic alliances, geopolitical and economic factors, misconduct, suppliers, laws and regulations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to innovate, develop new products and technologies, progress and benefit from digital transformation and maintain technologies to meet the needs of our customers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natural disasters, epidemics, pandemics and similar outbreaks and other significant disruptions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products and services we provide related to hazardous and high risk operations, including the production and use of such products, which subject us to various environmental, regulatory, financial, reputational and other risks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appropriately to protect and exploit intellectual property rights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General and Other Risk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adequacy and availability of, and ability to obtain, insurance coverage, customer indemnifications or other liability protections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changes in business conditions that could impact business investments and/or recorded goodwill or the value of other long-lived assets, and other potential future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56"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risks from those discussed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2026,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changes occurred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provided information about certain legal proceedings in which we are involved in Notes 6 and 7 to the financial statements.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2025 Annual Report on Form 10-K.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a discussion of our risk factors please see the section entitled “Risk Factors”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approximate dollar value of shares that may yet be purchased under the company’s share repurchase authorization is $2.5 billion as of September 30, 2026. We had no repurchases of common stock during the three months ended September 30, 2026.</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Share repurchases take place from time to time, subject to market and regulatory conditions and management’s discretion, in the open market or in privately negotiated transactions. The company retires its common stock upon repurchase.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2 to the financial statements for further information on our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September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5"/>
        <w:gridCol w:w="279"/>
        <w:gridCol w:w="277"/>
        <w:gridCol w:w="562"/>
        <w:gridCol w:w="562"/>
        <w:gridCol w:w="563"/>
        <w:gridCol w:w="355"/>
        <w:gridCol w:w="355"/>
        <w:gridCol w:w="357"/>
        <w:gridCol w:w="1448"/>
        <w:gridCol w:w="1448"/>
        <w:gridCol w:w="1451"/>
        <w:gridCol w:w="604"/>
        <w:gridCol w:w="604"/>
        <w:gridCol w:w="865"/>
      </w:tblGrid>
      <w:tr>
        <w:trPr/>
        <w:tc>
          <w:tcPr>
            <w:tcW w:w="4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br/>
              <w:t>(Title)</w:t>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Date of Adoption </w:t>
            </w:r>
          </w:p>
        </w:tc>
        <w:tc>
          <w:tcPr>
            <w:tcW w:w="43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Expiration Date of Trading Arrangement</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or Sold</w:t>
            </w:r>
          </w:p>
        </w:tc>
      </w:tr>
      <w:tr>
        <w:trPr/>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Welsh III</w:t>
            </w:r>
          </w:p>
        </w:tc>
        <w:tc>
          <w:tcPr>
            <w:tcW w:w="1687"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067"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27, 2026</w:t>
            </w:r>
          </w:p>
        </w:tc>
        <w:tc>
          <w:tcPr>
            <w:tcW w:w="4347"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2027 or such earlier date upon the completion of all trades under the plan or the occurrence of such other termination events as specified in the plan.</w:t>
            </w:r>
          </w:p>
        </w:tc>
        <w:tc>
          <w:tcPr>
            <w:tcW w:w="2073" w:type="dxa"/>
            <w:gridSpan w:val="3"/>
            <w:vMerge w:val="restart"/>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 of 392 shares of common stock </w:t>
            </w:r>
          </w:p>
        </w:tc>
      </w:tr>
      <w:tr>
        <w:trPr/>
        <w:tc>
          <w:tcPr>
            <w:tcW w:w="10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87"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067" w:type="dxa"/>
            <w:gridSpan w:val="3"/>
            <w:vMerge w:val="continue"/>
            <w:tcBorders>
              <w:top w:val="single" w:sz="8" w:space="0" w:color="000000"/>
              <w:bottom w:val="single" w:sz="8" w:space="0" w:color="000000"/>
            </w:tcBorders>
            <w:shd w:fill="CCEEFF" w:val="clear"/>
            <w:tcMar>
              <w:top w:w="30" w:type="dxa"/>
              <w:left w:w="0" w:type="dxa"/>
              <w:bottom w:w="30" w:type="dxa"/>
              <w:right w:w="0" w:type="dxa"/>
            </w:tcMar>
            <w:vAlign w:val="center"/>
          </w:tcPr>
          <w:p>
            <w:pPr>
              <w:pStyle w:val="Normal"/>
              <w:bidi w:val="0"/>
              <w:jc w:val="left"/>
              <w:rPr/>
            </w:pPr>
            <w:r>
              <w:rPr/>
            </w:r>
          </w:p>
        </w:tc>
        <w:tc>
          <w:tcPr>
            <w:tcW w:w="4347"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2073" w:type="dxa"/>
            <w:gridSpan w:val="3"/>
            <w:vMerge w:val="continue"/>
            <w:tcBorders>
              <w:top w:val="single" w:sz="8" w:space="0" w:color="000000"/>
              <w:bottom w:val="single" w:sz="8" w:space="0" w:color="000000"/>
            </w:tcBorders>
            <w:shd w:fill="CCEEFF" w:val="clear"/>
            <w:tcMar>
              <w:top w:w="30" w:type="dxa"/>
              <w:left w:w="0" w:type="dxa"/>
              <w:bottom w:w="30" w:type="dxa"/>
              <w:right w:w="0" w:type="dxa"/>
            </w:tcMar>
            <w:vAlign w:val="center"/>
          </w:tcPr>
          <w:p>
            <w:pPr>
              <w:pStyle w:val="Normal"/>
              <w:bidi w:val="0"/>
              <w:jc w:val="left"/>
              <w:rPr/>
            </w:pPr>
            <w:r>
              <w:rPr/>
            </w:r>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22"/>
        <w:gridCol w:w="223"/>
        <w:gridCol w:w="3000"/>
        <w:gridCol w:w="2692"/>
        <w:gridCol w:w="381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16"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*+10.1 </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x101.htm">
              <w:r>
                <w:rPr>
                  <w:rStyle w:val="InternetLink"/>
                  <w:rFonts w:ascii="Times New Roman;serif" w:hAnsi="Times New Roman;serif"/>
                  <w:b w:val="false"/>
                  <w:color w:val="0000FF"/>
                  <w:sz w:val="20"/>
                  <w:u w:val="single"/>
                </w:rPr>
                <w:t>2026 Market Stock Units Grant Agreement Specifying Terms and Conditions Applicable to 2026 Market Stock Units Granted to Kathy J. Warden Under the 2024 Long-Term Incentive Stock Plan</w:t>
              </w:r>
            </w:hyperlink>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x15.htm">
              <w:r>
                <w:rPr>
                  <w:rStyle w:val="InternetLink"/>
                  <w:rFonts w:ascii="Times New Roman;serif" w:hAnsi="Times New Roman;serif"/>
                  <w:b w:val="false"/>
                  <w:color w:val="0000FF"/>
                  <w:sz w:val="20"/>
                  <w:u w:val="single"/>
                </w:rPr>
                <w:t>Letter from Independent Registered Public Accounting Firm</w:t>
              </w:r>
            </w:hyperlink>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x311.htm">
              <w:r>
                <w:rPr>
                  <w:rStyle w:val="InternetLink"/>
                  <w:rFonts w:ascii="Times New Roman;serif" w:hAnsi="Times New Roman;serif"/>
                  <w:b w:val="false"/>
                  <w:color w:val="0000FF"/>
                  <w:sz w:val="20"/>
                  <w:u w:val="single"/>
                </w:rPr>
                <w:t>Certification of Kathy J. Warden pursuant to Section 302 of the Sarbanes-Oxley Act of 2002</w:t>
              </w:r>
            </w:hyperlink>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x312.htm">
              <w:r>
                <w:rPr>
                  <w:rStyle w:val="InternetLink"/>
                  <w:rFonts w:ascii="Times New Roman;serif" w:hAnsi="Times New Roman;serif"/>
                  <w:b w:val="false"/>
                  <w:color w:val="0000FF"/>
                  <w:sz w:val="20"/>
                  <w:u w:val="single"/>
                </w:rPr>
                <w:t>Certification of John T. Greene pursuant to Section 302 of the Sarbanes-Oxley Act of 2002</w:t>
              </w:r>
            </w:hyperlink>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x321.htm">
              <w:r>
                <w:rPr>
                  <w:rStyle w:val="InternetLink"/>
                  <w:rFonts w:ascii="Times New Roman;serif" w:hAnsi="Times New Roman;serif"/>
                  <w:b w:val="false"/>
                  <w:color w:val="0000FF"/>
                  <w:sz w:val="20"/>
                  <w:u w:val="single"/>
                </w:rPr>
                <w:t>Certification of Kathy J. Warden pursuant to Section 906 of the Sarbanes-Oxley Act of 2002</w:t>
              </w:r>
            </w:hyperlink>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x322.htm">
              <w:r>
                <w:rPr>
                  <w:rStyle w:val="InternetLink"/>
                  <w:rFonts w:ascii="Times New Roman;serif" w:hAnsi="Times New Roman;serif"/>
                  <w:b w:val="false"/>
                  <w:color w:val="0000FF"/>
                  <w:sz w:val="20"/>
                  <w:u w:val="single"/>
                </w:rPr>
                <w:t>Certification of John T. Greene pursuant to Section 906 of the Sarbanes-Oxley Act of 2002</w:t>
              </w:r>
            </w:hyperlink>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 Quarterly Report on Form 10-Q for the quarter ended September 30, 2026, formatted as inline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(vi) Notes to Condensed Consolidated Financial Statements, and (vii) Other Information. The instance document does not appear in the Interactive Data File because its XBRL tags are embedded within the Inline XBRL document.</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265f6b59d8149609cf05e66144c1917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NORTHROP GRUMMAN CORPORATION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00"/>
        <w:jc w:val="left"/>
        <w:rPr/>
      </w:pPr>
      <w:r>
        <w:rPr/>
      </w:r>
    </w:p>
    <w:tbl>
      <w:tblPr>
        <w:tblW w:w="5812" w:type="dxa"/>
        <w:jc w:val="right"/>
        <w:tblInd w:w="0" w:type="dxa"/>
        <w:tblLayout w:type="fixed"/>
        <w:tblCellMar>
          <w:top w:w="28" w:type="dxa"/>
          <w:left w:w="28" w:type="dxa"/>
          <w:bottom w:w="28" w:type="dxa"/>
          <w:right w:w="28" w:type="dxa"/>
        </w:tblCellMar>
      </w:tblPr>
      <w:tblGrid>
        <w:gridCol w:w="438"/>
        <w:gridCol w:w="385"/>
        <w:gridCol w:w="385"/>
        <w:gridCol w:w="385"/>
        <w:gridCol w:w="385"/>
        <w:gridCol w:w="385"/>
        <w:gridCol w:w="1004"/>
        <w:gridCol w:w="1004"/>
        <w:gridCol w:w="1441"/>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8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w:t>
              <w:br/>
              <w:t>(Registrant)</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p>
            <w:pPr>
              <w:pStyle w:val="TableContents"/>
              <w:bidi w:val="0"/>
              <w:spacing w:lineRule="auto" w:line="240" w:before="0" w:after="0"/>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Michael A. Hardesty</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A. Hardesty</w:t>
              <w:br/>
              <w:t>Corporate Vice President, Controller and</w:t>
              <w:br/>
              <w:t>Chief Accounting Officer</w:t>
              <w:br/>
              <w:t>(Principal Accounting Officer)</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36"/>
        </w:rPr>
        <w:t>NORTHROP GRUMMAN CORPORATION</w:t>
        <w:br/>
      </w:r>
      <w:r>
        <w:rPr>
          <w:rFonts w:ascii="Times New Roman;serif" w:hAnsi="Times New Roman;serif"/>
          <w:b/>
          <w:color w:val="000000"/>
          <w:sz w:val="24"/>
        </w:rPr>
        <w:br/>
        <w:t>2026 MARKET STOCK UNITS GRANT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2026 Market Stock Units Grant Agreement (“Agreement”) applies to certain “Market Stock Units” (“MSUs”) granted by Northrop Grumman Corporation (the “Company”) in 2026 under its 2024 Long-Term Incentive Stock Plan. The date of grant of your MSU award and the target number of MSUs applicable to your award are set forth in the letter from the Company announcing your MSU award (your “Grant Letter”) and are also reflected in the electronic stock plan award recordkeeping system (“Stock Plan System”) maintained by the Company or its designee. This Agreement applies only with respect to the 2026 MSU award under the Plan, and you are subject to this Agreement upon accepting your grant. You are referred to as the “Grantee” with respect to your award. Capitalized terms are generally defined in Section 11 below if not otherwise defined 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MSU represents a right to receive one share of the Company’s Common Stock, or cash of equivalent value as provided herein, subject to vesting as provided herein. The performance period applicable to your award is August 19, 2026 to December 31, 2031 (the “Performance Period”). The target number of MSUs subject to your award is subject to adjustment as provided herein. The MSU award is subject to all of the terms and conditions set forth in this Agreement, and is further subject to all of the terms and conditions of the Plan and any rules adopted by the Committee, as such rules are in effect from time to time. If you do not formally accept your MSU award, by entering into this Agreement in accordance with the instructions and time limit set forth in your Grant Letter, you will be deemed to have forfeited your MSU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01040"/>
                <wp:effectExtent l="0" t="0" r="0" b="0"/>
                <wp:wrapNone/>
                <wp:docPr id="42" name="Frame4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pPr>
                            <w:r>
                              <w:rPr>
                                <w:rFonts w:ascii="Times New Roman;serif" w:hAnsi="Times New Roman;serif"/>
                                <w:b w:val="false"/>
                                <w:color w:val="000000"/>
                                <w:sz w:val="18"/>
                              </w:rPr>
                              <w:t>CEO - MSU 2026</w:t>
                            </w:r>
                            <w:r>
                              <w:rPr>
                                <w:color w:val="000000"/>
                              </w:rPr>
                              <w:t>    </w:t>
                            </w: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pPr>
                      <w:r>
                        <w:rPr>
                          <w:rFonts w:ascii="Times New Roman;serif" w:hAnsi="Times New Roman;serif"/>
                          <w:b w:val="false"/>
                          <w:color w:val="000000"/>
                          <w:sz w:val="18"/>
                        </w:rPr>
                        <w:t>CEO - MSU 2026</w:t>
                      </w:r>
                      <w:r>
                        <w:rPr>
                          <w:color w:val="000000"/>
                        </w:rPr>
                        <w:t>    </w:t>
                      </w: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446"/>
        <w:jc w:val="left"/>
        <w:rPr/>
      </w:pPr>
      <w:r>
        <w:rPr>
          <w:rFonts w:ascii="Times New Roman;serif" w:hAnsi="Times New Roman;serif"/>
          <w:b/>
          <w:color w:val="000000"/>
          <w:sz w:val="20"/>
        </w:rPr>
        <w:t>1.</w:t>
      </w:r>
      <w:r>
        <w:rPr>
          <w:rFonts w:ascii="Times New Roman;serif" w:hAnsi="Times New Roman;serif"/>
          <w:b/>
          <w:color w:val="000000"/>
          <w:sz w:val="20"/>
          <w:u w:val="single"/>
        </w:rPr>
        <w:t>Vesting; Payment of MSUs</w:t>
      </w:r>
      <w:r>
        <w:rPr>
          <w:rFonts w:ascii="Times New Roman;serif" w:hAnsi="Times New Roman;serif"/>
          <w:b w:val="false"/>
          <w:color w:val="000000"/>
          <w:sz w:val="20"/>
        </w:rPr>
        <w: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MSUs are subject to the vesting and payment provisions established by the Committee with respect to the Performance Period. MSUs (and any Dividend Equivalents (as defined below)) that vest based on such provisions will be paid as provided below. </w:t>
      </w:r>
    </w:p>
    <w:p>
      <w:pPr>
        <w:pStyle w:val="TextBody"/>
        <w:bidi w:val="0"/>
        <w:spacing w:lineRule="auto" w:line="288" w:before="0" w:after="200"/>
        <w:ind w:left="0" w:right="0" w:firstLine="360"/>
        <w:jc w:val="left"/>
        <w:rPr/>
      </w:pPr>
      <w:r>
        <w:rPr>
          <w:rFonts w:ascii="Times New Roman;serif" w:hAnsi="Times New Roman;serif"/>
          <w:b/>
          <w:color w:val="000000"/>
          <w:sz w:val="20"/>
        </w:rPr>
        <w:t>1.1.</w:t>
      </w:r>
      <w:r>
        <w:rPr>
          <w:rFonts w:ascii="Times New Roman;serif" w:hAnsi="Times New Roman;serif"/>
          <w:b/>
          <w:i/>
          <w:color w:val="000000"/>
          <w:sz w:val="20"/>
        </w:rPr>
        <w:t>Performance-Based Vesting of MSUs</w:t>
      </w:r>
      <w:r>
        <w:rPr>
          <w:rFonts w:ascii="Times New Roman;serif" w:hAnsi="Times New Roman;serif"/>
          <w:b w:val="false"/>
          <w:color w:val="000000"/>
          <w:sz w:val="20"/>
        </w:rPr>
        <w:t>. Subject to Sections 2, 3, 4 and 6 below, the MSUs subject to the award shall vest and become nonforfeitable based on the performance methodology established by the Committee for the Performance Period. At the conclusion of the Performance Period, the Committee shall apply the performance methodology based on the change in the stock price over the Performance Period to determine the percentage of target MSUs subject to the award (if any) that have vested for the Performance Period (the “Earnout Percentage”), and its determination of the Earnout Percentage shall be conclusive and binding. Any MSUs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pStyle w:val="TextBody"/>
        <w:bidi w:val="0"/>
        <w:spacing w:lineRule="auto" w:line="288" w:before="0" w:after="200"/>
        <w:ind w:left="0" w:right="0" w:firstLine="360"/>
        <w:jc w:val="left"/>
        <w:rPr/>
      </w:pPr>
      <w:r>
        <w:rPr>
          <w:rFonts w:ascii="Times New Roman;serif" w:hAnsi="Times New Roman;serif"/>
          <w:b/>
          <w:color w:val="000000"/>
          <w:sz w:val="20"/>
        </w:rPr>
        <w:t>1.2.</w:t>
      </w:r>
      <w:r>
        <w:rPr>
          <w:rFonts w:ascii="Times New Roman;serif" w:hAnsi="Times New Roman;serif"/>
          <w:b/>
          <w:i/>
          <w:color w:val="000000"/>
          <w:sz w:val="20"/>
        </w:rPr>
        <w:t>Payment of MSUs</w:t>
      </w:r>
      <w:r>
        <w:rPr>
          <w:rFonts w:ascii="Times New Roman;serif" w:hAnsi="Times New Roman;serif"/>
          <w:b w:val="false"/>
          <w:color w:val="000000"/>
          <w:sz w:val="20"/>
        </w:rPr>
        <w:t>. The number of MSUs payable at the conclusion of the Performance Period (“Vested MSUs”) shall be determined by multiplying the Earnout Percentage by the target number of MSUs subject to the award. The Vested MSUs and any MSUs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MSU to be paid in cash will equal the Fair Market Value (as defined below) of a share of Common Stock as of the date the Committee determines the extent to which the applicable MSU performance criteria have been achieved. Vested MSUs will be paid within 60 days of the vesting date, but in no event later than March 15 of the year following the last day of the Performance Period.</w:t>
      </w:r>
    </w:p>
    <w:p>
      <w:pPr>
        <w:pStyle w:val="TextBody"/>
        <w:bidi w:val="0"/>
        <w:spacing w:lineRule="auto" w:line="288" w:before="0" w:after="200"/>
        <w:ind w:left="0" w:right="0" w:firstLine="360"/>
        <w:jc w:val="left"/>
        <w:rPr/>
      </w:pPr>
      <w:r>
        <w:rPr>
          <w:rFonts w:ascii="Times New Roman;serif" w:hAnsi="Times New Roman;serif"/>
          <w:b/>
          <w:color w:val="000000"/>
          <w:sz w:val="20"/>
        </w:rPr>
        <w:t>1.3.</w:t>
      </w:r>
      <w:r>
        <w:rPr>
          <w:rFonts w:ascii="Times New Roman;serif" w:hAnsi="Times New Roman;serif"/>
          <w:b/>
          <w:i/>
          <w:color w:val="000000"/>
          <w:sz w:val="20"/>
        </w:rPr>
        <w:t>Dividend Equivalents</w:t>
      </w:r>
      <w:r>
        <w:rPr>
          <w:rFonts w:ascii="Times New Roman;serif" w:hAnsi="Times New Roman;serif"/>
          <w:b w:val="false"/>
          <w:color w:val="000000"/>
          <w:sz w:val="20"/>
        </w:rPr>
        <w:t xml:space="preserve">. The Grantee shall be entitled to payment for Dividend Equivalents (if any) with respect to any Vested MSUs and any MSUs that vest and become payable pursuant to Section 2 or 6. For purposes of this Agreement, “Dividend Equivalents” means the aggregate amount of dividends paid by the Company on a number of shares of Common Stock equivalent to the number of Vested MSUs (or the number of MSUs that vest and become payable pursuant to Section 2 or 6) during the period from the beginning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of the Performance Period until the date the Vested MSUs (or the MSUs that vest and become payable pursuant to Section 2 or 6) are paid, without interest or other adjustments to reflect the time value of money. For these purposes, any Vested MSUs or MSUs that vest and become payable pursuant to Section 2 or 6 in excess of the target number of MSUs subject to the award shall be considered to have been granted at the beginning of the Performance Period. Dividend Equivalents (if any) will be paid at the same time as the Vested MSUs (or the MSUs that vest and become payable pursuant to Section 2 or 6) to which they relate are paid. Dividend Equivalents will be paid in cash.</w:t>
      </w:r>
    </w:p>
    <w:p>
      <w:pPr>
        <w:pStyle w:val="TextBody"/>
        <w:bidi w:val="0"/>
        <w:spacing w:lineRule="auto" w:line="288" w:before="0" w:after="20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u w:val="single"/>
        </w:rPr>
        <w:t>Early Termination of Award; Termination of Employment</w:t>
      </w:r>
      <w:r>
        <w:rPr>
          <w:rFonts w:ascii="Times New Roman;serif" w:hAnsi="Times New Roman;serif"/>
          <w:b w:val="false"/>
          <w:color w:val="000000"/>
          <w:sz w:val="20"/>
        </w:rPr>
        <w:t>.</w:t>
      </w:r>
    </w:p>
    <w:p>
      <w:pPr>
        <w:pStyle w:val="TextBody"/>
        <w:bidi w:val="0"/>
        <w:spacing w:lineRule="auto" w:line="288" w:before="0" w:after="200"/>
        <w:ind w:left="0" w:right="0" w:firstLine="360"/>
        <w:jc w:val="left"/>
        <w:rPr/>
      </w:pPr>
      <w:r>
        <w:rPr>
          <w:rFonts w:ascii="Times New Roman;serif" w:hAnsi="Times New Roman;serif"/>
          <w:b/>
          <w:color w:val="000000"/>
          <w:sz w:val="20"/>
        </w:rPr>
        <w:t>2.1</w:t>
      </w:r>
      <w:r>
        <w:rPr>
          <w:rFonts w:ascii="Times New Roman;serif" w:hAnsi="Times New Roman;serif"/>
          <w:b/>
          <w:i/>
          <w:color w:val="000000"/>
          <w:sz w:val="20"/>
        </w:rPr>
        <w:t>General</w:t>
      </w:r>
      <w:r>
        <w:rPr>
          <w:rFonts w:ascii="Times New Roman;serif" w:hAnsi="Times New Roman;serif"/>
          <w:b/>
          <w:color w:val="000000"/>
          <w:sz w:val="20"/>
        </w:rPr>
        <w:t xml:space="preserve">. </w:t>
      </w:r>
      <w:r>
        <w:rPr>
          <w:rFonts w:ascii="Times New Roman;serif" w:hAnsi="Times New Roman;serif"/>
          <w:b w:val="false"/>
          <w:color w:val="000000"/>
          <w:sz w:val="20"/>
        </w:rPr>
        <w:t>The MSUs (and related Dividend Equivalents) 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pStyle w:val="TextBody"/>
        <w:bidi w:val="0"/>
        <w:spacing w:lineRule="auto" w:line="288" w:before="0" w:after="200"/>
        <w:ind w:left="0" w:right="0" w:firstLine="360"/>
        <w:jc w:val="left"/>
        <w:rPr/>
      </w:pPr>
      <w:r>
        <w:rPr>
          <w:rFonts w:ascii="Times New Roman;serif" w:hAnsi="Times New Roman;serif"/>
          <w:b/>
          <w:color w:val="000000"/>
          <w:sz w:val="20"/>
        </w:rPr>
        <w:t>2.2</w:t>
      </w:r>
      <w:r>
        <w:rPr>
          <w:rFonts w:ascii="Times New Roman;serif" w:hAnsi="Times New Roman;serif"/>
          <w:b/>
          <w:i/>
          <w:color w:val="000000"/>
          <w:sz w:val="20"/>
        </w:rPr>
        <w:t>Termination of Employment Due to Retirement, Death or Disability</w:t>
      </w:r>
      <w:r>
        <w:rPr>
          <w:rFonts w:ascii="Times New Roman;serif" w:hAnsi="Times New Roman;serif"/>
          <w:b w:val="false"/>
          <w:color w:val="000000"/>
          <w:sz w:val="20"/>
        </w:rPr>
        <w:t xml:space="preserve">. </w:t>
      </w:r>
    </w:p>
    <w:p>
      <w:pPr>
        <w:pStyle w:val="TextBody"/>
        <w:bidi w:val="0"/>
        <w:spacing w:lineRule="auto" w:line="288" w:before="0" w:after="200"/>
        <w:jc w:val="left"/>
        <w:rPr/>
      </w:pPr>
      <w:r>
        <w:rPr>
          <w:rFonts w:ascii="Times New Roman;serif" w:hAnsi="Times New Roman;serif"/>
          <w:b w:val="false"/>
          <w:i/>
          <w:color w:val="000000"/>
          <w:sz w:val="20"/>
        </w:rPr>
        <w:t xml:space="preserve">Retirement. </w:t>
      </w:r>
      <w:r>
        <w:rPr>
          <w:rFonts w:ascii="Times New Roman;serif" w:hAnsi="Times New Roman;serif"/>
          <w:b w:val="false"/>
          <w:color w:val="000000"/>
          <w:sz w:val="20"/>
        </w:rPr>
        <w:t>If the Grantee ceases to be employed by the Company or one of its subsidiaries due to the Grantee’s Retirement (as defined below), the MSUs will remain outstanding and vest as if Grantee had remained an employee for the full Performance Period. Payment of any Vested MSUs (and related Dividend Equivalents) will not be accelerated, and will remain subject to Sections 1.2 and 4 hereof.</w:t>
      </w:r>
    </w:p>
    <w:p>
      <w:pPr>
        <w:pStyle w:val="TextBody"/>
        <w:bidi w:val="0"/>
        <w:spacing w:lineRule="auto" w:line="288" w:before="0" w:after="240"/>
        <w:jc w:val="left"/>
        <w:rPr/>
      </w:pPr>
      <w:r>
        <w:rPr>
          <w:rFonts w:ascii="Times New Roman;serif" w:hAnsi="Times New Roman;serif"/>
          <w:b w:val="false"/>
          <w:i/>
          <w:color w:val="000000"/>
          <w:sz w:val="20"/>
        </w:rPr>
        <w:t>Death or Disability</w:t>
      </w:r>
      <w:r>
        <w:rPr>
          <w:rFonts w:ascii="Times New Roman;serif" w:hAnsi="Times New Roman;serif"/>
          <w:b w:val="false"/>
          <w:color w:val="000000"/>
          <w:sz w:val="20"/>
        </w:rPr>
        <w:t xml:space="preserve">. If the Grantee ceases to be employed by the Company as a result of death or Disability (a) a pro-rata portion of the MSUs (and related Dividend Equivalents), based on the number of calendar days the Grantee was actually employed by the Company or one of its subsidiaries during the Performance Period over the number of calendar days in the Performance Period, will vest based on actual performance over the portion of the Performance Period up to and including the date of death or Disability (“Prorated MSUs”), and (b) payment of the Prorated MSUs (and related Dividend Equivalents) that vest pursuant to this Section 2.2 will be made within 60 days of the Grantee’s death or Disability, but in no event later than March 15 of the year following the date of the death or Disability. Any MSUs (and related Dividend Equivalents) subject to the award that do not vest in accordance with this Section 2.2 upon a termination of the Grantee’s employment due to death or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1040"/>
                <wp:effectExtent l="0" t="0" r="0" b="0"/>
                <wp:wrapNone/>
                <wp:docPr id="43" name="Frame4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pPr>
                            <w:r>
                              <w:rPr>
                                <w:rFonts w:ascii="Times New Roman;serif" w:hAnsi="Times New Roman;serif"/>
                                <w:b w:val="false"/>
                                <w:color w:val="000000"/>
                                <w:sz w:val="18"/>
                              </w:rPr>
                              <w:t>CEO - MSU 2026</w:t>
                            </w:r>
                            <w:r>
                              <w:rPr>
                                <w:color w:val="000000"/>
                              </w:rPr>
                              <w:t>    </w:t>
                            </w: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pPr>
                      <w:r>
                        <w:rPr>
                          <w:rFonts w:ascii="Times New Roman;serif" w:hAnsi="Times New Roman;serif"/>
                          <w:b w:val="false"/>
                          <w:color w:val="000000"/>
                          <w:sz w:val="18"/>
                        </w:rPr>
                        <w:t>CEO - MSU 2026</w:t>
                      </w:r>
                      <w:r>
                        <w:rPr>
                          <w:color w:val="000000"/>
                        </w:rPr>
                        <w:t>    </w:t>
                      </w: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Disability shall terminate immediately upon such termination of employment.</w:t>
      </w:r>
    </w:p>
    <w:p>
      <w:pPr>
        <w:pStyle w:val="TextBody"/>
        <w:bidi w:val="0"/>
        <w:spacing w:lineRule="auto" w:line="288" w:before="0" w:after="200"/>
        <w:ind w:left="0" w:right="0" w:firstLine="450"/>
        <w:jc w:val="left"/>
        <w:rPr/>
      </w:pPr>
      <w:r>
        <w:rPr>
          <w:rFonts w:ascii="Times New Roman;serif" w:hAnsi="Times New Roman;serif"/>
          <w:b/>
          <w:color w:val="000000"/>
          <w:sz w:val="20"/>
        </w:rPr>
        <w:t>2.3</w:t>
      </w:r>
      <w:r>
        <w:rPr>
          <w:rFonts w:ascii="Times New Roman;serif" w:hAnsi="Times New Roman;serif"/>
          <w:b/>
          <w:i/>
          <w:color w:val="000000"/>
          <w:sz w:val="20"/>
        </w:rPr>
        <w:t>Other Terminations of Employment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Subject to Section 6.2, all MSUs (and related Dividend Equivalents) subject to the award shall terminate immediately upon a termination of the Grantee’s employment for any reason other than due to the Grantee’s Retirement, death or Disability.</w:t>
      </w:r>
    </w:p>
    <w:p>
      <w:pPr>
        <w:pStyle w:val="TextBody"/>
        <w:bidi w:val="0"/>
        <w:spacing w:lineRule="auto" w:line="288" w:before="0" w:after="200"/>
        <w:ind w:left="0" w:right="0" w:firstLine="450"/>
        <w:jc w:val="left"/>
        <w:rPr/>
      </w:pPr>
      <w:r>
        <w:rPr>
          <w:rFonts w:ascii="Times New Roman;serif" w:hAnsi="Times New Roman;serif"/>
          <w:b/>
          <w:color w:val="000000"/>
          <w:sz w:val="20"/>
        </w:rPr>
        <w:t>2.4</w:t>
      </w:r>
      <w:r>
        <w:rPr>
          <w:rFonts w:ascii="Times New Roman;serif" w:hAnsi="Times New Roman;serif"/>
          <w:b/>
          <w:i/>
          <w:color w:val="000000"/>
          <w:sz w:val="20"/>
        </w:rPr>
        <w:t>Leave of Absence</w:t>
      </w:r>
      <w:r>
        <w:rPr>
          <w:rFonts w:ascii="Times New Roman;serif" w:hAnsi="Times New Roman;serif"/>
          <w:b w:val="false"/>
          <w:color w:val="000000"/>
          <w:sz w:val="20"/>
        </w:rPr>
        <w:t>. Unless the Committee otherwise provides (at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pStyle w:val="TextBody"/>
        <w:bidi w:val="0"/>
        <w:spacing w:lineRule="auto" w:line="288" w:before="0" w:after="200"/>
        <w:ind w:left="0" w:right="0" w:firstLine="450"/>
        <w:jc w:val="left"/>
        <w:rPr/>
      </w:pPr>
      <w:r>
        <w:rPr>
          <w:rFonts w:ascii="Times New Roman;serif" w:hAnsi="Times New Roman;serif"/>
          <w:b/>
          <w:color w:val="000000"/>
          <w:sz w:val="20"/>
        </w:rPr>
        <w:t>2.5</w:t>
      </w:r>
      <w:r>
        <w:rPr>
          <w:rFonts w:ascii="Times New Roman;serif" w:hAnsi="Times New Roman;serif"/>
          <w:b/>
          <w:i/>
          <w:color w:val="000000"/>
          <w:sz w:val="20"/>
        </w:rPr>
        <w:t>Salary Continuation</w:t>
      </w:r>
      <w:r>
        <w:rPr>
          <w:rFonts w:ascii="Times New Roman;serif" w:hAnsi="Times New Roman;serif"/>
          <w:b w:val="false"/>
          <w:color w:val="000000"/>
          <w:sz w:val="20"/>
        </w:rPr>
        <w:t>. Subject to Section 2.4 above, the term “employment” as used herein means active employment by the Company or one of its subsidiaries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pStyle w:val="TextBody"/>
        <w:bidi w:val="0"/>
        <w:spacing w:lineRule="auto" w:line="288" w:before="0" w:after="200"/>
        <w:ind w:left="0" w:right="0" w:firstLine="450"/>
        <w:jc w:val="left"/>
        <w:rPr/>
      </w:pPr>
      <w:r>
        <w:rPr>
          <w:rFonts w:ascii="Times New Roman;serif" w:hAnsi="Times New Roman;serif"/>
          <w:b/>
          <w:color w:val="000000"/>
          <w:sz w:val="20"/>
        </w:rPr>
        <w:t>2.6</w:t>
      </w:r>
      <w:r>
        <w:rPr>
          <w:rFonts w:ascii="Times New Roman;serif" w:hAnsi="Times New Roman;serif"/>
          <w:b/>
          <w:i/>
          <w:color w:val="000000"/>
          <w:sz w:val="20"/>
        </w:rPr>
        <w:t>Continuance of Employment Required</w:t>
      </w:r>
      <w:r>
        <w:rPr>
          <w:rFonts w:ascii="Times New Roman;serif" w:hAnsi="Times New Roman;serif"/>
          <w:b w:val="false"/>
          <w:color w:val="000000"/>
          <w:sz w:val="20"/>
        </w:rPr>
        <w:t>. Except as expressly provided in Section 2.2, Section 2.4 and in Section 6, the vesting of the MSUs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 Grantee’s status (if the Grantee is otherwise an at-will</w:t>
      </w:r>
      <w:r>
        <w:rPr>
          <w:color w:val="000000"/>
        </w:rPr>
        <w:t xml:space="preserve"> </w:t>
      </w:r>
      <w:r>
        <w:rPr>
          <w:rFonts w:ascii="Times New Roman;serif" w:hAnsi="Times New Roman;serif"/>
          <w:b w:val="false"/>
          <w:color w:val="000000"/>
          <w:sz w:val="20"/>
        </w:rPr>
        <w:t xml:space="preserve">employee) as an employee at will who is subject to termination without cause, confers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the Grantee any right to continue in the employ of the Company or any subsidiary, or interferes in any way with the right of the Company or of any subsidiary to terminate such employment at any time.</w:t>
      </w:r>
    </w:p>
    <w:p>
      <w:pPr>
        <w:pStyle w:val="TextBody"/>
        <w:bidi w:val="0"/>
        <w:spacing w:lineRule="auto" w:line="288" w:before="0" w:after="200"/>
        <w:ind w:left="0" w:right="0" w:firstLine="450"/>
        <w:jc w:val="left"/>
        <w:rPr/>
      </w:pPr>
      <w:r>
        <w:rPr>
          <w:rFonts w:ascii="Times New Roman;serif" w:hAnsi="Times New Roman;serif"/>
          <w:b/>
          <w:color w:val="000000"/>
          <w:sz w:val="20"/>
        </w:rPr>
        <w:t>2.7</w:t>
      </w:r>
      <w:r>
        <w:rPr>
          <w:rFonts w:ascii="Times New Roman;serif" w:hAnsi="Times New Roman;serif"/>
          <w:b/>
          <w:i/>
          <w:color w:val="000000"/>
          <w:sz w:val="20"/>
        </w:rPr>
        <w:t>Death</w:t>
      </w:r>
      <w:r>
        <w:rPr>
          <w:rFonts w:ascii="Times New Roman;serif" w:hAnsi="Times New Roman;serif"/>
          <w:b w:val="false"/>
          <w:color w:val="000000"/>
          <w:sz w:val="20"/>
        </w:rPr>
        <w:t>. In the event of the Grantee’s death prior to the delivery of shares or other payment with respect to any MSUs (and related Dividend Equivalents) vested hereunder, the Grantee’s Successor shall be entitled to any payments to which the Grantee would have been entitled under this Agreement with respect to such MSUs.</w:t>
      </w:r>
    </w:p>
    <w:p>
      <w:pPr>
        <w:pStyle w:val="TextBody"/>
        <w:bidi w:val="0"/>
        <w:spacing w:lineRule="auto" w:line="288" w:before="0" w:after="200"/>
        <w:jc w:val="left"/>
        <w:rPr/>
      </w:pPr>
      <w:r>
        <w:rPr>
          <w:rFonts w:ascii="Times New Roman;serif" w:hAnsi="Times New Roman;serif"/>
          <w:b/>
          <w:color w:val="000000"/>
          <w:sz w:val="20"/>
        </w:rPr>
        <w:t>3.</w:t>
      </w:r>
      <w:r>
        <w:rPr>
          <w:rFonts w:ascii="Times New Roman;serif" w:hAnsi="Times New Roman;serif"/>
          <w:b/>
          <w:color w:val="000000"/>
          <w:sz w:val="20"/>
          <w:u w:val="single"/>
        </w:rPr>
        <w:t>Non-Transferability and Other Restrictions</w:t>
      </w:r>
      <w:r>
        <w:rPr>
          <w:rFonts w:ascii="Times New Roman;serif" w:hAnsi="Times New Roman;serif"/>
          <w:b w:val="false"/>
          <w:color w:val="000000"/>
          <w:sz w:val="20"/>
        </w:rPr>
        <w:t>.</w:t>
      </w:r>
    </w:p>
    <w:p>
      <w:pPr>
        <w:pStyle w:val="TextBody"/>
        <w:bidi w:val="0"/>
        <w:spacing w:lineRule="auto" w:line="288" w:before="0" w:after="240"/>
        <w:ind w:left="0" w:right="0" w:firstLine="450"/>
        <w:jc w:val="left"/>
        <w:rPr/>
      </w:pPr>
      <w:r>
        <w:rPr>
          <w:rFonts w:ascii="Times New Roman;serif" w:hAnsi="Times New Roman;serif"/>
          <w:b/>
          <w:color w:val="000000"/>
          <w:sz w:val="20"/>
        </w:rPr>
        <w:t>3.1</w:t>
      </w:r>
      <w:r>
        <w:rPr>
          <w:rFonts w:ascii="Times New Roman;serif" w:hAnsi="Times New Roman;serif"/>
          <w:b/>
          <w:i/>
          <w:color w:val="000000"/>
          <w:sz w:val="20"/>
        </w:rPr>
        <w:t>Non-Transferability</w:t>
      </w:r>
      <w:r>
        <w:rPr>
          <w:rFonts w:ascii="Times New Roman;serif" w:hAnsi="Times New Roman;serif"/>
          <w:b w:val="false"/>
          <w:color w:val="000000"/>
          <w:sz w:val="20"/>
        </w:rPr>
        <w:t>. The award, as well as the MSUs (and related Dividend Equivalents) subject to the award, are non-transferable and shall not be subject in any manner to sale, transfer, anticipation, alienation, assignment, pledge, encumbrance or charge. The foregoing transfer restrictions shall not apply to: (a) transfers to the Company; (b) transfers to a Successor upon death; or (c) if the Grantee has suffered a Disability, permitted transfers to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pStyle w:val="TextBody"/>
        <w:bidi w:val="0"/>
        <w:spacing w:lineRule="auto" w:line="288" w:before="0" w:after="240"/>
        <w:ind w:left="0" w:right="0" w:firstLine="450"/>
        <w:jc w:val="left"/>
        <w:rPr/>
      </w:pPr>
      <w:r>
        <w:rPr>
          <w:rFonts w:ascii="Times New Roman;serif" w:hAnsi="Times New Roman;serif"/>
          <w:b/>
          <w:color w:val="000000"/>
          <w:sz w:val="20"/>
        </w:rPr>
        <w:t>3.2</w:t>
      </w:r>
      <w:r>
        <w:rPr>
          <w:rFonts w:ascii="Times New Roman;serif" w:hAnsi="Times New Roman;serif"/>
          <w:b/>
          <w:i/>
          <w:color w:val="000000"/>
          <w:sz w:val="20"/>
        </w:rPr>
        <w:t>Forfeiture or Recoupment of Awards</w:t>
      </w:r>
      <w:r>
        <w:rPr>
          <w:rFonts w:ascii="Times New Roman;serif" w:hAnsi="Times New Roman;serif"/>
          <w:b w:val="false"/>
          <w:color w:val="000000"/>
          <w:sz w:val="20"/>
        </w:rPr>
        <w:t xml:space="preserve">. If, prior to payment 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2025 and as in effect from time to time (“Recoupment Policy”). Any payments or issuances of shares with respect to the award are subject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any amounts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5780"/>
                <wp:effectExtent l="0" t="0" r="0" b="0"/>
                <wp:wrapNone/>
                <wp:docPr id="44"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Grantee is required to reimburse the Company pursuant to such policy or applicable law with respect to the award.</w:t>
      </w:r>
    </w:p>
    <w:p>
      <w:pPr>
        <w:pStyle w:val="TextBody"/>
        <w:bidi w:val="0"/>
        <w:spacing w:lineRule="auto" w:line="288" w:before="0" w:after="200"/>
        <w:jc w:val="left"/>
        <w:rPr/>
      </w:pPr>
      <w:r>
        <w:rPr>
          <w:rFonts w:ascii="Times New Roman;serif" w:hAnsi="Times New Roman;serif"/>
          <w:b/>
          <w:color w:val="000000"/>
          <w:sz w:val="20"/>
        </w:rPr>
        <w:t>4.</w:t>
      </w:r>
      <w:r>
        <w:rPr>
          <w:rFonts w:ascii="Times New Roman;serif" w:hAnsi="Times New Roman;serif"/>
          <w:b/>
          <w:color w:val="000000"/>
          <w:sz w:val="20"/>
          <w:u w:val="single"/>
        </w:rPr>
        <w:t>Post-Employment Conduct</w:t>
      </w:r>
      <w:r>
        <w:rPr>
          <w:rFonts w:ascii="Times New Roman;serif" w:hAnsi="Times New Roman;serif"/>
          <w:b w:val="false"/>
          <w:color w:val="000000"/>
          <w:sz w:val="20"/>
        </w:rPr>
        <w:t>.</w:t>
      </w:r>
    </w:p>
    <w:p>
      <w:pPr>
        <w:pStyle w:val="TextBody"/>
        <w:bidi w:val="0"/>
        <w:spacing w:lineRule="auto" w:line="288" w:before="117" w:after="283"/>
        <w:ind w:left="0" w:right="0" w:firstLine="450"/>
        <w:jc w:val="left"/>
        <w:rPr/>
      </w:pPr>
      <w:r>
        <w:rPr>
          <w:rFonts w:ascii="Times New Roman;serif" w:hAnsi="Times New Roman;serif"/>
          <w:b/>
          <w:color w:val="000000"/>
          <w:sz w:val="20"/>
        </w:rPr>
        <w:t>4.1</w:t>
      </w:r>
      <w:r>
        <w:rPr>
          <w:rFonts w:ascii="Times New Roman;serif" w:hAnsi="Times New Roman;serif"/>
          <w:b/>
          <w:i/>
          <w:color w:val="000000"/>
          <w:sz w:val="20"/>
        </w:rPr>
        <w:t>Executive Leadership Team Contribution</w:t>
      </w:r>
      <w:r>
        <w:rPr>
          <w:rFonts w:ascii="Times New Roman;serif" w:hAnsi="Times New Roman;serif"/>
          <w:b/>
          <w:color w:val="000000"/>
          <w:sz w:val="20"/>
        </w:rPr>
        <w:t xml:space="preserve">. </w:t>
      </w:r>
      <w:r>
        <w:rPr>
          <w:rFonts w:ascii="Times New Roman;serif" w:hAnsi="Times New Roman;serif"/>
          <w:b w:val="false"/>
          <w:color w:val="000000"/>
          <w:sz w:val="20"/>
        </w:rPr>
        <w:t>You acknowledge 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color w:val="000000"/>
          <w:sz w:val="20"/>
        </w:rPr>
        <w:t>4.2</w:t>
      </w:r>
      <w:r>
        <w:rPr>
          <w:rFonts w:ascii="Times New Roman;serif" w:hAnsi="Times New Roman;serif"/>
          <w:b/>
          <w:i/>
          <w:color w:val="000000"/>
          <w:sz w:val="20"/>
        </w:rPr>
        <w:t>Non-Competition</w:t>
      </w:r>
      <w:r>
        <w:rPr>
          <w:rFonts w:ascii="Times New Roman;serif" w:hAnsi="Times New Roman;serif"/>
          <w:b w:val="false"/>
          <w:color w:val="000000"/>
          <w:sz w:val="20"/>
        </w:rPr>
        <w:t xml:space="preserve">. For a period of twelve (12) months from the date of the termination of your employment for any reason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including without limitation products and services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color w:val="000000"/>
          <w:sz w:val="20"/>
        </w:rPr>
        <w:t>4.3</w:t>
      </w:r>
      <w:r>
        <w:rPr>
          <w:rFonts w:ascii="Times New Roman;serif" w:hAnsi="Times New Roman;serif"/>
          <w:b/>
          <w:i/>
          <w:color w:val="000000"/>
          <w:sz w:val="20"/>
        </w:rPr>
        <w:t>Non-Solicitation of Customers</w:t>
      </w:r>
      <w:r>
        <w:rPr>
          <w:rFonts w:ascii="Times New Roman;serif" w:hAnsi="Times New Roman;serif"/>
          <w:b/>
          <w:color w:val="000000"/>
          <w:sz w:val="20"/>
        </w:rPr>
        <w:t xml:space="preserve">. </w:t>
      </w:r>
      <w:r>
        <w:rPr>
          <w:rFonts w:ascii="Times New Roman;serif" w:hAnsi="Times New Roman;serif"/>
          <w:b w:val="false"/>
          <w:color w:val="000000"/>
          <w:sz w:val="20"/>
        </w:rPr>
        <w:t>For a period of eighteen (18) 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color w:val="000000"/>
          <w:sz w:val="20"/>
        </w:rPr>
        <w:t>4.4</w:t>
      </w:r>
      <w:r>
        <w:rPr>
          <w:rFonts w:ascii="Times New Roman;serif" w:hAnsi="Times New Roman;serif"/>
          <w:b/>
          <w:i/>
          <w:color w:val="000000"/>
          <w:sz w:val="20"/>
        </w:rPr>
        <w:t>Non-Solicitation of Employees</w:t>
      </w:r>
      <w:r>
        <w:rPr>
          <w:rFonts w:ascii="Times New Roman;serif" w:hAnsi="Times New Roman;serif"/>
          <w:b/>
          <w:color w:val="000000"/>
          <w:sz w:val="20"/>
        </w:rPr>
        <w:t xml:space="preserve">. </w:t>
      </w:r>
      <w:r>
        <w:rPr>
          <w:rFonts w:ascii="Times New Roman;serif" w:hAnsi="Times New Roman;serif"/>
          <w:b w:val="false"/>
          <w:color w:val="000000"/>
          <w:sz w:val="20"/>
        </w:rPr>
        <w:t>For a period of twenty-four (24) 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color w:val="000000"/>
          <w:sz w:val="20"/>
        </w:rPr>
        <w:t>4.5</w:t>
      </w:r>
      <w:r>
        <w:rPr>
          <w:rFonts w:ascii="Times New Roman;serif" w:hAnsi="Times New Roman;serif"/>
          <w:b/>
          <w:i/>
          <w:color w:val="000000"/>
          <w:sz w:val="20"/>
        </w:rPr>
        <w:t>Non-Disparagement.</w:t>
      </w:r>
      <w:r>
        <w:rPr>
          <w:color w:val="000000"/>
        </w:rPr>
        <w:t xml:space="preserve"> </w:t>
      </w:r>
      <w:r>
        <w:rPr>
          <w:rFonts w:ascii="Times New Roman;serif" w:hAnsi="Times New Roman;serif"/>
          <w:b w:val="false"/>
          <w:color w:val="000000"/>
          <w:sz w:val="20"/>
        </w:rPr>
        <w:t>You will not issue or communicate any 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 For the avoidance of doubt, nothing prohibits you from making any disclosures that are protected under the whistleblower provisions of any applicable law, rule, or regulation.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color w:val="000000"/>
          <w:sz w:val="20"/>
        </w:rPr>
        <w:t>4.6</w:t>
      </w:r>
      <w:r>
        <w:rPr>
          <w:rFonts w:ascii="Times New Roman;serif" w:hAnsi="Times New Roman;serif"/>
          <w:b/>
          <w:i/>
          <w:color w:val="000000"/>
          <w:sz w:val="20"/>
        </w:rPr>
        <w:t>Exceptions.</w:t>
      </w:r>
      <w:r>
        <w:rPr>
          <w:color w:val="000000"/>
        </w:rPr>
        <w:t xml:space="preserve"> </w:t>
      </w:r>
      <w:r>
        <w:rPr>
          <w:rFonts w:ascii="Times New Roman;serif" w:hAnsi="Times New Roman;serif"/>
          <w:b w:val="false"/>
          <w:color w:val="000000"/>
          <w:sz w:val="20"/>
        </w:rPr>
        <w:t>You may request an exception to the covenants in Sections 4.2, 4.3, or 4.4 by making a written request to the Company’s Chief Human Resources Officer, with such exceptions being considered at the sole discretion of the Company and communicated in writing to you.</w:t>
      </w:r>
    </w:p>
    <w:p>
      <w:pPr>
        <w:pStyle w:val="TextBody"/>
        <w:bidi w:val="0"/>
        <w:spacing w:before="0" w:after="0"/>
        <w:jc w:val="left"/>
        <w:rPr/>
      </w:pPr>
      <w:r>
        <w:rPr/>
      </w:r>
    </w:p>
    <w:p>
      <w:pPr>
        <w:pStyle w:val="TextBody"/>
        <w:bidi w:val="0"/>
        <w:spacing w:lineRule="auto" w:line="288"/>
        <w:ind w:left="0" w:right="0" w:firstLine="450"/>
        <w:jc w:val="left"/>
        <w:rPr/>
      </w:pPr>
      <w:r>
        <w:rPr>
          <w:rFonts w:ascii="Times New Roman;serif" w:hAnsi="Times New Roman;serif"/>
          <w:b/>
          <w:color w:val="000000"/>
          <w:sz w:val="20"/>
        </w:rPr>
        <w:t>4.7</w:t>
      </w:r>
      <w:r>
        <w:rPr>
          <w:rFonts w:ascii="Times New Roman;serif" w:hAnsi="Times New Roman;serif"/>
          <w:b/>
          <w:i/>
          <w:color w:val="000000"/>
          <w:sz w:val="20"/>
        </w:rPr>
        <w:t>Reasonableness.</w:t>
      </w:r>
      <w:r>
        <w:rPr>
          <w:color w:val="000000"/>
        </w:rPr>
        <w:t xml:space="preserve"> </w:t>
      </w:r>
      <w:r>
        <w:rPr>
          <w:rFonts w:ascii="Times New Roman;serif" w:hAnsi="Times New Roman;serif"/>
          <w:b w:val="false"/>
          <w:color w:val="000000"/>
          <w:sz w:val="20"/>
        </w:rPr>
        <w:t xml:space="preserve">You agree that the restrictions set forth in Sections 4.2, 4.3, and 4.4 are (i) reasonable and necessary in all respects, including duration, territory and scope of activity, in order to protect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45" name="Frame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 4.2, 4.3, or 4.4 is deemed unenforceable, the parties agree that a court or arbitrator may revise the portion deemed unenforceable to the maximum extent possible to achieve the objective of the parties, and the remainder of the section shall remain in full force and effect.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color w:val="000000"/>
          <w:sz w:val="20"/>
        </w:rPr>
        <w:t>4.8</w:t>
      </w:r>
      <w:r>
        <w:rPr>
          <w:rFonts w:ascii="Times New Roman;serif" w:hAnsi="Times New Roman;serif"/>
          <w:b/>
          <w:i/>
          <w:color w:val="000000"/>
          <w:sz w:val="20"/>
        </w:rPr>
        <w:t>Remedies</w:t>
      </w:r>
      <w:r>
        <w:rPr>
          <w:rFonts w:ascii="Times New Roman;serif" w:hAnsi="Times New Roman;serif"/>
          <w:b w:val="false"/>
          <w:color w:val="000000"/>
          <w:sz w:val="20"/>
        </w:rPr>
        <w:t>. If you violate any provision in Section 4.2, 4.3, 4.4, and/or 4.5 of this section, the Company shall have the right to terminate without payment to you any unvested and/or unpaid MSUs (and associated Dividend Equivalents) and require that you immediately deliver to the Company an amount in cash equal to the aggregate Fair Market Value, determined as of the vesting and/or payment date of all MSUs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 and without any requirement to post bond.</w:t>
      </w:r>
    </w:p>
    <w:p>
      <w:pPr>
        <w:pStyle w:val="TextBody"/>
        <w:bidi w:val="0"/>
        <w:spacing w:before="0" w:after="0"/>
        <w:jc w:val="left"/>
        <w:rPr/>
      </w:pPr>
      <w:r>
        <w:rPr/>
      </w:r>
    </w:p>
    <w:p>
      <w:pPr>
        <w:pStyle w:val="TextBody"/>
        <w:bidi w:val="0"/>
        <w:spacing w:lineRule="auto" w:line="288" w:before="0" w:after="200"/>
        <w:ind w:left="0" w:right="0" w:hanging="360"/>
        <w:jc w:val="left"/>
        <w:rPr/>
      </w:pPr>
      <w:r>
        <w:rPr>
          <w:rFonts w:ascii="Times New Roman;serif" w:hAnsi="Times New Roman;serif"/>
          <w:b/>
          <w:color w:val="000000"/>
          <w:sz w:val="20"/>
        </w:rPr>
        <w:t>5.</w:t>
      </w:r>
      <w:r>
        <w:rPr>
          <w:rFonts w:ascii="Times New Roman;serif" w:hAnsi="Times New Roman;serif"/>
          <w:b/>
          <w:color w:val="000000"/>
          <w:sz w:val="20"/>
          <w:u w:val="single"/>
        </w:rPr>
        <w:t>Compliance with Laws; No Stockholder Rights Prior to Issuance</w:t>
      </w:r>
      <w:r>
        <w:rPr>
          <w:rFonts w:ascii="Times New Roman;serif" w:hAnsi="Times New Roman;serif"/>
          <w:b w:val="false"/>
          <w:color w:val="000000"/>
          <w:sz w:val="20"/>
        </w:rPr>
        <w: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MSUs until the date appearing on the certificate(s) for such shares (or, in the case of shares entered in book entry form, the date that the shares are actually recorded in such form for the benefit of the Grantee), if such shares become deliverable.</w:t>
      </w:r>
    </w:p>
    <w:p>
      <w:pPr>
        <w:pStyle w:val="TextBody"/>
        <w:bidi w:val="0"/>
        <w:spacing w:lineRule="auto" w:line="288" w:before="0" w:after="200"/>
        <w:jc w:val="left"/>
        <w:rPr/>
      </w:pPr>
      <w:r>
        <w:rPr>
          <w:rFonts w:ascii="Times New Roman;serif" w:hAnsi="Times New Roman;serif"/>
          <w:b/>
          <w:color w:val="000000"/>
          <w:sz w:val="20"/>
        </w:rPr>
        <w:t>6.</w:t>
      </w:r>
      <w:r>
        <w:rPr>
          <w:rFonts w:ascii="Times New Roman;serif" w:hAnsi="Times New Roman;serif"/>
          <w:b/>
          <w:color w:val="000000"/>
          <w:sz w:val="20"/>
          <w:u w:val="single"/>
        </w:rPr>
        <w:t>Adjustments; Change in Control</w:t>
      </w:r>
      <w:r>
        <w:rPr>
          <w:rFonts w:ascii="Times New Roman;serif" w:hAnsi="Times New Roman;serif"/>
          <w:b w:val="false"/>
          <w:color w:val="000000"/>
          <w:sz w:val="20"/>
        </w:rPr>
        <w:t>.</w:t>
      </w:r>
    </w:p>
    <w:p>
      <w:pPr>
        <w:pStyle w:val="TextBody"/>
        <w:bidi w:val="0"/>
        <w:spacing w:lineRule="auto" w:line="288" w:before="0" w:after="200"/>
        <w:ind w:left="0" w:right="0" w:firstLine="450"/>
        <w:jc w:val="left"/>
        <w:rPr/>
      </w:pPr>
      <w:r>
        <w:rPr>
          <w:rFonts w:ascii="Times New Roman;serif" w:hAnsi="Times New Roman;serif"/>
          <w:b/>
          <w:color w:val="000000"/>
          <w:sz w:val="20"/>
        </w:rPr>
        <w:t>6.1</w:t>
      </w:r>
      <w:r>
        <w:rPr>
          <w:rFonts w:ascii="Times New Roman;serif" w:hAnsi="Times New Roman;serif"/>
          <w:b/>
          <w:i/>
          <w:color w:val="000000"/>
          <w:sz w:val="20"/>
        </w:rPr>
        <w:t>Adjustments</w:t>
      </w:r>
      <w:r>
        <w:rPr>
          <w:rFonts w:ascii="Times New Roman;serif" w:hAnsi="Times New Roman;serif"/>
          <w:b w:val="false"/>
          <w:color w:val="000000"/>
          <w:sz w:val="20"/>
        </w:rPr>
        <w:t>. The MSUs, Dividend Equivalents, and the shares subject to the award are subject to adjustment upon the occurrence of events such as stock splits, stock dividends and other changes in capitalization in accordance with Section 6(a) of the Plan. Any such adjustment or determination not to make any adjustment shall be conclusive and binding.</w:t>
      </w:r>
    </w:p>
    <w:p>
      <w:pPr>
        <w:pStyle w:val="TextBody"/>
        <w:bidi w:val="0"/>
        <w:spacing w:lineRule="auto" w:line="288" w:before="0" w:after="200"/>
        <w:ind w:left="0" w:right="0" w:firstLine="450"/>
        <w:jc w:val="left"/>
        <w:rPr/>
      </w:pPr>
      <w:r>
        <w:rPr>
          <w:rFonts w:ascii="Times New Roman;serif" w:hAnsi="Times New Roman;serif"/>
          <w:b/>
          <w:color w:val="000000"/>
          <w:sz w:val="20"/>
        </w:rPr>
        <w:t>6.2</w:t>
      </w:r>
      <w:r>
        <w:rPr>
          <w:rFonts w:ascii="Times New Roman;serif" w:hAnsi="Times New Roman;serif"/>
          <w:b/>
          <w:i/>
          <w:color w:val="000000"/>
          <w:sz w:val="20"/>
        </w:rPr>
        <w:t>Possible Acceleration on Change in Control</w:t>
      </w:r>
      <w:r>
        <w:rPr>
          <w:rFonts w:ascii="Times New Roman;serif" w:hAnsi="Times New Roman;serif"/>
          <w:b w:val="false"/>
          <w:color w:val="000000"/>
          <w:sz w:val="20"/>
        </w:rPr>
        <w:t>. Notwithstanding 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pStyle w:val="TextBody"/>
        <w:bidi w:val="0"/>
        <w:spacing w:lineRule="auto" w:line="288" w:before="0" w:after="200"/>
        <w:ind w:left="0" w:right="0" w:firstLine="450"/>
        <w:jc w:val="left"/>
        <w:rPr/>
      </w:pPr>
      <w:r>
        <w:rPr>
          <w:rFonts w:ascii="Times New Roman;serif" w:hAnsi="Times New Roman;serif"/>
          <w:b w:val="false"/>
          <w:color w:val="000000"/>
          <w:sz w:val="20"/>
        </w:rPr>
        <w:t>In the event the Grantee is entitled to payment in accordance with the foregoing provisions of this Section 6.2, then the Grantee will be eligible for payment of a number of MSUs (and related Dividend Equivalents) determined in accordance with the following formula: (a) the Earnout Percentage determined in accordance with Section 1 but calculated based on the greater of (i) performance for the portion of the Performance Period ending on the last day of the month coinciding with or immediately preceding the date of the termination of the Grantee’s employment or (ii) target performance, multiplied by (b) the target number of MSUs subject to the award. Payment of any amount due under this Section 6.2 will be made within 60 days of the date of the termination of Grantee’s employment, but in no event later than March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year following the Grantee’s termination of employment.</w:t>
      </w:r>
    </w:p>
    <w:p>
      <w:pPr>
        <w:pStyle w:val="TextBody"/>
        <w:bidi w:val="0"/>
        <w:spacing w:lineRule="auto" w:line="288" w:before="0" w:after="200"/>
        <w:ind w:left="0" w:right="0" w:firstLine="450"/>
        <w:jc w:val="left"/>
        <w:rPr/>
      </w:pPr>
      <w:r>
        <w:rPr>
          <w:rFonts w:ascii="Times New Roman;serif" w:hAnsi="Times New Roman;serif"/>
          <w:b/>
          <w:color w:val="000000"/>
          <w:sz w:val="20"/>
        </w:rPr>
        <w:t>6.3</w:t>
      </w:r>
      <w:r>
        <w:rPr>
          <w:rFonts w:ascii="Times New Roman;serif" w:hAnsi="Times New Roman;serif"/>
          <w:b/>
          <w:i/>
          <w:color w:val="000000"/>
          <w:sz w:val="20"/>
        </w:rPr>
        <w:t>Automatic Acceleration; Early Termination</w:t>
      </w:r>
      <w:r>
        <w:rPr>
          <w:rFonts w:ascii="Times New Roman;serif" w:hAnsi="Times New Roman;serif"/>
          <w:b w:val="false"/>
          <w:color w:val="000000"/>
          <w:sz w:val="20"/>
        </w:rPr>
        <w:t xml:space="preserve">.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MSUs (and related Dividend Equivalents) as provided below and the award shall terminate. Unless the Committee expressly provides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46"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event the Grantee is entitled to a payment in accordance with the foregoing provisions of this Section 6.3, then the Grantee will be eligible for payment of a number of MSUs (and related Dividend Equivalents) determined in accordance with the following formula: (a) the Earnout Percentage determined in accordance with Section 1 but calculated based on the greater of (i) performance for the portion of the Performance Period ending on the date of the Change in Control of the Company or (ii) target performance, multiplied by (b) the target number of MSUs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Performance Period ending on the date of the Change in Control of the Company.</w:t>
      </w:r>
    </w:p>
    <w:p>
      <w:pPr>
        <w:pStyle w:val="TextBody"/>
        <w:bidi w:val="0"/>
        <w:spacing w:lineRule="auto" w:line="288" w:before="0" w:after="200"/>
        <w:ind w:left="0" w:right="0" w:hanging="446"/>
        <w:jc w:val="left"/>
        <w:rPr/>
      </w:pPr>
      <w:r>
        <w:rPr>
          <w:rFonts w:ascii="Times New Roman;serif" w:hAnsi="Times New Roman;serif"/>
          <w:b/>
          <w:color w:val="000000"/>
          <w:sz w:val="20"/>
        </w:rPr>
        <w:t>7.</w:t>
      </w:r>
      <w:r>
        <w:rPr>
          <w:rFonts w:ascii="Times New Roman;serif" w:hAnsi="Times New Roman;serif"/>
          <w:b/>
          <w:color w:val="000000"/>
          <w:sz w:val="20"/>
          <w:u w:val="single"/>
        </w:rPr>
        <w:t>Tax Matters</w:t>
      </w:r>
      <w:r>
        <w:rPr>
          <w:rFonts w:ascii="Times New Roman;serif" w:hAnsi="Times New Roman;serif"/>
          <w:b w:val="false"/>
          <w:color w:val="000000"/>
          <w:sz w:val="20"/>
        </w:rPr>
        <w:t>.</w:t>
      </w:r>
    </w:p>
    <w:p>
      <w:pPr>
        <w:pStyle w:val="TextBody"/>
        <w:bidi w:val="0"/>
        <w:spacing w:lineRule="auto" w:line="288" w:before="0" w:after="200"/>
        <w:ind w:left="0" w:right="0" w:firstLine="450"/>
        <w:jc w:val="left"/>
        <w:rPr/>
      </w:pPr>
      <w:r>
        <w:rPr>
          <w:rFonts w:ascii="Times New Roman;serif" w:hAnsi="Times New Roman;serif"/>
          <w:b/>
          <w:color w:val="000000"/>
          <w:sz w:val="20"/>
        </w:rPr>
        <w:t>7.1</w:t>
      </w:r>
      <w:r>
        <w:rPr>
          <w:color w:val="000000"/>
        </w:rPr>
        <w:t xml:space="preserve"> </w:t>
      </w:r>
      <w:r>
        <w:rPr>
          <w:rFonts w:ascii="Times New Roman;serif" w:hAnsi="Times New Roman;serif"/>
          <w:b/>
          <w:i/>
          <w:color w:val="000000"/>
          <w:sz w:val="20"/>
        </w:rPr>
        <w:t>Tax Withholding</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Company or the subsidiary which employs the Grantee shall be entitled to require, as a condition of making any payments or issuing any shares upon vesting of the MSUs and related Dividend Equivalents, that the Grantee or other person entitled to such shares or other payment pay the minimum sums required to be withheld by federal, state, local or other applicable tax law with respect to such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pStyle w:val="TextBody"/>
        <w:bidi w:val="0"/>
        <w:spacing w:lineRule="auto" w:line="288" w:before="0" w:after="200"/>
        <w:ind w:left="0" w:right="0" w:firstLine="450"/>
        <w:jc w:val="left"/>
        <w:rPr/>
      </w:pPr>
      <w:r>
        <w:rPr>
          <w:rFonts w:ascii="Times New Roman;serif" w:hAnsi="Times New Roman;serif"/>
          <w:b/>
          <w:color w:val="000000"/>
          <w:sz w:val="20"/>
        </w:rPr>
        <w:t>7.2</w:t>
      </w:r>
      <w:r>
        <w:rPr>
          <w:rFonts w:ascii="Times New Roman;serif" w:hAnsi="Times New Roman;serif"/>
          <w:b/>
          <w:i/>
          <w:color w:val="000000"/>
          <w:sz w:val="20"/>
        </w:rPr>
        <w:t>Transfer Taxes</w:t>
      </w:r>
      <w:r>
        <w:rPr>
          <w:rFonts w:ascii="Times New Roman;serif" w:hAnsi="Times New Roman;serif"/>
          <w:b w:val="false"/>
          <w:color w:val="000000"/>
          <w:sz w:val="20"/>
        </w:rPr>
        <w:t>. The Company will pay all federal and state transfer taxes, if any, and other fees and expenses in connection with the issuance of shares in connection with the vesting of the MSUs.</w:t>
      </w:r>
    </w:p>
    <w:p>
      <w:pPr>
        <w:pStyle w:val="TextBody"/>
        <w:bidi w:val="0"/>
        <w:spacing w:lineRule="auto" w:line="288" w:before="0" w:after="200"/>
        <w:ind w:left="0" w:right="0" w:firstLine="450"/>
        <w:jc w:val="left"/>
        <w:rPr/>
      </w:pPr>
      <w:r>
        <w:rPr>
          <w:rFonts w:ascii="Times New Roman;serif" w:hAnsi="Times New Roman;serif"/>
          <w:b/>
          <w:color w:val="000000"/>
          <w:sz w:val="20"/>
        </w:rPr>
        <w:t>7.3</w:t>
      </w:r>
      <w:r>
        <w:rPr>
          <w:rFonts w:ascii="Times New Roman;serif" w:hAnsi="Times New Roman;serif"/>
          <w:b/>
          <w:i/>
          <w:color w:val="000000"/>
          <w:sz w:val="20"/>
        </w:rPr>
        <w:t>Compliance</w:t>
      </w:r>
      <w:r>
        <w:rPr>
          <w:rFonts w:ascii="Times New Roman;serif" w:hAnsi="Times New Roman;serif"/>
          <w:b w:val="false"/>
          <w:color w:val="000000"/>
          <w:sz w:val="20"/>
        </w:rPr>
        <w:t>. This Agreement is designed to be exempt from Code Section 409A, and the Committee shall administer and construe the award in such a way as to be exempt from and to avoid adverse tax consequences under Code Section 409A.</w:t>
      </w:r>
    </w:p>
    <w:p>
      <w:pPr>
        <w:pStyle w:val="TextBody"/>
        <w:bidi w:val="0"/>
        <w:spacing w:lineRule="auto" w:line="288" w:before="0" w:after="200"/>
        <w:ind w:left="0" w:right="0" w:firstLine="450"/>
        <w:jc w:val="left"/>
        <w:rPr/>
      </w:pPr>
      <w:r>
        <w:rPr>
          <w:rFonts w:ascii="Times New Roman;serif" w:hAnsi="Times New Roman;serif"/>
          <w:b/>
          <w:color w:val="000000"/>
          <w:sz w:val="20"/>
        </w:rPr>
        <w:t>7.4</w:t>
      </w:r>
      <w:r>
        <w:rPr>
          <w:rFonts w:ascii="Times New Roman;serif" w:hAnsi="Times New Roman;serif"/>
          <w:b/>
          <w:i/>
          <w:color w:val="000000"/>
          <w:sz w:val="20"/>
        </w:rPr>
        <w:t>Unfunded Arrangement</w:t>
      </w:r>
      <w:r>
        <w:rPr>
          <w:rFonts w:ascii="Times New Roman;serif" w:hAnsi="Times New Roman;serif"/>
          <w:b w:val="false"/>
          <w:color w:val="000000"/>
          <w:sz w:val="20"/>
        </w:rPr>
        <w:t>. The right of the Grantee to 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pStyle w:val="TextBody"/>
        <w:bidi w:val="0"/>
        <w:spacing w:lineRule="auto" w:line="288" w:before="0" w:after="200"/>
        <w:ind w:left="0" w:right="0" w:firstLine="450"/>
        <w:jc w:val="left"/>
        <w:rPr/>
      </w:pPr>
      <w:r>
        <w:rPr>
          <w:rFonts w:ascii="Times New Roman;serif" w:hAnsi="Times New Roman;serif"/>
          <w:b/>
          <w:color w:val="000000"/>
          <w:sz w:val="20"/>
        </w:rPr>
        <w:t>7.5</w:t>
      </w:r>
      <w:r>
        <w:rPr>
          <w:rFonts w:ascii="Times New Roman;serif" w:hAnsi="Times New Roman;serif"/>
          <w:b/>
          <w:i/>
          <w:color w:val="000000"/>
          <w:sz w:val="20"/>
        </w:rPr>
        <w:t>Code Section 280G</w:t>
      </w:r>
      <w:r>
        <w:rPr>
          <w:rFonts w:ascii="Times New Roman;serif" w:hAnsi="Times New Roman;serif"/>
          <w:b/>
          <w:color w:val="000000"/>
          <w:sz w:val="20"/>
        </w:rPr>
        <w:t xml:space="preserve">. </w:t>
      </w:r>
      <w:r>
        <w:rPr>
          <w:rFonts w:ascii="Times New Roman;serif" w:hAnsi="Times New Roman;serif"/>
          <w:b w:val="false"/>
          <w:color w:val="000000"/>
          <w:sz w:val="20"/>
        </w:rPr>
        <w:t xml:space="preserve">Notwithstanding any other provision of this Agreement to the contrary, in the event that any amounts payable to you under this Agreement,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under this Agreement, shall be either (i) provided to you in full, or (ii)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any payments or benefits to the Grantee are to be reduced pursuant to this Section 7.5, such payments and benefits shall be reduced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47"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such that the reduction of compensation to be provided to the Grantee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 </w:t>
      </w:r>
    </w:p>
    <w:p>
      <w:pPr>
        <w:pStyle w:val="TextBody"/>
        <w:bidi w:val="0"/>
        <w:spacing w:lineRule="auto" w:line="288" w:before="0" w:after="200"/>
        <w:jc w:val="left"/>
        <w:rPr/>
      </w:pPr>
      <w:r>
        <w:rPr>
          <w:rFonts w:ascii="Times New Roman;serif" w:hAnsi="Times New Roman;serif"/>
          <w:b/>
          <w:color w:val="000000"/>
          <w:sz w:val="20"/>
        </w:rPr>
        <w:t>8.</w:t>
      </w:r>
      <w:r>
        <w:rPr>
          <w:rFonts w:ascii="Times New Roman;serif" w:hAnsi="Times New Roman;serif"/>
          <w:b/>
          <w:color w:val="000000"/>
          <w:sz w:val="20"/>
          <w:u w:val="single"/>
        </w:rPr>
        <w:t>Choice of Law; Venue; Arbitration</w:t>
      </w:r>
      <w:r>
        <w:rPr>
          <w:rFonts w:ascii="Times New Roman;serif" w:hAnsi="Times New Roman;serif"/>
          <w:b/>
          <w:color w:val="000000"/>
          <w:sz w:val="20"/>
        </w:rPr>
        <w:t xml:space="preserve">.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 accordance with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pStyle w:val="TextBody"/>
        <w:bidi w:val="0"/>
        <w:spacing w:lineRule="auto" w:line="288" w:before="0" w:after="200"/>
        <w:ind w:left="0" w:right="0" w:hanging="446"/>
        <w:jc w:val="left"/>
        <w:rPr/>
      </w:pPr>
      <w:r>
        <w:rPr>
          <w:rFonts w:ascii="Times New Roman;serif" w:hAnsi="Times New Roman;serif"/>
          <w:b/>
          <w:color w:val="000000"/>
          <w:sz w:val="20"/>
        </w:rPr>
        <w:t>9.</w:t>
      </w:r>
      <w:r>
        <w:rPr>
          <w:rFonts w:ascii="Times New Roman;serif" w:hAnsi="Times New Roman;serif"/>
          <w:b/>
          <w:color w:val="000000"/>
          <w:sz w:val="20"/>
          <w:u w:val="single"/>
        </w:rPr>
        <w:t>Committee Authority</w:t>
      </w:r>
      <w:r>
        <w:rPr>
          <w:rFonts w:ascii="Times New Roman;serif" w:hAnsi="Times New Roman;serif"/>
          <w:b w:val="false"/>
          <w:color w:val="000000"/>
          <w:sz w:val="20"/>
        </w:rPr>
        <w:t>.</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pStyle w:val="TextBody"/>
        <w:bidi w:val="0"/>
        <w:spacing w:lineRule="auto" w:line="288" w:before="0" w:after="200"/>
        <w:ind w:left="0" w:right="0" w:hanging="446"/>
        <w:jc w:val="left"/>
        <w:rPr/>
      </w:pPr>
      <w:r>
        <w:rPr>
          <w:rFonts w:ascii="Times New Roman;serif" w:hAnsi="Times New Roman;serif"/>
          <w:b/>
          <w:color w:val="000000"/>
          <w:sz w:val="20"/>
        </w:rPr>
        <w:t>10.</w:t>
      </w:r>
      <w:r>
        <w:rPr>
          <w:rFonts w:ascii="Times New Roman;serif" w:hAnsi="Times New Roman;serif"/>
          <w:b/>
          <w:color w:val="000000"/>
          <w:sz w:val="20"/>
          <w:u w:val="single"/>
        </w:rPr>
        <w:t>Plan; Amendment</w:t>
      </w:r>
      <w:r>
        <w:rPr>
          <w:rFonts w:ascii="Times New Roman;serif" w:hAnsi="Times New Roman;serif"/>
          <w:b w:val="false"/>
          <w:color w:val="000000"/>
          <w:sz w:val="20"/>
        </w:rPr>
        <w:t>.</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MSUs (and related Dividend Equivalents) subject to the award are governed by, and the Grantee’s rights are subject to, all of the terms and conditions of the Plan and any other rules adopted by the Committee, as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pStyle w:val="TextBody"/>
        <w:bidi w:val="0"/>
        <w:spacing w:lineRule="auto" w:line="288" w:before="0" w:after="200"/>
        <w:ind w:left="0" w:right="0" w:hanging="446"/>
        <w:jc w:val="left"/>
        <w:rPr/>
      </w:pPr>
      <w:r>
        <w:rPr>
          <w:rFonts w:ascii="Times New Roman;serif" w:hAnsi="Times New Roman;serif"/>
          <w:b/>
          <w:color w:val="000000"/>
          <w:sz w:val="20"/>
        </w:rPr>
        <w:t>11.</w:t>
      </w:r>
      <w:r>
        <w:rPr>
          <w:rFonts w:ascii="Times New Roman;serif" w:hAnsi="Times New Roman;serif"/>
          <w:b/>
          <w:color w:val="000000"/>
          <w:sz w:val="20"/>
          <w:u w:val="single"/>
        </w:rPr>
        <w:t>Definitions</w:t>
      </w:r>
      <w:r>
        <w:rPr>
          <w:rFonts w:ascii="Times New Roman;serif" w:hAnsi="Times New Roman;serif"/>
          <w:b w:val="false"/>
          <w:color w:val="000000"/>
          <w:sz w:val="20"/>
        </w:rPr>
        <w:t>.</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Whenever used in this Agreement, the following terms shall have the meanings set forth below and, when the meaning is intended, the initial letter of the word is capitalized:</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Cause</w:t>
      </w:r>
      <w:r>
        <w:rPr>
          <w:color w:val="000000"/>
        </w:rPr>
        <w:t xml:space="preserve">” </w:t>
      </w:r>
      <w:r>
        <w:rPr>
          <w:rFonts w:ascii="Times New Roman;serif" w:hAnsi="Times New Roman;serif"/>
          <w:b w:val="false"/>
          <w:color w:val="000000"/>
          <w:sz w:val="20"/>
        </w:rPr>
        <w:t>means the occurrence of either or both of the following:</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The Grantee’s conviction for committing an act of fraud, embezzlement, theft, or other act constituting a felony (other than traffic related offenses, as a result of vicarious liability, or as a result of good faith actions as an officer of the Company); or</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    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is used as defined in the Plan.</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means the United States Internal Revenue Code of 1986, as amended.</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Committee</w:t>
      </w:r>
      <w:r>
        <w:rPr>
          <w:color w:val="000000"/>
        </w:rPr>
        <w:t xml:space="preserve">” </w:t>
      </w:r>
      <w:r>
        <w:rPr>
          <w:rFonts w:ascii="Times New Roman;serif" w:hAnsi="Times New Roman;serif"/>
          <w:b w:val="false"/>
          <w:color w:val="000000"/>
          <w:sz w:val="20"/>
        </w:rPr>
        <w:t>means the Company’s Compensation and Human Capital Committee or any successor committee appointed by the Board to administer the Plan.</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Common Stock</w:t>
      </w:r>
      <w:r>
        <w:rPr>
          <w:color w:val="000000"/>
        </w:rPr>
        <w:t xml:space="preserve">” </w:t>
      </w:r>
      <w:r>
        <w:rPr>
          <w:rFonts w:ascii="Times New Roman;serif" w:hAnsi="Times New Roman;serif"/>
          <w:b w:val="false"/>
          <w:color w:val="000000"/>
          <w:sz w:val="20"/>
        </w:rPr>
        <w:t>means the Company’s common stock.</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Disability</w:t>
      </w:r>
      <w:r>
        <w:rPr>
          <w:color w:val="000000"/>
        </w:rPr>
        <w:t xml:space="preserve">” </w:t>
      </w:r>
      <w:r>
        <w:rPr>
          <w:rFonts w:ascii="Times New Roman;serif" w:hAnsi="Times New Roman;serif"/>
          <w:b w:val="false"/>
          <w:color w:val="000000"/>
          <w:sz w:val="20"/>
        </w:rPr>
        <w:t xml:space="preserve">means, with respect to a Grantee, that the Grantee: (i) is unable to engage in any substantial gainful activity by reason of any medically determinable physical or mental impairment which can be expected to result in death or can be expected to last for a continuous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48"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pStyle w:val="TextBody"/>
        <w:bidi w:val="0"/>
        <w:spacing w:lineRule="auto" w:line="288" w:before="0" w:after="0"/>
        <w:jc w:val="left"/>
        <w:rPr>
          <w:color w:val="000000"/>
        </w:rPr>
      </w:pPr>
      <w:r>
        <w:rPr>
          <w:color w:val="000000"/>
        </w:rPr>
        <w:t>    </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Fair Market Value</w:t>
      </w:r>
      <w:r>
        <w:rPr>
          <w:color w:val="000000"/>
        </w:rPr>
        <w:t xml:space="preserve">” </w:t>
      </w:r>
      <w:r>
        <w:rPr>
          <w:rFonts w:ascii="Times New Roman;serif" w:hAnsi="Times New Roman;serif"/>
          <w:b w:val="false"/>
          <w:color w:val="000000"/>
          <w:sz w:val="20"/>
        </w:rPr>
        <w:t>is used as defined in the Plan; provided, however, the Committee in determining such Fair Market Value for purposes of the award may utilize such other exchange, market, or listing as it deems appropriate.</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Good Reason</w:t>
      </w:r>
      <w:r>
        <w:rPr>
          <w:color w:val="000000"/>
        </w:rPr>
        <w:t xml:space="preserve">” </w:t>
      </w:r>
      <w:r>
        <w:rPr>
          <w:rFonts w:ascii="Times New Roman;serif" w:hAnsi="Times New Roman;serif"/>
          <w:b w:val="false"/>
          <w:color w:val="000000"/>
          <w:sz w:val="20"/>
        </w:rPr>
        <w:t>means, without the Grantee’s express written consent, the occurrence of any one or more of the following:</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pStyle w:val="TextBody"/>
        <w:bidi w:val="0"/>
        <w:spacing w:lineRule="auto" w:line="288" w:before="0" w:after="200"/>
        <w:ind w:left="0" w:right="0" w:hanging="360"/>
        <w:jc w:val="left"/>
        <w:rPr>
          <w:color w:val="000000"/>
        </w:rPr>
      </w:pPr>
      <w:r>
        <w:rPr>
          <w:color w:val="000000"/>
        </w:rPr>
        <w:t>    </w:t>
      </w:r>
      <w:r>
        <w:rPr>
          <w:rFonts w:ascii="Times New Roman;serif" w:hAnsi="Times New Roman;serif"/>
          <w:b w:val="false"/>
          <w:color w:val="000000"/>
          <w:sz w:val="20"/>
        </w:rPr>
        <w:t xml:space="preserve">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    A material reduction by the Company in the Grantee’s annualized rate of base salary as in effect on the first to occur of the start of the Performance Period or the start of the Protected Period, or as the same shall be increased from time to time.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    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(iv)    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    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this clause (v) more than ninety (90) days before such intended effective date.</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Parent</w:t>
      </w:r>
      <w:r>
        <w:rPr>
          <w:color w:val="000000"/>
        </w:rPr>
        <w:t xml:space="preserve">” </w:t>
      </w:r>
      <w:r>
        <w:rPr>
          <w:rFonts w:ascii="Times New Roman;serif" w:hAnsi="Times New Roman;serif"/>
          <w:b w:val="false"/>
          <w:color w:val="000000"/>
          <w:sz w:val="20"/>
        </w:rPr>
        <w:t>is used as defined in the Plan.</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means the Northrop Grumman 2024 Long-Term Incentive Stock Plan, as it may be amended from time to time.</w:t>
      </w:r>
    </w:p>
    <w:p>
      <w:pPr>
        <w:pStyle w:val="TextBody"/>
        <w:bidi w:val="0"/>
        <w:spacing w:lineRule="auto" w:line="288" w:before="0" w:after="200"/>
        <w:ind w:left="0" w:right="0" w:firstLine="450"/>
        <w:jc w:val="left"/>
        <w:rPr/>
      </w:pPr>
      <w:r>
        <w:rPr>
          <w:rFonts w:ascii="Times New Roman;serif" w:hAnsi="Times New Roman;serif"/>
          <w:b w:val="false"/>
          <w:color w:val="000000"/>
          <w:sz w:val="20"/>
        </w:rPr>
        <w:t>The “</w:t>
      </w:r>
      <w:r>
        <w:rPr>
          <w:rFonts w:ascii="Times New Roman;serif" w:hAnsi="Times New Roman;serif"/>
          <w:b/>
          <w:color w:val="000000"/>
          <w:sz w:val="20"/>
        </w:rPr>
        <w:t>Protected Period</w:t>
      </w:r>
      <w:r>
        <w:rPr>
          <w:color w:val="000000"/>
        </w:rPr>
        <w:t xml:space="preserve">” </w:t>
      </w:r>
      <w:r>
        <w:rPr>
          <w:rFonts w:ascii="Times New Roman;serif" w:hAnsi="Times New Roman;serif"/>
          <w:b w:val="false"/>
          <w:color w:val="000000"/>
          <w:sz w:val="20"/>
        </w:rPr>
        <w:t>corresponding to a Change in Control of the Company shall be a period of time determined in accordance with the following:</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    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    In the case of any Change in Control not described in clause (i) or (ii) above, the Protected Period shall commence on the date that is six (6) months prior to the Change in Control and shall continue through and include the date of the Change in Control.</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Retirement</w:t>
      </w:r>
      <w:r>
        <w:rPr>
          <w:color w:val="000000"/>
        </w:rPr>
        <w:t xml:space="preserve">” </w:t>
      </w:r>
      <w:r>
        <w:rPr>
          <w:rFonts w:ascii="Times New Roman;serif" w:hAnsi="Times New Roman;serif"/>
          <w:b w:val="false"/>
          <w:color w:val="000000"/>
          <w:sz w:val="20"/>
        </w:rPr>
        <w:t xml:space="preserve">means that the Grantee (i) terminates employment after December 31, 2030 but before December 31, 2031 (other than in connection with a termination by the Company or a subsidiary for Cause); and (ii) has assisted the Board with the transition of Grantee’s executive officer position to the satisfaction of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including a Board-approved CEO successor being in place. </w:t>
      </w:r>
    </w:p>
    <w:p>
      <w:pPr>
        <w:pStyle w:val="TextBody"/>
        <w:bidi w:val="0"/>
        <w:spacing w:lineRule="auto" w:line="288" w:before="0" w:after="200"/>
        <w:ind w:left="0" w:right="0" w:firstLine="450"/>
        <w:jc w:val="left"/>
        <w:rPr/>
      </w:pPr>
      <w:r>
        <w:rPr>
          <w:color w:val="000000"/>
        </w:rPr>
        <w:t>“</w:t>
      </w:r>
      <w:r>
        <w:rPr>
          <w:rFonts w:ascii="Times New Roman;serif" w:hAnsi="Times New Roman;serif"/>
          <w:b/>
          <w:color w:val="000000"/>
          <w:sz w:val="20"/>
        </w:rPr>
        <w:t>Successor</w:t>
      </w:r>
      <w:r>
        <w:rPr>
          <w:color w:val="000000"/>
        </w:rPr>
        <w:t xml:space="preserve">” </w:t>
      </w:r>
      <w:r>
        <w:rPr>
          <w:rFonts w:ascii="Times New Roman;serif" w:hAnsi="Times New Roman;serif"/>
          <w:b w:val="false"/>
          <w:color w:val="000000"/>
          <w:sz w:val="20"/>
        </w:rPr>
        <w:t>means the person acquiring a Grantee’s rights to a grant under the Plan as a beneficiary designated in the Stock Plan System, or if none, the Grantee’s estate.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NORTHROP GRUMMAN CORPORATION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15</w:t>
      </w:r>
    </w:p>
    <w:p>
      <w:pPr>
        <w:pStyle w:val="TextBody"/>
        <w:bidi w:val="0"/>
        <w:spacing w:before="100" w:after="100"/>
        <w:jc w:val="left"/>
        <w:rPr/>
      </w:pPr>
      <w:r>
        <w:rPr/>
      </w:r>
    </w:p>
    <w:p>
      <w:pPr>
        <w:pStyle w:val="TextBody"/>
        <w:bidi w:val="0"/>
        <w:spacing w:lineRule="auto" w:line="288" w:before="0" w:after="100"/>
        <w:ind w:left="0" w:right="0" w:hanging="225"/>
        <w:jc w:val="left"/>
        <w:rPr>
          <w:rFonts w:ascii="Times New Roman;serif" w:hAnsi="Times New Roman;serif"/>
          <w:b/>
          <w:color w:val="000000"/>
          <w:sz w:val="20"/>
        </w:rPr>
      </w:pPr>
      <w:r>
        <w:rPr>
          <w:rFonts w:ascii="Times New Roman;serif" w:hAnsi="Times New Roman;serif"/>
          <w:b/>
          <w:color w:val="000000"/>
          <w:sz w:val="20"/>
        </w:rPr>
        <w:t xml:space="preserve">LETTER FROM INDEPENDENT REGISTERED PUBLIC ACCOUNTING FIRM </w:t>
      </w:r>
    </w:p>
    <w:p>
      <w:pPr>
        <w:pStyle w:val="TextBody"/>
        <w:bidi w:val="0"/>
        <w:spacing w:before="0" w:after="100"/>
        <w:ind w:left="0" w:right="0" w:hanging="225"/>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October 19, 2026</w:t>
      </w:r>
    </w:p>
    <w:p>
      <w:pPr>
        <w:pStyle w:val="TextBody"/>
        <w:bidi w:val="0"/>
        <w:spacing w:before="0" w:after="100"/>
        <w:ind w:left="0" w:right="0" w:hanging="225"/>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The Board of Directors and Shareholders of Northrop Grumman Corporation</w:t>
      </w:r>
    </w:p>
    <w:p>
      <w:pPr>
        <w:pStyle w:val="TextBody"/>
        <w:bidi w:val="0"/>
        <w:spacing w:before="0" w:after="100"/>
        <w:ind w:left="0" w:right="0" w:hanging="225"/>
        <w:jc w:val="left"/>
        <w:rPr/>
      </w:pPr>
      <w:r>
        <w:rPr/>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Northrop Grumman Corporation </w:t>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2980 Fairview Park Drive </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Falls Church, Virginia 22042 </w:t>
      </w:r>
    </w:p>
    <w:p>
      <w:pPr>
        <w:pStyle w:val="TextBody"/>
        <w:bidi w:val="0"/>
        <w:spacing w:before="0" w:after="1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aware that our report dated October 19, 2026, on our review of the interim financial information of Northrop Grumman Corporation and subsidiaries appearing in this Quarterly Report on Form 10-Q for the quarter ended September 30, 2026, is incorporated by reference in Registration Statement Nos. 033-59815, 033-59853, 333-67266, 333-100179, 333-107734, 333-121104, 333-125120, 333-127317, 333-175798, 333-273482, and 333-281008 on Form S-8, 333-295222 on Form S-3, and 333-264549 on Form S-4. </w:t>
      </w:r>
    </w:p>
    <w:p>
      <w:pPr>
        <w:pStyle w:val="TextBody"/>
        <w:bidi w:val="0"/>
        <w:spacing w:before="0" w:after="100"/>
        <w:jc w:val="left"/>
        <w:rPr/>
      </w:pPr>
      <w:r>
        <w:rPr/>
      </w:r>
    </w:p>
    <w:p>
      <w:pPr>
        <w:pStyle w:val="TextBody"/>
        <w:bidi w:val="0"/>
        <w:spacing w:before="0" w:after="0"/>
        <w:ind w:left="0" w:right="0" w:hanging="225"/>
        <w:jc w:val="left"/>
        <w:rPr/>
      </w:pPr>
      <w:r>
        <w:rPr/>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lineRule="auto" w:line="288"/>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McLean, Virginia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I, Kathy J. Warden, certify that: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of Northrop Grumman Corporation (“company”); </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p>
      <w:pPr>
        <w:pStyle w:val="TextBody"/>
        <w:bidi w:val="0"/>
        <w:spacing w:before="0" w:after="0"/>
        <w:jc w:val="right"/>
        <w:rPr/>
      </w:pPr>
      <w:r>
        <w:rPr/>
      </w:r>
    </w:p>
    <w:tbl>
      <w:tblPr>
        <w:tblW w:w="3765" w:type="dxa"/>
        <w:jc w:val="righ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Kathy J. Warden</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Kathy J. Warden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I, John T. Greene, certify that: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Northrop Grumman Corporation (“company”);</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p>
      <w:pPr>
        <w:pStyle w:val="TextBody"/>
        <w:bidi w:val="0"/>
        <w:spacing w:lineRule="auto" w:line="288" w:before="0" w:after="0"/>
        <w:ind w:left="0" w:right="0" w:hanging="225"/>
        <w:jc w:val="right"/>
        <w:rPr>
          <w:color w:val="000000"/>
        </w:rPr>
      </w:pPr>
      <w:r>
        <w:rPr>
          <w:color w:val="000000"/>
        </w:rPr>
        <w:t> </w:t>
      </w:r>
    </w:p>
    <w:tbl>
      <w:tblPr>
        <w:tblW w:w="4439" w:type="dxa"/>
        <w:jc w:val="right"/>
        <w:tblInd w:w="0" w:type="dxa"/>
        <w:tblLayout w:type="fixed"/>
        <w:tblCellMar>
          <w:top w:w="28" w:type="dxa"/>
          <w:left w:w="28" w:type="dxa"/>
          <w:bottom w:w="28" w:type="dxa"/>
          <w:right w:w="28" w:type="dxa"/>
        </w:tblCellMar>
      </w:tblPr>
      <w:tblGrid>
        <w:gridCol w:w="1421"/>
        <w:gridCol w:w="1244"/>
        <w:gridCol w:w="1774"/>
      </w:tblGrid>
      <w:tr>
        <w:trPr/>
        <w:tc>
          <w:tcPr>
            <w:tcW w:w="142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John T. Greene</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hanging="225"/>
              <w:jc w:val="center"/>
              <w:rPr>
                <w:rFonts w:ascii="Times New Roman;serif" w:hAnsi="Times New Roman;serif"/>
                <w:b w:val="false"/>
                <w:color w:val="000000"/>
                <w:sz w:val="20"/>
              </w:rPr>
            </w:pPr>
            <w:r>
              <w:rPr>
                <w:rFonts w:ascii="Times New Roman;serif" w:hAnsi="Times New Roman;serif"/>
                <w:b w:val="false"/>
                <w:color w:val="000000"/>
                <w:sz w:val="20"/>
              </w:rPr>
              <w:t>John T. Greene</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Vice President and Chief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Northrop Grumman Corporation (the “company”) on Form 10-Q for the period ended September 30, 2026, as filed with the Securities and Exchange Commission on the date hereof (the “Report”), I, Kathy J. Warden, Chair, Chief Executive Officer and President of the company, certify, pursuant to 18 U.S.C. § 1350, as adopted pursuant to § 906 of the Sarbanes-Oxley Act of 2002, that: </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p>
      <w:pPr>
        <w:pStyle w:val="TextBody"/>
        <w:bidi w:val="0"/>
        <w:spacing w:before="0" w:after="0"/>
        <w:jc w:val="right"/>
        <w:rPr/>
      </w:pPr>
      <w:r>
        <w:rPr/>
      </w:r>
    </w:p>
    <w:tbl>
      <w:tblPr>
        <w:tblW w:w="3765" w:type="dxa"/>
        <w:jc w:val="righ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Kathy J. Warden</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Kathy J. Warden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Chief Executive Officer and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Northrop Grumman Corporation (the “company”) on Form 10-Q for the period ended September 30, 2026, as filed with the Securities and Exchange Commission on the date hereof (the “Report”), I, John T. Greene, Corporate Vice President and Chief Financial Officer of the company, certify, pursuant to 18 U.S.C. § 1350, as adopted pursuant to § 906 of the Sarbanes-Oxley Act of 2002, that: </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p>
      <w:pPr>
        <w:pStyle w:val="TextBody"/>
        <w:bidi w:val="0"/>
        <w:spacing w:before="0" w:after="0"/>
        <w:jc w:val="right"/>
        <w:rPr/>
      </w:pPr>
      <w:r>
        <w:rPr/>
      </w:r>
    </w:p>
    <w:tbl>
      <w:tblPr>
        <w:tblW w:w="4439" w:type="dxa"/>
        <w:jc w:val="right"/>
        <w:tblInd w:w="0" w:type="dxa"/>
        <w:tblLayout w:type="fixed"/>
        <w:tblCellMar>
          <w:top w:w="28" w:type="dxa"/>
          <w:left w:w="28" w:type="dxa"/>
          <w:bottom w:w="28" w:type="dxa"/>
          <w:right w:w="28" w:type="dxa"/>
        </w:tblCellMar>
      </w:tblPr>
      <w:tblGrid>
        <w:gridCol w:w="1421"/>
        <w:gridCol w:w="1244"/>
        <w:gridCol w:w="1774"/>
      </w:tblGrid>
      <w:tr>
        <w:trPr/>
        <w:tc>
          <w:tcPr>
            <w:tcW w:w="142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 John T. Greene</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hanging="225"/>
              <w:jc w:val="center"/>
              <w:rPr>
                <w:rFonts w:ascii="Times New Roman;serif" w:hAnsi="Times New Roman;serif"/>
                <w:b w:val="false"/>
                <w:color w:val="000000"/>
                <w:sz w:val="20"/>
              </w:rPr>
            </w:pPr>
            <w:r>
              <w:rPr>
                <w:rFonts w:ascii="Times New Roman;serif" w:hAnsi="Times New Roman;serif"/>
                <w:b w:val="false"/>
                <w:color w:val="000000"/>
                <w:sz w:val="20"/>
              </w:rPr>
              <w:t>John T. Greene</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Vice President and 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27279</Words>
  <Characters>147031</Characters>
  <CharactersWithSpaces>173303</CharactersWithSpaces>
  <Paragraphs>3514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