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78105</wp:posOffset>
            </wp:positionV>
            <wp:extent cx="2520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19685</wp:posOffset>
            </wp:positionV>
            <wp:extent cx="2520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32" w:lineRule="exact"/>
        <w:rPr>
          <w:sz w:val="24"/>
          <w:szCs w:val="24"/>
          <w:color w:val="auto"/>
        </w:rPr>
      </w:pPr>
    </w:p>
    <w:p>
      <w:pPr>
        <w:ind w:left="1380" w:right="2000" w:hanging="825"/>
        <w:spacing w:after="0" w:line="236" w:lineRule="auto"/>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QUARTERLY REPORT PURSUANT TO SECTION 13 OR 15(d) OF THE SECURITIES EXCHANGE ACT OF 1934</w:t>
      </w:r>
    </w:p>
    <w:p>
      <w:pPr>
        <w:spacing w:after="0" w:line="1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Quarterly Period Ended June 30, 2022</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or</w:t>
      </w:r>
    </w:p>
    <w:p>
      <w:pPr>
        <w:spacing w:after="0" w:line="111" w:lineRule="exact"/>
        <w:rPr>
          <w:sz w:val="24"/>
          <w:szCs w:val="24"/>
          <w:color w:val="auto"/>
        </w:rPr>
      </w:pPr>
    </w:p>
    <w:p>
      <w:pPr>
        <w:ind w:left="1380" w:right="1980" w:hanging="825"/>
        <w:spacing w:after="0" w:line="236" w:lineRule="auto"/>
        <w:tabs>
          <w:tab w:leader="none" w:pos="1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TRANSITION REPORT PURSUANT TO SECTION 13 OR 15(d) OF THE SECURITIES EXCHANGE ACT OF 1934</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1-16411</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NORTHROP GRUMMAN CORPORATION</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33"/>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80-0640649</w:t>
            </w:r>
          </w:p>
        </w:tc>
      </w:tr>
      <w:tr>
        <w:trPr>
          <w:trHeight w:val="180"/>
        </w:trPr>
        <w:tc>
          <w:tcPr>
            <w:tcW w:w="1480" w:type="dxa"/>
            <w:vAlign w:val="bottom"/>
          </w:tcPr>
          <w:p>
            <w:pPr>
              <w:spacing w:after="0"/>
              <w:rPr>
                <w:sz w:val="15"/>
                <w:szCs w:val="15"/>
                <w:color w:val="auto"/>
              </w:rPr>
            </w:pPr>
          </w:p>
        </w:tc>
        <w:tc>
          <w:tcPr>
            <w:tcW w:w="5640" w:type="dxa"/>
            <w:vAlign w:val="bottom"/>
            <w:gridSpan w:val="2"/>
          </w:tcPr>
          <w:p>
            <w:pPr>
              <w:jc w:val="center"/>
              <w:ind w:right="311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140" w:type="dxa"/>
            <w:vAlign w:val="bottom"/>
          </w:tcPr>
          <w:p>
            <w:pPr>
              <w:jc w:val="center"/>
              <w:ind w:right="1310"/>
              <w:spacing w:after="0" w:line="18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1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37"/>
        </w:trPr>
        <w:tc>
          <w:tcPr>
            <w:tcW w:w="1480" w:type="dxa"/>
            <w:vAlign w:val="bottom"/>
          </w:tcPr>
          <w:p>
            <w:pPr>
              <w:spacing w:after="0"/>
              <w:rPr>
                <w:sz w:val="24"/>
                <w:szCs w:val="24"/>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rPr>
              <w:t>2980 Fairview Park Drive</w:t>
            </w:r>
          </w:p>
        </w:tc>
        <w:tc>
          <w:tcPr>
            <w:tcW w:w="4140" w:type="dxa"/>
            <w:vAlign w:val="bottom"/>
          </w:tcPr>
          <w:p>
            <w:pPr>
              <w:spacing w:after="0"/>
              <w:rPr>
                <w:sz w:val="24"/>
                <w:szCs w:val="24"/>
                <w:color w:val="auto"/>
              </w:rPr>
            </w:pPr>
          </w:p>
        </w:tc>
      </w:tr>
      <w:tr>
        <w:trPr>
          <w:trHeight w:val="233"/>
        </w:trPr>
        <w:tc>
          <w:tcPr>
            <w:tcW w:w="1480" w:type="dxa"/>
            <w:vAlign w:val="bottom"/>
          </w:tcPr>
          <w:p>
            <w:pPr>
              <w:spacing w:after="0"/>
              <w:rPr>
                <w:sz w:val="20"/>
                <w:szCs w:val="20"/>
                <w:color w:val="auto"/>
              </w:rPr>
            </w:pPr>
          </w:p>
        </w:tc>
        <w:tc>
          <w:tcPr>
            <w:tcW w:w="5640" w:type="dxa"/>
            <w:vAlign w:val="bottom"/>
            <w:gridSpan w:val="2"/>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7"/>
              </w:rPr>
              <w:t>Falls Church, Virginia</w:t>
            </w:r>
          </w:p>
        </w:tc>
        <w:tc>
          <w:tcPr>
            <w:tcW w:w="4140" w:type="dxa"/>
            <w:vAlign w:val="bottom"/>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22042</w:t>
            </w:r>
          </w:p>
        </w:tc>
      </w:tr>
      <w:tr>
        <w:trPr>
          <w:trHeight w:val="234"/>
        </w:trPr>
        <w:tc>
          <w:tcPr>
            <w:tcW w:w="7120" w:type="dxa"/>
            <w:vAlign w:val="bottom"/>
            <w:gridSpan w:val="3"/>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14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rPr>
              <w:t>(Zip Code)</w:t>
            </w:r>
          </w:p>
        </w:tc>
      </w:tr>
      <w:tr>
        <w:trPr>
          <w:trHeight w:val="279"/>
        </w:trPr>
        <w:tc>
          <w:tcPr>
            <w:tcW w:w="1480" w:type="dxa"/>
            <w:vAlign w:val="bottom"/>
          </w:tcPr>
          <w:p>
            <w:pPr>
              <w:spacing w:after="0"/>
              <w:rPr>
                <w:sz w:val="24"/>
                <w:szCs w:val="24"/>
                <w:color w:val="auto"/>
              </w:rPr>
            </w:pPr>
          </w:p>
        </w:tc>
        <w:tc>
          <w:tcPr>
            <w:tcW w:w="56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(703) 280-2900</w:t>
            </w:r>
          </w:p>
        </w:tc>
        <w:tc>
          <w:tcPr>
            <w:tcW w:w="414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9780" w:type="dxa"/>
            <w:vAlign w:val="bottom"/>
            <w:gridSpan w:val="3"/>
          </w:tcPr>
          <w:p>
            <w:pPr>
              <w:jc w:val="center"/>
              <w:ind w:right="14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10"/>
        </w:trPr>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121"/>
        </w:trPr>
        <w:tc>
          <w:tcPr>
            <w:tcW w:w="14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Trading Symbol(s)</w:t>
            </w: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NOC</w:t>
            </w: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17" w:lineRule="exact"/>
        <w:rPr>
          <w:sz w:val="24"/>
          <w:szCs w:val="24"/>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58" w:lineRule="exact"/>
        <w:rPr>
          <w:sz w:val="24"/>
          <w:szCs w:val="24"/>
          <w:color w:val="auto"/>
        </w:rPr>
      </w:pPr>
    </w:p>
    <w:p>
      <w:pPr>
        <w:ind w:right="36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p>
      <w:pPr>
        <w:ind w:left="80"/>
        <w:spacing w:after="0" w:line="207" w:lineRule="exact"/>
        <w:tabs>
          <w:tab w:leader="none" w:pos="22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10" w:lineRule="exact"/>
        <w:rPr>
          <w:sz w:val="24"/>
          <w:szCs w:val="24"/>
          <w:color w:val="auto"/>
        </w:rPr>
      </w:pPr>
    </w:p>
    <w:p>
      <w:pPr>
        <w:ind w:left="80"/>
        <w:spacing w:after="0" w:line="207" w:lineRule="exact"/>
        <w:tabs>
          <w:tab w:leader="none" w:pos="202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90" w:lineRule="exact"/>
        <w:rPr>
          <w:sz w:val="24"/>
          <w:szCs w:val="24"/>
          <w:color w:val="auto"/>
        </w:rPr>
      </w:pPr>
    </w:p>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26"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41" w:lineRule="exact"/>
        <w:rPr>
          <w:sz w:val="24"/>
          <w:szCs w:val="24"/>
          <w:color w:val="auto"/>
        </w:rPr>
      </w:pP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July 25, 2022, 154,711,299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3"/>
        </w:trPr>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20" w:type="dxa"/>
            <w:vAlign w:val="bottom"/>
            <w:gridSpan w:val="19"/>
          </w:tcPr>
          <w:p>
            <w:pPr>
              <w:jc w:val="center"/>
              <w:ind w:right="378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480" w:type="dxa"/>
            <w:vAlign w:val="bottom"/>
            <w:gridSpan w:val="5"/>
          </w:tcPr>
          <w:p>
            <w:pPr>
              <w:spacing w:after="0"/>
              <w:rPr>
                <w:sz w:val="18"/>
                <w:szCs w:val="18"/>
                <w:color w:val="auto"/>
              </w:rPr>
            </w:pPr>
          </w:p>
        </w:tc>
        <w:tc>
          <w:tcPr>
            <w:tcW w:w="3140" w:type="dxa"/>
            <w:vAlign w:val="bottom"/>
            <w:tcBorders>
              <w:top w:val="single" w:sz="8" w:color="0000FF"/>
            </w:tcBorders>
            <w:gridSpan w:val="16"/>
          </w:tcPr>
          <w:p>
            <w:pPr>
              <w:spacing w:after="0"/>
              <w:rPr>
                <w:sz w:val="18"/>
                <w:szCs w:val="18"/>
                <w:color w:val="auto"/>
              </w:rPr>
            </w:pPr>
          </w:p>
        </w:tc>
        <w:tc>
          <w:tcPr>
            <w:tcW w:w="37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Condensed Consolidated Statements of Earnings and Comprehensive Income</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Condensed Consolidated Statements of Financial Position</w:t>
            </w:r>
          </w:p>
        </w:tc>
        <w:tc>
          <w:tcPr>
            <w:tcW w:w="3940" w:type="dxa"/>
            <w:vAlign w:val="bottom"/>
            <w:gridSpan w:val="5"/>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340" w:type="dxa"/>
            <w:vAlign w:val="bottom"/>
            <w:gridSpan w:val="9"/>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Shareholders’ Equity</w:t>
            </w:r>
          </w:p>
        </w:tc>
        <w:tc>
          <w:tcPr>
            <w:tcW w:w="4260" w:type="dxa"/>
            <w:vAlign w:val="bottom"/>
            <w:gridSpan w:val="7"/>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tcBorders>
              <w:top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26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tcBorders>
            <w:gridSpan w:val="2"/>
          </w:tcPr>
          <w:p>
            <w:pPr>
              <w:spacing w:after="0"/>
              <w:rPr>
                <w:sz w:val="18"/>
                <w:szCs w:val="18"/>
                <w:color w:val="auto"/>
              </w:rPr>
            </w:pPr>
          </w:p>
        </w:tc>
        <w:tc>
          <w:tcPr>
            <w:tcW w:w="160" w:type="dxa"/>
            <w:vAlign w:val="bottom"/>
            <w:tcBorders>
              <w:top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w:t>
            </w:r>
          </w:p>
        </w:tc>
        <w:tc>
          <w:tcPr>
            <w:tcW w:w="1540" w:type="dxa"/>
            <w:vAlign w:val="bottom"/>
            <w:tcBorders>
              <w:top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8"/>
              </w:rPr>
              <w:t>Basis of Presentation</w:t>
            </w:r>
          </w:p>
        </w:tc>
        <w:tc>
          <w:tcPr>
            <w:tcW w:w="1960" w:type="dxa"/>
            <w:vAlign w:val="bottom"/>
            <w:tcBorders>
              <w:top w:val="single" w:sz="8" w:color="0000FF"/>
            </w:tcBorders>
            <w:gridSpan w:val="15"/>
          </w:tcPr>
          <w:p>
            <w:pPr>
              <w:spacing w:after="0"/>
              <w:rPr>
                <w:sz w:val="18"/>
                <w:szCs w:val="18"/>
                <w:color w:val="auto"/>
              </w:rPr>
            </w:pPr>
          </w:p>
        </w:tc>
        <w:tc>
          <w:tcPr>
            <w:tcW w:w="5520" w:type="dxa"/>
            <w:vAlign w:val="bottom"/>
            <w:gridSpan w:val="11"/>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2.</w:t>
            </w:r>
          </w:p>
        </w:tc>
        <w:tc>
          <w:tcPr>
            <w:tcW w:w="534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w w:val="99"/>
              </w:rPr>
              <w:t>Earnings Per Share, Share Repurchases and Dividends on Common Stock</w:t>
            </w:r>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3.</w:t>
            </w:r>
          </w:p>
        </w:tc>
        <w:tc>
          <w:tcPr>
            <w:tcW w:w="534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rPr>
              <w:t>Income Taxes</w:t>
            </w:r>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4.</w:t>
            </w:r>
          </w:p>
        </w:tc>
        <w:tc>
          <w:tcPr>
            <w:tcW w:w="90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Fair Value of Financial Instruments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5.</w:t>
            </w:r>
          </w:p>
        </w:tc>
        <w:tc>
          <w:tcPr>
            <w:tcW w:w="90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Investigations, Claims and Litigation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11</w:t>
            </w: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6.</w:t>
            </w:r>
          </w:p>
        </w:tc>
        <w:tc>
          <w:tcPr>
            <w:tcW w:w="2420" w:type="dxa"/>
            <w:vAlign w:val="bottom"/>
            <w:tcBorders>
              <w:top w:val="single" w:sz="8" w:color="0000FF"/>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Commitments and Contingencies</w:t>
            </w:r>
          </w:p>
        </w:tc>
        <w:tc>
          <w:tcPr>
            <w:tcW w:w="260" w:type="dxa"/>
            <w:vAlign w:val="bottom"/>
            <w:tcBorders>
              <w:top w:val="single" w:sz="8" w:color="0000FF"/>
            </w:tcBorders>
            <w:gridSpan w:val="2"/>
          </w:tcPr>
          <w:p>
            <w:pPr>
              <w:spacing w:after="0"/>
              <w:rPr>
                <w:sz w:val="18"/>
                <w:szCs w:val="18"/>
                <w:color w:val="auto"/>
              </w:rPr>
            </w:pPr>
          </w:p>
        </w:tc>
        <w:tc>
          <w:tcPr>
            <w:tcW w:w="634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7.</w:t>
            </w:r>
          </w:p>
        </w:tc>
        <w:tc>
          <w:tcPr>
            <w:tcW w:w="90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FF"/>
              </w:rPr>
              <w:t>Retirement Benefits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8.</w:t>
            </w:r>
          </w:p>
        </w:tc>
        <w:tc>
          <w:tcPr>
            <w:tcW w:w="4860" w:type="dxa"/>
            <w:vAlign w:val="bottom"/>
            <w:tcBorders>
              <w:bottom w:val="single" w:sz="8" w:color="0000FF"/>
            </w:tcBorders>
            <w:gridSpan w:val="27"/>
          </w:tcPr>
          <w:p>
            <w:pPr>
              <w:ind w:left="20"/>
              <w:spacing w:after="0"/>
              <w:rPr>
                <w:sz w:val="20"/>
                <w:szCs w:val="20"/>
                <w:color w:val="auto"/>
              </w:rPr>
            </w:pPr>
            <w:r>
              <w:rPr>
                <w:rFonts w:ascii="Times New Roman" w:cs="Times New Roman" w:eastAsia="Times New Roman" w:hAnsi="Times New Roman"/>
                <w:sz w:val="18"/>
                <w:szCs w:val="18"/>
                <w:color w:val="0000FF"/>
                <w:w w:val="99"/>
              </w:rPr>
              <w:t>Stock Compensation Plans and Other Compensation Arrangements</w:t>
            </w:r>
          </w:p>
        </w:tc>
        <w:tc>
          <w:tcPr>
            <w:tcW w:w="416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9.</w:t>
            </w:r>
          </w:p>
        </w:tc>
        <w:tc>
          <w:tcPr>
            <w:tcW w:w="156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Segment Information</w:t>
            </w:r>
          </w:p>
        </w:tc>
        <w:tc>
          <w:tcPr>
            <w:tcW w:w="7460" w:type="dxa"/>
            <w:vAlign w:val="bottom"/>
            <w:gridSpan w:val="2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28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6100" w:type="dxa"/>
            <w:vAlign w:val="bottom"/>
            <w:tcBorders>
              <w:top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rPr>
              <w:t>Overview</w:t>
            </w:r>
          </w:p>
        </w:tc>
        <w:tc>
          <w:tcPr>
            <w:tcW w:w="338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20</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Consolidated Operating Results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Segment Operating Results</w:t>
            </w:r>
          </w:p>
        </w:tc>
        <w:tc>
          <w:tcPr>
            <w:tcW w:w="722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Product and Service Analysis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3"/>
              </w:rPr>
              <w:t>Backlog</w:t>
            </w:r>
          </w:p>
        </w:tc>
        <w:tc>
          <w:tcPr>
            <w:tcW w:w="1520" w:type="dxa"/>
            <w:vAlign w:val="bottom"/>
            <w:tcBorders>
              <w:top w:val="single" w:sz="8" w:color="0000FF"/>
            </w:tcBorders>
            <w:gridSpan w:val="8"/>
          </w:tcPr>
          <w:p>
            <w:pPr>
              <w:spacing w:after="0"/>
              <w:rPr>
                <w:sz w:val="18"/>
                <w:szCs w:val="18"/>
                <w:color w:val="auto"/>
              </w:rPr>
            </w:pPr>
          </w:p>
        </w:tc>
        <w:tc>
          <w:tcPr>
            <w:tcW w:w="738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Liquidity and Capital Resources</w:t>
            </w:r>
          </w:p>
        </w:tc>
        <w:tc>
          <w:tcPr>
            <w:tcW w:w="7180" w:type="dxa"/>
            <w:vAlign w:val="bottom"/>
            <w:gridSpan w:val="2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Critical Accounting Policies, Estimates and Judgments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Accounting Standards Updates</w:t>
            </w:r>
          </w:p>
        </w:tc>
        <w:tc>
          <w:tcPr>
            <w:tcW w:w="556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Forward-Looking Statements and Projections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10"/>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480"/>
        </w:trPr>
        <w:tc>
          <w:tcPr>
            <w:tcW w:w="108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14"/>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39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3"/>
          </w:tcPr>
          <w:p>
            <w:pPr>
              <w:spacing w:after="0"/>
              <w:rPr>
                <w:sz w:val="18"/>
                <w:szCs w:val="18"/>
                <w:color w:val="auto"/>
              </w:rPr>
            </w:pPr>
          </w:p>
        </w:tc>
        <w:tc>
          <w:tcPr>
            <w:tcW w:w="8500" w:type="dxa"/>
            <w:vAlign w:val="bottom"/>
            <w:gridSpan w:val="2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2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10"/>
        </w:trPr>
        <w:tc>
          <w:tcPr>
            <w:tcW w:w="1080" w:type="dxa"/>
            <w:vAlign w:val="bottom"/>
          </w:tcPr>
          <w:p>
            <w:pPr>
              <w:spacing w:after="0"/>
              <w:rPr>
                <w:sz w:val="18"/>
                <w:szCs w:val="18"/>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80"/>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53"/>
        </w:trPr>
        <w:tc>
          <w:tcPr>
            <w:tcW w:w="1080" w:type="dxa"/>
            <w:vAlign w:val="bottom"/>
          </w:tcPr>
          <w:p>
            <w:pPr>
              <w:spacing w:after="0"/>
              <w:rPr>
                <w:sz w:val="24"/>
                <w:szCs w:val="24"/>
                <w:color w:val="auto"/>
              </w:rPr>
            </w:pPr>
          </w:p>
        </w:tc>
        <w:tc>
          <w:tcPr>
            <w:tcW w:w="654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8"/>
        </w:trPr>
        <w:tc>
          <w:tcPr>
            <w:tcW w:w="88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1"/>
        </w:trPr>
        <w:tc>
          <w:tcPr>
            <w:tcW w:w="10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6,779</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7,193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13,620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w:t>
            </w:r>
          </w:p>
        </w:tc>
      </w:tr>
      <w:tr>
        <w:trPr>
          <w:trHeight w:val="229"/>
        </w:trPr>
        <w:tc>
          <w:tcPr>
            <w:tcW w:w="644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1,958</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3,978</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8,801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9,151</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17,598</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18,308</w:t>
            </w:r>
          </w:p>
        </w:tc>
      </w:tr>
      <w:tr>
        <w:trPr>
          <w:trHeight w:val="22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5,281</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5,620</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10,661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w:t>
            </w:r>
          </w:p>
        </w:tc>
      </w:tr>
      <w:tr>
        <w:trPr>
          <w:trHeight w:val="229"/>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1,561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1,488</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3,105</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r>
      <w:tr>
        <w:trPr>
          <w:trHeight w:val="229"/>
        </w:trPr>
        <w:tc>
          <w:tcPr>
            <w:tcW w:w="64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1,005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999</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1,981</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23"/>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7,847</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8,107</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15,747</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2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954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1,044</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1,851</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9"/>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1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377</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30"/>
        </w:trPr>
        <w:tc>
          <w:tcPr>
            <w:tcW w:w="644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1,150</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1,302</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2,294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r>
      <w:tr>
        <w:trPr>
          <w:trHeight w:val="230"/>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204</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393</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30"/>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946</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1,901</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w:t>
            </w:r>
          </w:p>
        </w:tc>
      </w:tr>
      <w:tr>
        <w:trPr>
          <w:trHeight w:val="203"/>
        </w:trPr>
        <w:tc>
          <w:tcPr>
            <w:tcW w:w="1080" w:type="dxa"/>
            <w:vAlign w:val="bottom"/>
            <w:shd w:val="clear" w:color="auto" w:fill="CCEEFF"/>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6.09</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155.4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155.7</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2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6.06</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r>
      <w:tr>
        <w:trPr>
          <w:trHeight w:val="237"/>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diluted shares outstanding, in millions</w:t>
            </w: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156.0</w:t>
            </w: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161.5</w:t>
            </w: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156.3</w:t>
            </w: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r>
      <w:tr>
        <w:trPr>
          <w:trHeight w:val="203"/>
        </w:trPr>
        <w:tc>
          <w:tcPr>
            <w:tcW w:w="10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(from above)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946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1,901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r>
      <w:tr>
        <w:trPr>
          <w:trHeight w:val="22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unamortized prior service credit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4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Change in cumulative translation adjustment and other, net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933</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1,885</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508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FINANCIAL POSITION (Unaudited)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par value</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1,169</w:t>
            </w:r>
          </w:p>
        </w:tc>
        <w:tc>
          <w:tcPr>
            <w:tcW w:w="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2,387</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6,211</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Inventoried costs, net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909</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961</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11,637</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12,426</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$7,099 for 2022 and $6,819 for 2021</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8,125</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1,669</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17,518</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483</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239</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2,243</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41,914</w:t>
            </w:r>
          </w:p>
        </w:tc>
        <w:tc>
          <w:tcPr>
            <w:tcW w:w="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42,579</w:t>
            </w:r>
          </w:p>
        </w:tc>
        <w:tc>
          <w:tcPr>
            <w:tcW w:w="0" w:type="dxa"/>
            <w:vAlign w:val="bottom"/>
          </w:tcPr>
          <w:p>
            <w:pPr>
              <w:spacing w:after="0"/>
              <w:rPr>
                <w:sz w:val="1"/>
                <w:szCs w:val="1"/>
                <w:color w:val="auto"/>
              </w:rPr>
            </w:pPr>
          </w:p>
        </w:tc>
      </w:tr>
      <w:tr>
        <w:trPr>
          <w:trHeight w:val="257"/>
        </w:trPr>
        <w:tc>
          <w:tcPr>
            <w:tcW w:w="78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2,098</w:t>
            </w:r>
          </w:p>
        </w:tc>
        <w:tc>
          <w:tcPr>
            <w:tcW w:w="6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1,741</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 payments and billings in excess of costs incurred</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2,734</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2,403</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8,976</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 of $14 for 2022 and $6 for 2021</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12,834</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 plan liabilities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2,692</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1,654</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131</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1,976</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28,263</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29,653</w:t>
            </w:r>
          </w:p>
        </w:tc>
        <w:tc>
          <w:tcPr>
            <w:tcW w:w="0" w:type="dxa"/>
            <w:vAlign w:val="bottom"/>
          </w:tcPr>
          <w:p>
            <w:pPr>
              <w:spacing w:after="0"/>
              <w:rPr>
                <w:sz w:val="1"/>
                <w:szCs w:val="1"/>
                <w:color w:val="auto"/>
              </w:rPr>
            </w:pPr>
          </w:p>
        </w:tc>
      </w:tr>
      <w:tr>
        <w:trPr>
          <w:trHeight w:val="128"/>
        </w:trPr>
        <w:tc>
          <w:tcPr>
            <w:tcW w:w="7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7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$1 par value; 10,000,000 shares authorized; no shares issued and outstanding</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786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Common stock, $1 par value; 800,000,000 shares authorized; issued and outstanding: 2022—154,876,753</w:t>
            </w:r>
          </w:p>
        </w:tc>
        <w:tc>
          <w:tcPr>
            <w:tcW w:w="24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155</w:t>
            </w:r>
          </w:p>
        </w:tc>
        <w:tc>
          <w:tcPr>
            <w:tcW w:w="6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2021—156,284,423</w:t>
            </w:r>
          </w:p>
        </w:tc>
        <w:tc>
          <w:tcPr>
            <w:tcW w:w="240" w:type="dxa"/>
            <w:vAlign w:val="bottom"/>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13,655</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13,651</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41,914</w:t>
            </w:r>
          </w:p>
        </w:tc>
        <w:tc>
          <w:tcPr>
            <w:tcW w:w="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42,579</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1,901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net cash (used in) provided by operating activities: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periodic pension and OPB income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3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Unbilled receivables, net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(719)</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Inventoried costs, net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 net</w:t>
            </w:r>
          </w:p>
        </w:tc>
        <w:tc>
          <w:tcPr>
            <w:tcW w:w="1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30"/>
        </w:trPr>
        <w:tc>
          <w:tcPr>
            <w:tcW w:w="8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r>
      <w:tr>
        <w:trPr>
          <w:trHeight w:val="237"/>
        </w:trPr>
        <w:tc>
          <w:tcPr>
            <w:tcW w:w="8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Divestiture of IT services business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equipment to a customer</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r>
      <w:tr>
        <w:trPr>
          <w:trHeight w:val="237"/>
        </w:trPr>
        <w:tc>
          <w:tcPr>
            <w:tcW w:w="8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1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dividends paid</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(519)</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employee taxes withheld from share-based awards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30"/>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3,530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r>
      <w:tr>
        <w:trPr>
          <w:trHeight w:val="230"/>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1,169</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352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156</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6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Shares issued for employee stock awards and options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155</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155</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6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4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13,277</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10,487</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12,913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10,482</w:t>
            </w: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(323)</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946</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1,037</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1,901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r>
      <w:tr>
        <w:trPr>
          <w:trHeight w:val="230"/>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29"/>
        </w:trPr>
        <w:tc>
          <w:tcPr>
            <w:tcW w:w="6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64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13,655</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11,144</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13,655</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6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4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(159)</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13,651</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11,172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13,651</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11,172</w:t>
            </w:r>
          </w:p>
        </w:tc>
      </w:tr>
      <w:tr>
        <w:trPr>
          <w:trHeight w:val="237"/>
        </w:trPr>
        <w:tc>
          <w:tcPr>
            <w:tcW w:w="6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1.73</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Reporting</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Intercompany accounts, transactions and profits are eliminated in consolidation. Investments in equity securities and joint ventures where the company has significant influence, but not control, are accounted for using the equity method.</w:t>
      </w:r>
    </w:p>
    <w:p>
      <w:pPr>
        <w:spacing w:after="0" w:line="6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Effective January 30, 2021 (the “Divestiture date”), we completed the sale of our IT and mission support services business (the “IT services divestiture”) for $3.4 billion in cash and recorded a pre-tax gain on sale of $2.0 billion. The IT and mission support services business was comprised of the majority of the former Information Solutions and Services (IS&amp;S) division of Defense Systems (excluding the Vinnell Arabia business); select cyber, intelligence and missions support programs, which were part of the former Cyber and Intelligence Mission Solutions (CIMS) division of Mission Systems; and the former Space Technical Services business unit of Space Systems. Operating results include sales and operating income for the IT and mission support services business prior to the Divestiture date. Sales and pre-tax profit for the IT and mission support services business were $162 million and $20 million for the six months ended June 30, 2021, respectively.</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w:t>
      </w:r>
    </w:p>
    <w:p>
      <w:pPr>
        <w:spacing w:after="0" w:line="5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Results reported in these financial statements are not necessarily indicative of results that may be expected for the entire year. These financial statements should be read in conjunction with the information contained in the company’s 2021 Annual Report on Form 10-K.</w:t>
      </w:r>
    </w:p>
    <w:p>
      <w:pPr>
        <w:spacing w:after="0" w:line="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We recognize changes in estimated contract sales or costs and the resulting changes in contract profit on a cumulative basis. Cumulative estimate-at-completion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expense, is charged against income in the period the loss is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79"/>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5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effect of aggregate net EAC adjustments: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7"/>
        </w:trPr>
        <w:tc>
          <w:tcPr>
            <w:tcW w:w="108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28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6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data</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304</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w:t>
            </w:r>
          </w:p>
        </w:tc>
        <w:tc>
          <w:tcPr>
            <w:tcW w:w="3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0"/>
        </w:trPr>
        <w:tc>
          <w:tcPr>
            <w:tcW w:w="6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earnings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73</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209</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9"/>
        </w:trPr>
        <w:tc>
          <w:tcPr>
            <w:tcW w:w="6240" w:type="dxa"/>
            <w:vAlign w:val="bottom"/>
            <w:tcBorders>
              <w:bottom w:val="single" w:sz="8" w:color="auto"/>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earnings per share</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0.47</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0.76</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1.34</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bl>
    <w:p>
      <w:pPr>
        <w:spacing w:after="0" w:line="154" w:lineRule="exact"/>
        <w:rPr>
          <w:sz w:val="20"/>
          <w:szCs w:val="20"/>
          <w:color w:val="auto"/>
        </w:rPr>
      </w:pPr>
    </w:p>
    <w:p>
      <w:pPr>
        <w:ind w:left="160" w:hanging="152"/>
        <w:spacing w:after="0"/>
        <w:tabs>
          <w:tab w:leader="none" w:pos="160" w:val="left"/>
        </w:tabs>
        <w:numPr>
          <w:ilvl w:val="0"/>
          <w:numId w:val="3"/>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5"/>
          <w:szCs w:val="15"/>
          <w:color w:val="auto"/>
        </w:rPr>
        <w:t>Based on a 21 percent statutory tax rate.</w:t>
      </w:r>
    </w:p>
    <w:p>
      <w:pPr>
        <w:spacing w:after="0" w:line="7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EAC adjustments on a single performance obligation can have a significant effect on the company’s financial statements. When such adjustments occur, we generally disclose the nature, underlying conditions and financial impact of the adjustments. During the three months ended March 31, 2022, we recorded a $67 million favorable EAC adjustment on the engineering, manufacturing and development phase of the B-21 program at Aeronautics Systems largely related to performance incentives. No such adjustments were material to the financial statements during the three months ended June 30, 2022 and 2021.</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w:t>
      </w:r>
    </w:p>
    <w:p>
      <w:pPr>
        <w:spacing w:after="0" w:line="6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Company backlog as of June 30, 2022 was $80.0 billion. Of our June 30, 2022 backlog, we expect to recognize approximately 40 percent as revenue over the next 12 months and 60 percent as revenue over the next 24 months, with the remainder to be recognized thereafter.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For each of the company’s contracts, the timing of revenue recognition, customer billings, and cash collections results in a net contract asset or liability at the end of each reporting period. 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Contract liabilities are equivalent to and reflected as Advance payments and billings in excess of costs incurred in the unaudited condensed consolidated statements of financial position. The amount of revenue recognized for the three and six months ended June 30, 2022 that was included in the December 31, 2021 contract liability balance was $466 million and $1.9 billion, respectively. The amount of revenue recognized for the three and six months ended June 30, 2021 that was included in the December 31, 2020 contract liability balance was $482 million and $1.5 billion, respectively.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See Note 9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2022, the company acquired $46 million of internal use software through long-term financing directly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 The software was recorded in PP&amp;E as a non-cash investing activity and the related liability was recorded in long-term debt as a non-cash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activity. During the six months ended June 30, 2022, the company received lease incentives for landlord funded leasehold improvements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 million related to a Space Systems real estate lease, which were recorded in PP&amp;E and included in non-cash investing activities. Non-cash investing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also include capital expenditures incurred but not yet paid of $73 million and $56 million as of June 30, 2022 and 2021,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prior service credit</w:t>
            </w:r>
          </w:p>
        </w:tc>
        <w:tc>
          <w:tcPr>
            <w:tcW w:w="2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 and other, net</w:t>
            </w:r>
          </w:p>
        </w:tc>
        <w:tc>
          <w:tcPr>
            <w:tcW w:w="2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periods presented, the company had no material related party transactions.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31"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Accounting standards updates adopted and/or issued, but not effective until after June 30, 2022, are not expected to have a material effect on the company’s unaudited condensed consolidated financial position, annual results of operations and/or cash flows.</w:t>
      </w:r>
    </w:p>
    <w:p>
      <w:pPr>
        <w:spacing w:after="0" w:line="123" w:lineRule="exact"/>
        <w:rPr>
          <w:sz w:val="20"/>
          <w:szCs w:val="20"/>
          <w:color w:val="auto"/>
        </w:rPr>
      </w:pPr>
    </w:p>
    <w:p>
      <w:pPr>
        <w:ind w:right="3400"/>
        <w:spacing w:after="0" w:line="310" w:lineRule="auto"/>
        <w:rPr>
          <w:sz w:val="20"/>
          <w:szCs w:val="20"/>
          <w:color w:val="auto"/>
        </w:rPr>
      </w:pPr>
      <w:r>
        <w:rPr>
          <w:rFonts w:ascii="Times New Roman" w:cs="Times New Roman" w:eastAsia="Times New Roman" w:hAnsi="Times New Roman"/>
          <w:sz w:val="18"/>
          <w:szCs w:val="18"/>
          <w:b w:val="1"/>
          <w:bCs w:val="1"/>
          <w:color w:val="auto"/>
        </w:rPr>
        <w:t>2. EARNINGS PER SHARE, SHARE REPURCHASES AND DIVIDENDS ON COMMON STOCK Basic Earnings Per Share</w:t>
      </w:r>
    </w:p>
    <w:p>
      <w:pPr>
        <w:spacing w:after="0" w:line="1"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8"/>
          <w:szCs w:val="18"/>
          <w:color w:val="auto"/>
        </w:rPr>
        <w:t xml:space="preserve">We calculate basic earnings per share by dividing net earnings by the weighted-average number of shares of common stock outstanding during each period. </w:t>
      </w:r>
      <w:r>
        <w:rPr>
          <w:rFonts w:ascii="Times New Roman" w:cs="Times New Roman" w:eastAsia="Times New Roman" w:hAnsi="Times New Roman"/>
          <w:sz w:val="18"/>
          <w:szCs w:val="18"/>
          <w:b w:val="1"/>
          <w:bCs w:val="1"/>
          <w:color w:val="auto"/>
        </w:rPr>
        <w:t>Diluted Earnings Per Share</w:t>
      </w: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Diluted earnings per share include the dilutive effect of awards granted to employees under stock-based compensation plans. The dilutive effect of these securities totaled 0.6 million shares for the three and six months ended June 30, 2022 and 0.5 million shares for the three and six months ended June 30, 2021.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3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On December 4, 2018, the company’s board of directors authorized a share repurchase program of up to $3.0 billion of the company’s common stock (the “2018 Repurchase Program”). Repurchases under the 2018 Repurchase Program commenced in March 2020 and were completed in October 2021.</w:t>
      </w:r>
    </w:p>
    <w:p>
      <w:pPr>
        <w:spacing w:after="0" w:line="4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January 25, 2021, the company’s board of directors authorized a share repurchase program of up to an additional $3.0 billion in share repurchases of the company’s common stock (the “2021 Repurchase Program”). Repurchases under the 2021 Repurchase Program commenced in October 2021 upon the completion of the 2018 Repurchase Program. As of June 30, 2022, repurchases under the 2021 Repurchase Program totaled $1.5 billion; $1.5 billion remained under this share repurchase authorization. By its terms, the 2021 Repurchase Program is set to expire when we have used all authorized funds for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January 24, 2022, the company’s board of directors authorized a new share repurchase program of up to an additional $2.0 billion in share repurchases of the company’s common stock (the “2022 Repurchase Program”). By its terms, repurchases under the 2022 Repurchase Program will commence upon completion of the 2021 Repurchase Program and will expire when we have used all authorized funds for repurchases. As of June 30, 2022, there have been no repurchases under the 2022 Repurchase Program and the company’s total outstanding share repurchase authorization was $3.5 billion.</w:t>
      </w:r>
    </w:p>
    <w:p>
      <w:pPr>
        <w:spacing w:after="0" w:line="5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the first quarter of 2021, the company entered into an accelerated share repurchase (ASR) agreement with Goldman Sachs &amp; Co. LLC (Goldman Sachs) to repurchase $2.0 billion of the company’s common stock as part of the 2018 Repurchase Program. Under the agreement, we made a payment of $2.0 billion to Goldman Sachs and received an initial delivery of 5.9 million shares valued at $1.7 billion that were immediately canceled by the company. The remaining balance of $300 million was settled on June 1, 2021 with a final delivery of 0.2 million shares from Goldman Sachs. The final average purchase price was $327.29 per share.</w:t>
      </w:r>
    </w:p>
    <w:p>
      <w:pPr>
        <w:spacing w:after="0" w:line="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fourth quarter of 2021, the company entered into an ASR agreement with Goldman Sachs to repurchase $500 million of the company’s common stock as part of the 2021 Repurchase Program. Under the agreement, we made a payment of $500 million to Goldman Sachs and received an initial delivery of 1.2 million shares valued at $425 million that were immediately canceled by the company. The remaining balance of $75 million was settled on February 1, 2022 with a final delivery of 0.1 million shares from Goldman Sachs. The final average purchase price was $374.79 per share.</w:t>
      </w:r>
    </w:p>
    <w:p>
      <w:pPr>
        <w:spacing w:after="0" w:line="5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 During the six months ended June 30, 2022, the company repurchased $640 million of its outstanding shares.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share repurchases to date under the authorizations described above: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Shares Repurchased</w:t>
            </w: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6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rPr>
              <w:t>(in millions)</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rPr>
              <w:t>Amount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Pr>
          <w:p>
            <w:pPr>
              <w:spacing w:after="0"/>
              <w:rPr>
                <w:sz w:val="23"/>
                <w:szCs w:val="23"/>
                <w:color w:val="auto"/>
              </w:rPr>
            </w:pPr>
          </w:p>
        </w:tc>
        <w:tc>
          <w:tcPr>
            <w:tcW w:w="1320" w:type="dxa"/>
            <w:vAlign w:val="bottom"/>
          </w:tcPr>
          <w:p>
            <w:pPr>
              <w:jc w:val="center"/>
              <w:ind w:right="311"/>
              <w:spacing w:after="0"/>
              <w:rPr>
                <w:sz w:val="20"/>
                <w:szCs w:val="20"/>
                <w:color w:val="auto"/>
              </w:rPr>
            </w:pPr>
            <w:r>
              <w:rPr>
                <w:rFonts w:ascii="Times New Roman" w:cs="Times New Roman" w:eastAsia="Times New Roman" w:hAnsi="Times New Roman"/>
                <w:sz w:val="18"/>
                <w:szCs w:val="18"/>
                <w:color w:val="auto"/>
                <w:w w:val="98"/>
              </w:rPr>
              <w:t>Average</w:t>
            </w:r>
          </w:p>
        </w:tc>
        <w:tc>
          <w:tcPr>
            <w:tcW w:w="1800" w:type="dxa"/>
            <w:vAlign w:val="bottom"/>
          </w:tcPr>
          <w:p>
            <w:pPr>
              <w:spacing w:after="0"/>
              <w:rPr>
                <w:sz w:val="23"/>
                <w:szCs w:val="23"/>
                <w:color w:val="auto"/>
              </w:rPr>
            </w:pPr>
          </w:p>
        </w:tc>
        <w:tc>
          <w:tcPr>
            <w:tcW w:w="2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Six Months Ended June 30</w:t>
            </w:r>
          </w:p>
        </w:tc>
        <w:tc>
          <w:tcPr>
            <w:tcW w:w="0" w:type="dxa"/>
            <w:vAlign w:val="bottom"/>
          </w:tcPr>
          <w:p>
            <w:pPr>
              <w:spacing w:after="0"/>
              <w:rPr>
                <w:sz w:val="1"/>
                <w:szCs w:val="1"/>
                <w:color w:val="auto"/>
              </w:rPr>
            </w:pPr>
          </w:p>
        </w:tc>
      </w:tr>
      <w:tr>
        <w:trPr>
          <w:trHeight w:val="153"/>
        </w:trPr>
        <w:tc>
          <w:tcPr>
            <w:tcW w:w="2060" w:type="dxa"/>
            <w:vAlign w:val="bottom"/>
          </w:tcPr>
          <w:p>
            <w:pPr>
              <w:jc w:val="center"/>
              <w:ind w:left="11"/>
              <w:spacing w:after="0" w:line="149" w:lineRule="exact"/>
              <w:rPr>
                <w:sz w:val="20"/>
                <w:szCs w:val="20"/>
                <w:color w:val="auto"/>
              </w:rPr>
            </w:pPr>
            <w:r>
              <w:rPr>
                <w:rFonts w:ascii="Times New Roman" w:cs="Times New Roman" w:eastAsia="Times New Roman" w:hAnsi="Times New Roman"/>
                <w:sz w:val="17"/>
                <w:szCs w:val="17"/>
                <w:color w:val="auto"/>
              </w:rPr>
              <w:t>Repurchase Program</w:t>
            </w:r>
          </w:p>
        </w:tc>
        <w:tc>
          <w:tcPr>
            <w:tcW w:w="380" w:type="dxa"/>
            <w:vAlign w:val="bottom"/>
          </w:tcPr>
          <w:p>
            <w:pPr>
              <w:spacing w:after="0"/>
              <w:rPr>
                <w:sz w:val="12"/>
                <w:szCs w:val="12"/>
                <w:color w:val="auto"/>
              </w:rPr>
            </w:pPr>
          </w:p>
        </w:tc>
        <w:tc>
          <w:tcPr>
            <w:tcW w:w="1320" w:type="dxa"/>
            <w:vAlign w:val="bottom"/>
          </w:tcPr>
          <w:p>
            <w:pPr>
              <w:jc w:val="center"/>
              <w:ind w:right="231"/>
              <w:spacing w:after="0" w:line="149" w:lineRule="exact"/>
              <w:rPr>
                <w:sz w:val="20"/>
                <w:szCs w:val="20"/>
                <w:color w:val="auto"/>
              </w:rPr>
            </w:pPr>
            <w:r>
              <w:rPr>
                <w:rFonts w:ascii="Times New Roman" w:cs="Times New Roman" w:eastAsia="Times New Roman" w:hAnsi="Times New Roman"/>
                <w:sz w:val="17"/>
                <w:szCs w:val="17"/>
                <w:color w:val="auto"/>
              </w:rPr>
              <w:t>Authorized</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Shares Retired</w:t>
            </w:r>
          </w:p>
        </w:tc>
        <w:tc>
          <w:tcPr>
            <w:tcW w:w="280" w:type="dxa"/>
            <w:vAlign w:val="bottom"/>
          </w:tcPr>
          <w:p>
            <w:pPr>
              <w:spacing w:after="0"/>
              <w:rPr>
                <w:sz w:val="12"/>
                <w:szCs w:val="12"/>
                <w:color w:val="auto"/>
              </w:rPr>
            </w:pPr>
          </w:p>
        </w:tc>
        <w:tc>
          <w:tcPr>
            <w:tcW w:w="1320" w:type="dxa"/>
            <w:vAlign w:val="bottom"/>
          </w:tcPr>
          <w:p>
            <w:pPr>
              <w:jc w:val="center"/>
              <w:ind w:right="271"/>
              <w:spacing w:after="0" w:line="149" w:lineRule="exact"/>
              <w:rPr>
                <w:sz w:val="20"/>
                <w:szCs w:val="20"/>
                <w:color w:val="auto"/>
              </w:rPr>
            </w:pPr>
            <w:r>
              <w:rPr>
                <w:rFonts w:ascii="Times New Roman" w:cs="Times New Roman" w:eastAsia="Times New Roman" w:hAnsi="Times New Roman"/>
                <w:sz w:val="17"/>
                <w:szCs w:val="17"/>
                <w:color w:val="auto"/>
              </w:rPr>
              <w:t>Price</w:t>
            </w:r>
          </w:p>
        </w:tc>
        <w:tc>
          <w:tcPr>
            <w:tcW w:w="1800" w:type="dxa"/>
            <w:vAlign w:val="bottom"/>
          </w:tcPr>
          <w:p>
            <w:pPr>
              <w:spacing w:after="0"/>
              <w:rPr>
                <w:sz w:val="12"/>
                <w:szCs w:val="12"/>
                <w:color w:val="auto"/>
              </w:rPr>
            </w:pPr>
          </w:p>
        </w:tc>
        <w:tc>
          <w:tcPr>
            <w:tcW w:w="242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rPr>
              <w:t>Authorization Date</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w w:val="98"/>
              </w:rPr>
              <w:t>(in millions)</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271"/>
              <w:spacing w:after="0" w:line="250" w:lineRule="exact"/>
              <w:rPr>
                <w:sz w:val="20"/>
                <w:szCs w:val="20"/>
                <w:color w:val="auto"/>
              </w:rPr>
            </w:pPr>
            <w:r>
              <w:rPr>
                <w:rFonts w:ascii="Times New Roman" w:cs="Times New Roman" w:eastAsia="Times New Roman" w:hAnsi="Times New Roman"/>
                <w:sz w:val="18"/>
                <w:szCs w:val="18"/>
                <w:color w:val="auto"/>
                <w:w w:val="96"/>
              </w:rPr>
              <w:t>Per Share</w:t>
            </w:r>
            <w:r>
              <w:rPr>
                <w:rFonts w:ascii="Times New Roman" w:cs="Times New Roman" w:eastAsia="Times New Roman" w:hAnsi="Times New Roman"/>
                <w:sz w:val="23"/>
                <w:szCs w:val="23"/>
                <w:color w:val="auto"/>
                <w:w w:val="96"/>
                <w:vertAlign w:val="superscript"/>
              </w:rPr>
              <w:t>(1)</w:t>
            </w:r>
          </w:p>
        </w:tc>
        <w:tc>
          <w:tcPr>
            <w:tcW w:w="1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Date Completed</w:t>
            </w:r>
          </w:p>
        </w:tc>
        <w:tc>
          <w:tcPr>
            <w:tcW w:w="16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4, 2018</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3,000</w:t>
            </w:r>
          </w:p>
        </w:tc>
        <w:tc>
          <w:tcPr>
            <w:tcW w:w="1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337.18</w:t>
            </w:r>
          </w:p>
        </w:tc>
        <w:tc>
          <w:tcPr>
            <w:tcW w:w="18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October 2021</w:t>
            </w:r>
          </w:p>
        </w:tc>
        <w:tc>
          <w:tcPr>
            <w:tcW w:w="16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25, 2021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3,000</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19"/>
                <w:szCs w:val="19"/>
                <w:color w:val="auto"/>
              </w:rPr>
            </w:pPr>
          </w:p>
        </w:tc>
        <w:tc>
          <w:tcPr>
            <w:tcW w:w="1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393.76</w:t>
            </w:r>
          </w:p>
        </w:tc>
        <w:tc>
          <w:tcPr>
            <w:tcW w:w="1800" w:type="dxa"/>
            <w:vAlign w:val="bottom"/>
          </w:tcPr>
          <w:p>
            <w:pPr>
              <w:spacing w:after="0"/>
              <w:rPr>
                <w:sz w:val="19"/>
                <w:szCs w:val="19"/>
                <w:color w:val="auto"/>
              </w:rPr>
            </w:pP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24, 2022</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2,000</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commissions paid.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2022, the company increased the quarterly common stock dividend 10 percent to $1.73 per share from the previous amount of $1.57 per share.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INCOME TAXES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6"/>
        </w:trPr>
        <w:tc>
          <w:tcPr>
            <w:tcW w:w="58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0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204</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393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1,086</w:t>
            </w:r>
          </w:p>
        </w:tc>
      </w:tr>
      <w:tr>
        <w:trPr>
          <w:trHeight w:val="230"/>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17.7 %</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17.1 %</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25.2 %</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second quarter 2022 effective tax rate (ETR) decreased to 17.7 percent from 20.4 percent in the prior year period. The company’s second quarter 2022 ETR includes benefits of $41 million for research credits and $15 million for foreign derived intangible income (FDII), which were partially offset by nondeductible losses on certain of the company’s marketable securities. The company’s second quarter 2021 ETR included benefits of $48 million for research credits and $10 million for FDII. The second quarter 2021 ETR was impacted by a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made in tax revenue recognition on certain long term contracts, which increased taxable income in years prior to the 2017 Tax Cuts and Jobs Act at a rate above the current statutory rate.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year to date 2022 ETR decreased to 17.1 percent from 25.2 percent in the prior year period. The company’s year to date 2022 ETR includes benefits of $82 million for research credits and $29 million for FDII. The company’s year to date 2021 ETR included benefits of $99 million for research credits and $20 million for FDII. The year to date 2021 ETR was impacted by additional federal income taxes resulting from the IT services divestiture, as well as the change in tax revenue recognition on certain contracts described above.</w:t>
      </w:r>
    </w:p>
    <w:p>
      <w:pPr>
        <w:spacing w:after="0" w:line="5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company has recorded unrecognized tax benefits related to our methods of accounting associated with the timing of revenue recognition and related costs and the 2017 Tax Cuts and Jobs Act, which includes related final revenue recognition regulations issued in December 2020 under IRC Section 451(b) and procedural guidance issued in August 2021. As of June 30, 2022, we have approximately $1.7 billion in unrecognized tax benefits, including</w:t>
      </w:r>
    </w:p>
    <w:p>
      <w:pPr>
        <w:spacing w:after="0" w:line="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$458 million related to our position on IRC Section 451(b). If these matters, including our position on IRC Section 451(b), are unfavorably resolved, there could be a material impact on our future cash flows. It is reasonably possible that within the next 12 months our unrecognized tax benefits related to these matters may increase by approximately $120 million.</w:t>
      </w:r>
    </w:p>
    <w:p>
      <w:pPr>
        <w:spacing w:after="0" w:line="6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current unrecognized tax benefits, which are included in Other current liabilities in the unaudited condensed consolidated statements of financial position, were $659 million and $590 million as of June 30, 2022 and December 31, 2021, respectively, with the remainder of our unrecognized tax benefits included within Other non-current liabilities.</w:t>
      </w:r>
    </w:p>
    <w:p>
      <w:pPr>
        <w:spacing w:after="0" w:line="5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state and foreign jurisdictions. The Northrop Grumman 2014-2018 federal tax returns and refund claims related to its 2007-2016 federal tax returns are currently under Internal Revenue Service (IRS) examination. This quarter, the company’s 2014-2016 federal income tax returns and refund claims related to its 2007-2016 federal tax returns reverted back from IRS Appeals to IRS examination for additional factual review. In addition, legacy Orbital ATK (OATK) federal tax returns for the years ended March 31, 2014 and 2015, the nine-month transition period ended December 31, 2015 and calendar years 2016-2017 are currently under review by the IRS Appeals Office. It is reasonably possible that within the next twelve months, unrecognized tax benefits claimed in legacy OATK’s 2014 to 2017 tax years may decline by up to $110 million through administrative resolution with IRS Appeals.</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holds a portfolio of marketable securities to partially fund non-qualified employee benefit plans. A portion of these securities are held in common/collective trust funds and are measured at fair value using net asset value (NAV) per share as a practical expedient; and therefore are not required to be categorized in the fair value hierarchy table below. Marketable securities are included in Other non-current assets in the unaudited condensed consolidated statements of financial position.</w:t>
      </w:r>
    </w:p>
    <w:p>
      <w:pPr>
        <w:spacing w:after="0" w:line="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derivative portfolio consists primarily of foreign currency forward contracts. Where model-derived valuations are appropriate, the company utilizes the income approach to determine the fair value using internal models based on observable market inputs.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financial assets and liabilities the company records at fair value on a recurring basis identified by the level of inputs used to determine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Level 2</w:t>
            </w: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  $</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88"/>
              </w:rPr>
              <w:t>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Marketable securities valued</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using NAV</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328</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350</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88"/>
              </w:rPr>
              <w:t>1</w:t>
            </w: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notional value of the company’s foreign currency forward contracts at June 30, 2022 and December 31, 2021 was $114 million and $120 million, respectively. At June 30, 2022 and December 31, 2021, no portion of the notional value was designated as a cash flow hedge.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derivative fair values and related unrealized gains/losses at June 30, 2022 and December 31, 2021 were not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into or out of Level 3 of the fair value hierarchy during the six months ended June 30,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cash and cash equivalents and commercial paper approximates fair value.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31"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The estimated fair value of long-term debt was $12.8 billion and $15.1 billion as of June 30, 2022 and December 31, 2021, respectively. We calculated the fair value of long-term debt using Level 2 inputs, based on interest rates available for debt with terms and maturities similar to the company’s existing debt arrangements. The current portion of long-term debt is recorded in Other current liabilities in the unaudited condensed consolidated statements of financial position.</w:t>
      </w:r>
    </w:p>
    <w:p>
      <w:pPr>
        <w:spacing w:after="0" w:line="6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On September 2, 2021, the company completed an exchange offer to eligible holders of the outstanding notes of our direct wholly owned subsidiary, Northrop Grumman Systems Corporation (“NGSC”) maturing through 2036. An aggregate principal amount of $422 million of the NGSC notes was exchanged for $422 million of unregistered Northrop Grumman Corporation notes (the “Unregistered Notes”) with the same interest rates and maturity dates as the NGSC notes exchanged. Because the debt instruments are not substantially different, the exchange was treated as a debt modification for accounting purposes with no gain or loss recognized.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15, 2022, the company completed a registered exchange offer pursuant to which the company exchanged an aggregate principal amount of</w:t>
      </w:r>
    </w:p>
    <w:p>
      <w:pPr>
        <w:spacing w:after="0" w:line="2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$414 million of the Unregistered Notes for $414 million of new notes registered under the Securities Act of 1933, as amended, (the “Registered Notes”) with the same interest rates and maturity dates as the Unregistered Notes.</w:t>
      </w:r>
    </w:p>
    <w:p>
      <w:pPr>
        <w:spacing w:after="0" w:line="6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Because the debt instruments were not substantially different in either of the exchange offers, both exchanges were treated as debt modifications for accounting purposes with no gain or loss recognized.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Repayments of Senior Notes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2021, the company repaid $700 million of 3.50 percent unsecured notes upon maturity.</w:t>
      </w:r>
    </w:p>
    <w:p>
      <w:pPr>
        <w:spacing w:after="0" w:line="72" w:lineRule="exact"/>
        <w:rPr>
          <w:sz w:val="20"/>
          <w:szCs w:val="20"/>
          <w:color w:val="auto"/>
        </w:rPr>
      </w:pPr>
    </w:p>
    <w:p>
      <w:pPr>
        <w:jc w:val="both"/>
        <w:ind w:right="720"/>
        <w:spacing w:after="0" w:line="266" w:lineRule="auto"/>
        <w:rPr>
          <w:sz w:val="20"/>
          <w:szCs w:val="20"/>
          <w:color w:val="auto"/>
        </w:rPr>
      </w:pPr>
      <w:r>
        <w:rPr>
          <w:rFonts w:ascii="Times New Roman" w:cs="Times New Roman" w:eastAsia="Times New Roman" w:hAnsi="Times New Roman"/>
          <w:sz w:val="18"/>
          <w:szCs w:val="18"/>
          <w:color w:val="auto"/>
        </w:rPr>
        <w:t>In March 2021, the company redeemed $1.5 billion of 2.55 percent unsecured notes due October 2022. The company recorded a pre-tax charge of $54 million principally related to the premium paid on the redemption, which was recorded in Other, net in the unaudited condensed consolidated statements of earnings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INVESTIGATIONS, CLAIMS AND LITIGATION</w:t>
      </w:r>
    </w:p>
    <w:p>
      <w:pPr>
        <w:spacing w:after="0" w:line="10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On May 4, 2012, the company commenced an action, </w:t>
      </w:r>
      <w:r>
        <w:rPr>
          <w:rFonts w:ascii="Times New Roman" w:cs="Times New Roman" w:eastAsia="Times New Roman" w:hAnsi="Times New Roman"/>
          <w:sz w:val="18"/>
          <w:szCs w:val="18"/>
          <w:i w:val="1"/>
          <w:iCs w:val="1"/>
          <w:color w:val="auto"/>
        </w:rPr>
        <w:t>Northrop Grumman Systems Corp. v. United States</w:t>
      </w:r>
      <w:r>
        <w:rPr>
          <w:rFonts w:ascii="Times New Roman" w:cs="Times New Roman" w:eastAsia="Times New Roman" w:hAnsi="Times New Roman"/>
          <w:sz w:val="18"/>
          <w:szCs w:val="18"/>
          <w:color w:val="auto"/>
        </w:rPr>
        <w:t>, in the U.S. Court of Federal Claims. This lawsuit relates to an approximately $875 million firm fixed-price contract awarded to the company in 2007 by the U.S. Postal Service (USPS) for the construction and delivery of flats sequencing systems (FSS) as part of the postal automation program. The FSS were delivered. The company’s lawsuit seeks approximately $63 million for unpaid portions of the contract price, and approximately $115 million based on the company’s assertions that, through various acts and omissions over the life of the contract, the USPS adversely affected the cost and schedule of performance and materially altered the company’s obligations under the contract. The United States responded to the company’s complaint with an answer, denying most of the company’s claims, and counterclaims seeking approximately $410 million, less certain amounts outstanding under the contract. In the course of the litigation, the United States subsequently amended its counterclaim, reducing it to seek approximately $193 million. The principal counterclaim alleges that the company delayed its performance and caused damages to the USPS because USPS did not realize certain costs savings as early as it had expected. On February 3, 2020, after extensive discovery and motions practice, the parties commenced what was expected to be a seven-week trial. After COVID-19-related interruptions, trial concluded on March 5, 2021. On October 12, 2021, the parties completed post-trial briefing, and on December 8, 2021 the court held a post-trial oral argument. On June 27, 2022, the judge issued a decision concluding that the company was entitled to approximately $63 million for unpaid portions of the contract price and $5 million in additional damages, as well as interest, which the company estimates is approximately $15 million (as of June 30, 2022) and such additional interest as may accrue until the date the government makes payment. The judge also concluded that the government was entitled to approximately $1 million in off-setting damages. On July 18, 2022, the government filed a motion for reconsideration, arguing that the government is entitled to damages of approximately $57 million for particular periods of delay. Ultimately, after the court enters judgment, the parties will also have 60 days to file an appeal.</w:t>
      </w:r>
    </w:p>
    <w:p>
      <w:pPr>
        <w:spacing w:after="0" w:line="6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is engaged in remediation activities relating to environmental conditions allegedly resulting from historic operations at the former United States Navy and Grumman facilities in Bethpage, New York. For over 20 years, the company has worked closely with the United States Navy, the United States Environmental Protection Agency, the New York State Department of Environmental Conservation (NYSDEC), the New York State Department of Health and other federal, state and local governmental authorities, to address legacy environmental conditions in Bethpage. In December 2019, the State of New York issued an Amended Record of Decision seeking to impose additional remedial requirements beyond measures the company previously had been taking; the State also communicated that it was assessing potential natural resource damages. In December 2020, the parties reached a tentative agreement regarding the steps the company will take to implement the State’s Amended Record of Decision and to resolve certain potential other claims, including for natural resource damages. On September 22, 2021, the State of New York issued for public comment a new consent decree reflecting the agreement. On December 7, 2021, the public comment period closed. On July 13, 2022, the State filed a motion seeking court approval of the consent decree. We have also reached agreements with the Department of Defense and the Bethpage Water District to resolve claims involving these parties. On May 24, 2022, the court approved the agreement with the Bethpage Water District. On July 18, 2022, the government filed a motion seeking court approval of the agreement with the Department of Defense. We are in discussions with the South Farmingdale Water District to explore whether we can also resolve their claims at this stage.</w:t>
      </w:r>
    </w:p>
    <w:p>
      <w:pPr>
        <w:spacing w:after="0" w:line="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incurred, and expect to continue to incur, as included in Note 6, substantial remediation costs related to the legacy Bethpage environmental conditions. It is also possible that applicable remediation, allocation and allowability standards and other requirements to which we are subject may continue to change, and our costs may increase materially. In addition to disputes and legal proceedings related to environmental conditions at the site (including remediation, allocation and allowability), we are a party to various individual lawsuits and a putative class action alleging personal injury and property damage in the Eastern District of New York. The filed individual lawsuits have been stayed, pending a court decision on class certification. We are also a party, and may become a party, to other lawsuits brought by insurance carriers and other parties. We cannot at this time predict or reasonably estimate the potential cumulative outcomes or ranges of possible liability of these Bethpage lawsuits.</w:t>
      </w:r>
    </w:p>
    <w:p>
      <w:pPr>
        <w:spacing w:after="0" w:line="6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June 2018, the FTC issued a Decision and Order enabling the company’s acquisition of OATK to proceed and providing generally for the company to continue to make solid rocket motors available to competing missile primes on a non-discriminatory basis. The company has taken and continues to take robust actions to help ensure compliance with the terms of the Order. Similarly, the Compliance Officer, appointed under the Order, and the FTC have taken and continue to take various actions to oversee compliance. In October 2019, the company received a civil investigative demand from the FTC requesting certain information relating to a potential issue regarding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company’s compliance with the Order in connection with a then pending missile competition. The company promptly provided information in response to the request. The company has resumed discussions with staff at the FTC regarding our response and their views on compliance issues. We cannot predict the outcome of those discussions, but we do not believe they are likely to have a material adverse effect on the company’s unaudited condensed consolidated financial position as of June 30, 2022, or its annual results of operations and/or cash flows. We believe the company has been and continues to be in compliance with the Order.</w:t>
      </w:r>
    </w:p>
    <w:p>
      <w:pPr>
        <w:spacing w:after="0" w:line="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June 30, 2022, or its annual results of operations and/or cash flows.</w:t>
      </w:r>
    </w:p>
    <w:p>
      <w:pPr>
        <w:spacing w:after="0" w:line="1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COMMITMENTS AND CONTINGENCIES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Cost Claims and Contingencies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June 30, 2022, or its annual results of operations and/or cash flows.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U.S. government has raised questions about an interest rate assumption used by the company to determine our CAS pension expense. On June 1, 2020, the government provided written notice that the assumptions the company used during the period 2013-2019 were potentially noncompliant with CAS. We submitted a formal response on July 31, 2020, which we believe demonstrates the appropriateness of the assumptions used. On November 24, 2020, the government replied to the company’s response, disagreeing with our position and requesting additional input, which we provided on February 22, 2021 and further discussed with the government. We continue to exchange correspondence and engage with the government on this matter. The sensitivity to changes in interest rate assumptions makes it reasonably possible the outcome of this matter could have a material adverse effect on our financial position, results of operations and/or cash flows, although we are not currently able to estimate a range of any potential loss.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June 30, 2022 and December 31, 2021:</w:t>
      </w:r>
    </w:p>
    <w:tbl>
      <w:tblPr>
        <w:tblLayout w:type="fixed"/>
        <w:tblInd w:w="0" w:type="dxa"/>
        <w:tblCellMar>
          <w:top w:w="0" w:type="dxa"/>
          <w:left w:w="0" w:type="dxa"/>
          <w:bottom w:w="0" w:type="dxa"/>
          <w:right w:w="0" w:type="dxa"/>
        </w:tblCellMar>
      </w:tblPr>
      <w:tr>
        <w:trPr>
          <w:trHeight w:val="191"/>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5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Accrued Costs</w:t>
            </w:r>
            <w:r>
              <w:rPr>
                <w:rFonts w:ascii="Times New Roman" w:cs="Times New Roman" w:eastAsia="Times New Roman" w:hAnsi="Times New Roman"/>
                <w:sz w:val="23"/>
                <w:szCs w:val="23"/>
                <w:color w:val="auto"/>
                <w:vertAlign w:val="superscript"/>
              </w:rPr>
              <w:t>(1)(2)</w:t>
            </w:r>
          </w:p>
        </w:tc>
        <w:tc>
          <w:tcPr>
            <w:tcW w:w="264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Reasonably Possible Future Costs</w:t>
            </w:r>
          </w:p>
        </w:tc>
        <w:tc>
          <w:tcPr>
            <w:tcW w:w="180" w:type="dxa"/>
            <w:vAlign w:val="bottom"/>
          </w:tcPr>
          <w:p>
            <w:pPr>
              <w:spacing w:after="0"/>
              <w:rPr>
                <w:sz w:val="16"/>
                <w:szCs w:val="16"/>
                <w:color w:val="auto"/>
              </w:rPr>
            </w:pPr>
          </w:p>
        </w:tc>
        <w:tc>
          <w:tcPr>
            <w:tcW w:w="1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6"/>
              </w:rPr>
              <w:t>Deferred Costs</w:t>
            </w:r>
            <w:r>
              <w:rPr>
                <w:rFonts w:ascii="Times New Roman" w:cs="Times New Roman" w:eastAsia="Times New Roman" w:hAnsi="Times New Roman"/>
                <w:sz w:val="23"/>
                <w:szCs w:val="23"/>
                <w:color w:val="auto"/>
                <w:w w:val="96"/>
                <w:vertAlign w:val="superscript"/>
              </w:rPr>
              <w:t>(3)</w:t>
            </w:r>
          </w:p>
        </w:tc>
        <w:tc>
          <w:tcPr>
            <w:tcW w:w="0" w:type="dxa"/>
            <w:vAlign w:val="bottom"/>
          </w:tcPr>
          <w:p>
            <w:pPr>
              <w:spacing w:after="0"/>
              <w:rPr>
                <w:sz w:val="1"/>
                <w:szCs w:val="1"/>
                <w:color w:val="auto"/>
              </w:rPr>
            </w:pPr>
          </w:p>
        </w:tc>
      </w:tr>
      <w:tr>
        <w:trPr>
          <w:trHeight w:val="243"/>
        </w:trPr>
        <w:tc>
          <w:tcPr>
            <w:tcW w:w="3460" w:type="dxa"/>
            <w:vAlign w:val="bottom"/>
            <w:tcBorders>
              <w:bottom w:val="single" w:sz="8" w:color="auto"/>
            </w:tcBorders>
            <w:vMerge w:val="continue"/>
          </w:tcPr>
          <w:p>
            <w:pPr>
              <w:spacing w:after="0"/>
              <w:rPr>
                <w:sz w:val="21"/>
                <w:szCs w:val="21"/>
                <w:color w:val="auto"/>
              </w:rPr>
            </w:pPr>
          </w:p>
        </w:tc>
        <w:tc>
          <w:tcPr>
            <w:tcW w:w="354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right"/>
              <w:ind w:right="150"/>
              <w:spacing w:after="0" w:line="243" w:lineRule="exact"/>
              <w:rPr>
                <w:sz w:val="20"/>
                <w:szCs w:val="20"/>
                <w:color w:val="auto"/>
              </w:rPr>
            </w:pPr>
            <w:r>
              <w:rPr>
                <w:rFonts w:ascii="Times New Roman" w:cs="Times New Roman" w:eastAsia="Times New Roman" w:hAnsi="Times New Roman"/>
                <w:sz w:val="18"/>
                <w:szCs w:val="18"/>
                <w:color w:val="auto"/>
                <w:w w:val="99"/>
              </w:rPr>
              <w:t>in Excess of Accrued Costs</w:t>
            </w:r>
            <w:r>
              <w:rPr>
                <w:rFonts w:ascii="Times New Roman" w:cs="Times New Roman" w:eastAsia="Times New Roman" w:hAnsi="Times New Roman"/>
                <w:sz w:val="23"/>
                <w:szCs w:val="23"/>
                <w:color w:val="auto"/>
                <w:w w:val="99"/>
                <w:vertAlign w:val="superscript"/>
              </w:rPr>
              <w:t>(2)</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574</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2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June 30, 2022, $187 million is recorded in Other current liabilities and $387 million is recorded in Other non-current liabilities.</w:t>
      </w:r>
    </w:p>
    <w:p>
      <w:pPr>
        <w:spacing w:after="0" w:line="73" w:lineRule="exact"/>
        <w:rPr>
          <w:rFonts w:ascii="Times New Roman" w:cs="Times New Roman" w:eastAsia="Times New Roman" w:hAnsi="Times New Roman"/>
          <w:sz w:val="19"/>
          <w:szCs w:val="19"/>
          <w:color w:val="auto"/>
          <w:vertAlign w:val="superscript"/>
        </w:rPr>
      </w:pPr>
    </w:p>
    <w:p>
      <w:pPr>
        <w:ind w:left="180" w:right="240" w:hanging="172"/>
        <w:spacing w:after="0" w:line="238" w:lineRule="auto"/>
        <w:tabs>
          <w:tab w:leader="none" w:pos="167"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73" w:lineRule="exact"/>
        <w:rPr>
          <w:rFonts w:ascii="Times New Roman" w:cs="Times New Roman" w:eastAsia="Times New Roman" w:hAnsi="Times New Roman"/>
          <w:sz w:val="20"/>
          <w:szCs w:val="20"/>
          <w:color w:val="auto"/>
          <w:vertAlign w:val="superscript"/>
        </w:rPr>
      </w:pPr>
    </w:p>
    <w:p>
      <w:pPr>
        <w:ind w:left="180" w:right="260" w:hanging="172"/>
        <w:spacing w:after="0" w:line="254" w:lineRule="auto"/>
        <w:tabs>
          <w:tab w:leader="none" w:pos="167"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June 30, 2022, $162 million is deferred in Prepaid expenses and other current assets and $324 million is deferred in Other non-current assets. These amounts are evaluated for recoverability on a routine basis.</w:t>
      </w:r>
    </w:p>
    <w:p>
      <w:pPr>
        <w:spacing w:after="0" w:line="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Although management cannot predict whether (i) new information gained as our environmental remediation projects progress, (ii) changes in remediation standards or other requirements to which we are subject, or (iii) other changes in facts and circumstances will materially affect the estimated liability accrued, we do not anticipate that future remediation expenditures associated with our currently identified projects will have a material adverse effect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1360"/>
        <w:spacing w:after="0" w:line="315" w:lineRule="auto"/>
        <w:rPr>
          <w:sz w:val="20"/>
          <w:szCs w:val="20"/>
          <w:color w:val="auto"/>
        </w:rPr>
      </w:pPr>
      <w:r>
        <w:rPr>
          <w:rFonts w:ascii="Times New Roman" w:cs="Times New Roman" w:eastAsia="Times New Roman" w:hAnsi="Times New Roman"/>
          <w:sz w:val="18"/>
          <w:szCs w:val="18"/>
          <w:color w:val="auto"/>
        </w:rPr>
        <w:t xml:space="preserve">company’s unaudited condensed consolidated financial position as of June 30, 2022, or its annual results of operations and/or cash flows. </w:t>
      </w:r>
      <w:r>
        <w:rPr>
          <w:rFonts w:ascii="Times New Roman" w:cs="Times New Roman" w:eastAsia="Times New Roman" w:hAnsi="Times New Roman"/>
          <w:sz w:val="18"/>
          <w:szCs w:val="18"/>
          <w:b w:val="1"/>
          <w:bCs w:val="1"/>
          <w:color w:val="auto"/>
        </w:rPr>
        <w:t>Financial Arrangements</w:t>
      </w:r>
    </w:p>
    <w:p>
      <w:pPr>
        <w:spacing w:after="0" w:line="2"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June 30, 2022, there were $370 million of stand-by letters of credit and guarantees and $78 million of surety bonds outstanding.</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Paper</w:t>
      </w:r>
    </w:p>
    <w:p>
      <w:pPr>
        <w:spacing w:after="0" w:line="3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The company maintains a commercial paper program that serves as a source of short-term financing with capacity to issue unsecured commercial paper notes up to $2.0 billion. At June 30, 2022, there were no commercial paper borrowings outstanding.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31"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The company maintains a five-year senior unsecured credit facility in an aggregate principal amount of $2.0 billion (the “2018 Credit Agreement”) that matures in August 2024 and is intended to support the company’s commercial paper program and other general corporate purposes. Commercial paper borrowings reduce the amount available for borrowing under the 2018 Credit Agreement. At June 30, 2022, there was no balance outstanding under this facility.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the company was in compliance with all covenants under its credit agreements.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RETIREMENT BENEFITS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97"/>
        </w:trPr>
        <w:tc>
          <w:tcPr>
            <w:tcW w:w="8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cost to the company of its pension and other postretirement benefit (OPB) plans is shown in the following table:</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6"/>
        </w:trPr>
        <w:tc>
          <w:tcPr>
            <w:tcW w:w="36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7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Six Months Ended June 30</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r>
      <w:tr>
        <w:trPr>
          <w:trHeight w:val="178"/>
        </w:trPr>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Pension</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Pension</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4"/>
        </w:trPr>
        <w:tc>
          <w:tcPr>
            <w:tcW w:w="3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Benefits</w:t>
            </w: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OPB</w:t>
            </w: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Benefits</w:t>
            </w: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OPB</w:t>
            </w:r>
          </w:p>
        </w:tc>
        <w:tc>
          <w:tcPr>
            <w:tcW w:w="680" w:type="dxa"/>
            <w:vAlign w:val="bottom"/>
            <w:tcBorders>
              <w:bottom w:val="single" w:sz="8" w:color="auto"/>
            </w:tcBorders>
          </w:tcPr>
          <w:p>
            <w:pPr>
              <w:spacing w:after="0"/>
              <w:rPr>
                <w:sz w:val="20"/>
                <w:szCs w:val="20"/>
                <w:color w:val="auto"/>
              </w:rPr>
            </w:pPr>
          </w:p>
        </w:tc>
      </w:tr>
      <w:tr>
        <w:trPr>
          <w:trHeight w:val="223"/>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4"/>
              </w:rPr>
              <w:t>2021</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4"/>
              </w:rPr>
              <w:t>2021</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r>
      <w:tr>
        <w:trPr>
          <w:trHeight w:val="174"/>
        </w:trPr>
        <w:tc>
          <w:tcPr>
            <w:tcW w:w="36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3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284</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527</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(1,321)</w:t>
            </w:r>
          </w:p>
        </w:tc>
        <w:tc>
          <w:tcPr>
            <w:tcW w:w="3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(1,257)</w:t>
            </w:r>
          </w:p>
        </w:tc>
        <w:tc>
          <w:tcPr>
            <w:tcW w:w="2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36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 cost</w:t>
            </w: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 (benefit)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Employer Contributions</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made by the company to its retirement plans are as follows: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6"/>
        </w:trPr>
        <w:tc>
          <w:tcPr>
            <w:tcW w:w="6560" w:type="dxa"/>
            <w:vAlign w:val="bottom"/>
          </w:tcPr>
          <w:p>
            <w:pPr>
              <w:spacing w:after="0"/>
              <w:rPr>
                <w:sz w:val="22"/>
                <w:szCs w:val="22"/>
                <w:color w:val="auto"/>
              </w:rPr>
            </w:pPr>
          </w:p>
        </w:tc>
        <w:tc>
          <w:tcPr>
            <w:tcW w:w="23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w w:val="99"/>
              </w:rPr>
              <w:t>Six Months Ended June 30</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OPB plans</w:t>
            </w: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321</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ind w:right="3880"/>
        <w:spacing w:after="0" w:line="318" w:lineRule="auto"/>
        <w:rPr>
          <w:sz w:val="20"/>
          <w:szCs w:val="20"/>
          <w:color w:val="auto"/>
        </w:rPr>
      </w:pPr>
      <w:r>
        <w:rPr>
          <w:rFonts w:ascii="Times New Roman" w:cs="Times New Roman" w:eastAsia="Times New Roman" w:hAnsi="Times New Roman"/>
          <w:sz w:val="18"/>
          <w:szCs w:val="18"/>
          <w:b w:val="1"/>
          <w:bCs w:val="1"/>
          <w:color w:val="auto"/>
        </w:rPr>
        <w:t>8. STOCK COMPENSATION PLANS AND OTHER COMPENSATION ARRANGEMENTS Stock Awards</w:t>
      </w:r>
    </w:p>
    <w:p>
      <w:pPr>
        <w:ind w:right="120"/>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RSRs granted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RPSRs granted</w:t>
            </w: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0.2</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aggregate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15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RSRs typically vest on the third anniversary of the grant date, while RPSRs generally vest and pay out based on the achievement of certain performance metrics over a three-year period.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Awards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minimum and maximum aggregate payout amounts related to cash units (CUs) and cash performance units (CPUs) granted to employees in the periods presented: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aggregate payout amount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Maximum aggregate payout amount</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183</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bl>
    <w:p>
      <w:pPr>
        <w:spacing w:after="0" w:line="15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CUs typically vest and settle in cash on the third anniversary of the grant date, while CPUs generally vest and pay out in cash based on the achievement of certain performance metrics over a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79"/>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5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SEGMENT INFORMATION</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1"/>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sales and operating income by segment:</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108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6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Aeronautics Systems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2,534</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2,913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5,237</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w:t>
            </w:r>
          </w:p>
        </w:tc>
      </w:tr>
      <w:tr>
        <w:trPr>
          <w:trHeight w:val="229"/>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Defense Systems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1,294</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1,427</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2,577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r>
      <w:tr>
        <w:trPr>
          <w:trHeight w:val="230"/>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Mission Systems</w:t>
            </w:r>
          </w:p>
        </w:tc>
        <w:tc>
          <w:tcPr>
            <w:tcW w:w="1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2,516</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2,588</w:t>
            </w: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5,013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w:t>
            </w:r>
          </w:p>
        </w:tc>
      </w:tr>
      <w:tr>
        <w:trPr>
          <w:trHeight w:val="229"/>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 Systems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2,979</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2,748</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5,834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r>
      <w:tr>
        <w:trPr>
          <w:trHeight w:val="229"/>
        </w:trPr>
        <w:tc>
          <w:tcPr>
            <w:tcW w:w="62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(525)</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23"/>
        </w:trPr>
        <w:tc>
          <w:tcPr>
            <w:tcW w:w="62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8,801</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9,151</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17,598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18,308</w:t>
            </w:r>
          </w:p>
        </w:tc>
      </w:tr>
      <w:tr>
        <w:trPr>
          <w:trHeight w:val="22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Aeronautics Systems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258</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565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29"/>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Defense Systems</w:t>
            </w:r>
          </w:p>
        </w:tc>
        <w:tc>
          <w:tcPr>
            <w:tcW w:w="1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Mission Systems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413</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408</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798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29"/>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Space Systems</w:t>
            </w:r>
          </w:p>
        </w:tc>
        <w:tc>
          <w:tcPr>
            <w:tcW w:w="1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310</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571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29"/>
        </w:trPr>
        <w:tc>
          <w:tcPr>
            <w:tcW w:w="624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1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1,073</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1,117</w:t>
            </w: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2,110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r>
      <w:tr>
        <w:trPr>
          <w:trHeight w:val="229"/>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2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Unallocated corporate (expense) income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30"/>
        </w:trPr>
        <w:tc>
          <w:tcPr>
            <w:tcW w:w="62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1,044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1,851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For financial statement purposes, we account for our employee pension plans in accordance with FAS. However, the cost of these plans is charged to our contracts in accordance with applicable Federal Acquisition Regulation (FAR) and U.S. Government Cost Accounting Standards (CAS) requirements. The FAS/CAS operating adjustment reflects the difference between CAS pension expense included as cost in segment operating income and the service cost component of FAS expense included in total operating income.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 Income</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Unallocated corporate (expense) income includes the portion of corporate costs not considered allowable or allocable under the applicable FAR and CAS requirements, and therefore not allocated to the segments, such as changes in deferred state income taxes and a portion of management and administration, legal, environmental, compensation, retiree benefits, advertising and other corporate unallowable costs. Unallocated corporate (expense) income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spacing w:after="0" w:line="5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During the first quarter of 2021, the $2.0 billion pre-tax gain on the sale of our IT services business and $192 million of unallowable state taxes and transaction costs associated with the divestiture were recorded in Unallocated corporate (expense) income.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51"/>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Customer Type</w:t>
            </w:r>
          </w:p>
        </w:tc>
        <w:tc>
          <w:tcPr>
            <w:tcW w:w="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Six Months Ended June 30</w:t>
            </w:r>
          </w:p>
        </w:tc>
        <w:tc>
          <w:tcPr>
            <w:tcW w:w="700" w:type="dxa"/>
            <w:vAlign w:val="bottom"/>
            <w:tcBorders>
              <w:bottom w:val="single" w:sz="8" w:color="auto"/>
            </w:tcBorders>
          </w:tcPr>
          <w:p>
            <w:pPr>
              <w:spacing w:after="0"/>
              <w:rPr>
                <w:sz w:val="24"/>
                <w:szCs w:val="24"/>
                <w:color w:val="auto"/>
              </w:rPr>
            </w:pPr>
          </w:p>
        </w:tc>
      </w:tr>
      <w:tr>
        <w:trPr>
          <w:trHeight w:val="223"/>
        </w:trPr>
        <w:tc>
          <w:tcPr>
            <w:tcW w:w="3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700" w:type="dxa"/>
            <w:vAlign w:val="bottom"/>
            <w:tcBorders>
              <w:bottom w:val="single" w:sz="8" w:color="auto"/>
            </w:tcBorders>
          </w:tcPr>
          <w:p>
            <w:pPr>
              <w:spacing w:after="0"/>
              <w:rPr>
                <w:sz w:val="19"/>
                <w:szCs w:val="19"/>
                <w:color w:val="auto"/>
              </w:rPr>
            </w:pP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292"/>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12"/>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292"/>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252"/>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2,134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84 %</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2,513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4,426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85 %</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5,054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30"/>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328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671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750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0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2,534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2,913</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5,237</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5,903</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774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61 %</w:t>
            </w:r>
          </w:p>
        </w:tc>
        <w:tc>
          <w:tcPr>
            <w:tcW w:w="30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879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1,549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1,872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29"/>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328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335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621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686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0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3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373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380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1,294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1,427</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2,577</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2,989</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1,802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72 %</w:t>
            </w:r>
          </w:p>
        </w:tc>
        <w:tc>
          <w:tcPr>
            <w:tcW w:w="30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1,901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3,596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3,735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29"/>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415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419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848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921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0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254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505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491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2,516</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2,588</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5,013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5,177</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2,798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94 %</w:t>
            </w:r>
          </w:p>
        </w:tc>
        <w:tc>
          <w:tcPr>
            <w:tcW w:w="30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2,568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5,506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4,894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30"/>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0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3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2,979</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2,748</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5,834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5,269</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7,508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85 %</w:t>
            </w:r>
          </w:p>
        </w:tc>
        <w:tc>
          <w:tcPr>
            <w:tcW w:w="30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7,861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2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15,077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15,555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1,155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1,209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2,296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2,566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3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138</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225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187</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8,801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9,151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17,598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18,308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62" w:lineRule="exact"/>
        <w:rPr>
          <w:sz w:val="20"/>
          <w:szCs w:val="20"/>
          <w:color w:val="auto"/>
        </w:rPr>
      </w:pPr>
    </w:p>
    <w:p>
      <w:pPr>
        <w:ind w:left="180" w:right="360" w:hanging="172"/>
        <w:spacing w:after="0" w:line="238" w:lineRule="auto"/>
        <w:tabs>
          <w:tab w:leader="none" w:pos="167"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73" w:lineRule="exact"/>
        <w:rPr>
          <w:rFonts w:ascii="Times New Roman" w:cs="Times New Roman" w:eastAsia="Times New Roman" w:hAnsi="Times New Roman"/>
          <w:sz w:val="20"/>
          <w:szCs w:val="20"/>
          <w:color w:val="auto"/>
          <w:vertAlign w:val="superscript"/>
        </w:rPr>
      </w:pPr>
    </w:p>
    <w:p>
      <w:pPr>
        <w:ind w:left="180" w:right="60" w:hanging="172"/>
        <w:spacing w:after="0" w:line="232" w:lineRule="auto"/>
        <w:tabs>
          <w:tab w:leader="none" w:pos="181"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43"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Percentages calculated based on total segment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Contract Type</w:t>
            </w: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0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Six Months Ended June 30</w:t>
            </w:r>
          </w:p>
        </w:tc>
        <w:tc>
          <w:tcPr>
            <w:tcW w:w="700" w:type="dxa"/>
            <w:vAlign w:val="bottom"/>
            <w:tcBorders>
              <w:bottom w:val="single" w:sz="8" w:color="auto"/>
            </w:tcBorders>
          </w:tcPr>
          <w:p>
            <w:pPr>
              <w:spacing w:after="0"/>
              <w:rPr>
                <w:sz w:val="20"/>
                <w:szCs w:val="20"/>
                <w:color w:val="auto"/>
              </w:rPr>
            </w:pPr>
          </w:p>
        </w:tc>
      </w:tr>
      <w:tr>
        <w:trPr>
          <w:trHeight w:val="250"/>
        </w:trPr>
        <w:tc>
          <w:tcPr>
            <w:tcW w:w="3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700" w:type="dxa"/>
            <w:vAlign w:val="bottom"/>
            <w:tcBorders>
              <w:bottom w:val="single" w:sz="8" w:color="auto"/>
            </w:tcBorders>
          </w:tcPr>
          <w:p>
            <w:pPr>
              <w:spacing w:after="0"/>
              <w:rPr>
                <w:sz w:val="21"/>
                <w:szCs w:val="21"/>
                <w:color w:val="auto"/>
              </w:rPr>
            </w:pPr>
          </w:p>
        </w:tc>
      </w:tr>
      <w:tr>
        <w:trPr>
          <w:trHeight w:val="25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613"/>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(1)</w:t>
            </w:r>
          </w:p>
        </w:tc>
        <w:tc>
          <w:tcPr>
            <w:tcW w:w="9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59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593"/>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(1)</w:t>
            </w: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23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1,217</w:t>
            </w:r>
          </w:p>
        </w:tc>
        <w:tc>
          <w:tcPr>
            <w:tcW w:w="110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 xml:space="preserve">49 %  </w:t>
            </w:r>
            <w:r>
              <w:rPr>
                <w:rFonts w:ascii="Times New Roman" w:cs="Times New Roman" w:eastAsia="Times New Roman" w:hAnsi="Times New Roman"/>
                <w:sz w:val="18"/>
                <w:szCs w:val="18"/>
                <w:color w:val="auto"/>
              </w:rPr>
              <w:t>$</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1,341</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xml:space="preserve">47 %  </w:t>
            </w:r>
            <w:r>
              <w:rPr>
                <w:rFonts w:ascii="Times New Roman" w:cs="Times New Roman" w:eastAsia="Times New Roman" w:hAnsi="Times New Roman"/>
                <w:sz w:val="18"/>
                <w:szCs w:val="18"/>
                <w:b w:val="1"/>
                <w:bCs w:val="1"/>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2,493</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 xml:space="preserve">49 %  </w:t>
            </w:r>
            <w:r>
              <w:rPr>
                <w:rFonts w:ascii="Times New Roman" w:cs="Times New Roman" w:eastAsia="Times New Roman" w:hAnsi="Times New Roman"/>
                <w:sz w:val="18"/>
                <w:szCs w:val="18"/>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2,752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1,259</w:t>
            </w:r>
          </w:p>
        </w:tc>
        <w:tc>
          <w:tcPr>
            <w:tcW w:w="11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51 %</w:t>
            </w: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1,527</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53 %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2,621</w:t>
            </w:r>
          </w:p>
        </w:tc>
        <w:tc>
          <w:tcPr>
            <w:tcW w:w="10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51 %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3,062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0"/>
        </w:trPr>
        <w:tc>
          <w:tcPr>
            <w:tcW w:w="3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58</w:t>
            </w:r>
          </w:p>
        </w:tc>
        <w:tc>
          <w:tcPr>
            <w:tcW w:w="1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45</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123</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89</w:t>
            </w:r>
          </w:p>
        </w:tc>
        <w:tc>
          <w:tcPr>
            <w:tcW w:w="70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2,534</w:t>
            </w:r>
          </w:p>
        </w:tc>
        <w:tc>
          <w:tcPr>
            <w:tcW w:w="1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2,913</w:t>
            </w:r>
          </w:p>
        </w:tc>
        <w:tc>
          <w:tcPr>
            <w:tcW w:w="1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5,237</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5,903</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373</w:t>
            </w:r>
          </w:p>
        </w:tc>
        <w:tc>
          <w:tcPr>
            <w:tcW w:w="11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33 %</w:t>
            </w: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434</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35 %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709</w:t>
            </w:r>
          </w:p>
        </w:tc>
        <w:tc>
          <w:tcPr>
            <w:tcW w:w="10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32 %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943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747</w:t>
            </w: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67 %</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798</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65 %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1,495</w:t>
            </w: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68 %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1,666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29"/>
        </w:trPr>
        <w:tc>
          <w:tcPr>
            <w:tcW w:w="3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174</w:t>
            </w:r>
          </w:p>
        </w:tc>
        <w:tc>
          <w:tcPr>
            <w:tcW w:w="1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195</w:t>
            </w:r>
          </w:p>
        </w:tc>
        <w:tc>
          <w:tcPr>
            <w:tcW w:w="1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373</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380</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1,294</w:t>
            </w:r>
          </w:p>
        </w:tc>
        <w:tc>
          <w:tcPr>
            <w:tcW w:w="1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1,427</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2,577</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2,989</w:t>
            </w:r>
          </w:p>
        </w:tc>
        <w:tc>
          <w:tcPr>
            <w:tcW w:w="70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875</w:t>
            </w: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39 %</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808</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35 %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1,710</w:t>
            </w: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38 %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1,673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1,382</w:t>
            </w:r>
          </w:p>
        </w:tc>
        <w:tc>
          <w:tcPr>
            <w:tcW w:w="11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61 %</w:t>
            </w: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1,526</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65 %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2,798</w:t>
            </w:r>
          </w:p>
        </w:tc>
        <w:tc>
          <w:tcPr>
            <w:tcW w:w="10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62 %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3,013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29"/>
        </w:trPr>
        <w:tc>
          <w:tcPr>
            <w:tcW w:w="3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259</w:t>
            </w:r>
          </w:p>
        </w:tc>
        <w:tc>
          <w:tcPr>
            <w:tcW w:w="1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254</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505</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491</w:t>
            </w:r>
          </w:p>
        </w:tc>
        <w:tc>
          <w:tcPr>
            <w:tcW w:w="70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2,516</w:t>
            </w:r>
          </w:p>
        </w:tc>
        <w:tc>
          <w:tcPr>
            <w:tcW w:w="1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2,588</w:t>
            </w:r>
          </w:p>
        </w:tc>
        <w:tc>
          <w:tcPr>
            <w:tcW w:w="1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5,013</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5,177</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2,096</w:t>
            </w:r>
          </w:p>
        </w:tc>
        <w:tc>
          <w:tcPr>
            <w:tcW w:w="11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71 %</w:t>
            </w: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75 %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4,079</w:t>
            </w:r>
          </w:p>
        </w:tc>
        <w:tc>
          <w:tcPr>
            <w:tcW w:w="10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71 %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3,869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852</w:t>
            </w: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29 %</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692</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25 %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1,693</w:t>
            </w: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29 %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1,330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3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w:t>
            </w:r>
          </w:p>
        </w:tc>
        <w:tc>
          <w:tcPr>
            <w:tcW w:w="1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62</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70</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2,979</w:t>
            </w:r>
          </w:p>
        </w:tc>
        <w:tc>
          <w:tcPr>
            <w:tcW w:w="1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2,748</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5,834</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5,269</w:t>
            </w:r>
          </w:p>
        </w:tc>
        <w:tc>
          <w:tcPr>
            <w:tcW w:w="70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4,561</w:t>
            </w: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52 %</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4,608</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50 %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8,991</w:t>
            </w: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51 %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9,237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3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4,240</w:t>
            </w:r>
          </w:p>
        </w:tc>
        <w:tc>
          <w:tcPr>
            <w:tcW w:w="110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48 %</w:t>
            </w: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4,543</w:t>
            </w:r>
          </w:p>
        </w:tc>
        <w:tc>
          <w:tcPr>
            <w:tcW w:w="10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50 %</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8,607</w:t>
            </w:r>
          </w:p>
        </w:tc>
        <w:tc>
          <w:tcPr>
            <w:tcW w:w="10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49 %</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9,071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8,801</w:t>
            </w:r>
          </w:p>
        </w:tc>
        <w:tc>
          <w:tcPr>
            <w:tcW w:w="11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9,151</w:t>
            </w: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17,598</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18,308</w:t>
            </w:r>
          </w:p>
        </w:tc>
        <w:tc>
          <w:tcPr>
            <w:tcW w:w="70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Geographic Region</w:t>
            </w: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7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Six Months Ended June 30</w:t>
            </w:r>
          </w:p>
        </w:tc>
        <w:tc>
          <w:tcPr>
            <w:tcW w:w="700" w:type="dxa"/>
            <w:vAlign w:val="bottom"/>
            <w:tcBorders>
              <w:bottom w:val="single" w:sz="8" w:color="auto"/>
            </w:tcBorders>
          </w:tcPr>
          <w:p>
            <w:pPr>
              <w:spacing w:after="0"/>
              <w:rPr>
                <w:sz w:val="20"/>
                <w:szCs w:val="20"/>
                <w:color w:val="auto"/>
              </w:rPr>
            </w:pPr>
          </w:p>
        </w:tc>
      </w:tr>
      <w:tr>
        <w:trPr>
          <w:trHeight w:val="223"/>
        </w:trPr>
        <w:tc>
          <w:tcPr>
            <w:tcW w:w="3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700" w:type="dxa"/>
            <w:vAlign w:val="bottom"/>
            <w:tcBorders>
              <w:bottom w:val="single" w:sz="8" w:color="auto"/>
            </w:tcBorders>
          </w:tcPr>
          <w:p>
            <w:pPr>
              <w:spacing w:after="0"/>
              <w:rPr>
                <w:sz w:val="19"/>
                <w:szCs w:val="19"/>
                <w:color w:val="auto"/>
              </w:rPr>
            </w:pPr>
          </w:p>
        </w:tc>
      </w:tr>
      <w:tr>
        <w:trPr>
          <w:trHeight w:val="25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292"/>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(2)</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1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(2)</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592"/>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(2)</w:t>
            </w: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23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(2)</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87 %</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2,517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4,443</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 xml:space="preserve">86 %  </w:t>
            </w:r>
            <w:r>
              <w:rPr>
                <w:rFonts w:ascii="Times New Roman" w:cs="Times New Roman" w:eastAsia="Times New Roman" w:hAnsi="Times New Roman"/>
                <w:sz w:val="18"/>
                <w:szCs w:val="18"/>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5,064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395</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483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250</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33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3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45</w:t>
            </w: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123</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89</w:t>
            </w:r>
          </w:p>
        </w:tc>
        <w:tc>
          <w:tcPr>
            <w:tcW w:w="70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2,913</w:t>
            </w:r>
          </w:p>
        </w:tc>
        <w:tc>
          <w:tcPr>
            <w:tcW w:w="7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5,237</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5,903</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897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1,583</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72 %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1,923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228</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10 %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196</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9 %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33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197</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9 %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302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3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195</w:t>
            </w:r>
          </w:p>
        </w:tc>
        <w:tc>
          <w:tcPr>
            <w:tcW w:w="7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373</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380</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1,294</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1,427</w:t>
            </w: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2,577</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2,989</w:t>
            </w:r>
          </w:p>
        </w:tc>
        <w:tc>
          <w:tcPr>
            <w:tcW w:w="70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1,915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3,660</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81 %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3,765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276</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258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242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444</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10 %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511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33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128</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3 %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3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254</w:t>
            </w: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505</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491</w:t>
            </w:r>
          </w:p>
        </w:tc>
        <w:tc>
          <w:tcPr>
            <w:tcW w:w="70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2,516</w:t>
            </w: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2,588</w:t>
            </w:r>
          </w:p>
        </w:tc>
        <w:tc>
          <w:tcPr>
            <w:tcW w:w="7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5,013</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5,177</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2,614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5,616</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97 %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4,990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53</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96</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33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62</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70</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2,979</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2,748</w:t>
            </w: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5,834</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5,269</w:t>
            </w:r>
          </w:p>
        </w:tc>
        <w:tc>
          <w:tcPr>
            <w:tcW w:w="70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7,646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7,943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15,302</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87 %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15,742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441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952</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999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537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986</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1,070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330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358</w:t>
            </w:r>
          </w:p>
        </w:tc>
        <w:tc>
          <w:tcPr>
            <w:tcW w:w="10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2 %</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497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8,801</w:t>
            </w:r>
          </w:p>
        </w:tc>
        <w:tc>
          <w:tcPr>
            <w:tcW w:w="1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9,151</w:t>
            </w:r>
          </w:p>
        </w:tc>
        <w:tc>
          <w:tcPr>
            <w:tcW w:w="7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17,598</w:t>
            </w: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18,308</w:t>
            </w:r>
          </w:p>
        </w:tc>
        <w:tc>
          <w:tcPr>
            <w:tcW w:w="70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All other is principally comprised of the Middle East.</w:t>
      </w:r>
    </w:p>
    <w:p>
      <w:pPr>
        <w:spacing w:after="0" w:line="70" w:lineRule="exact"/>
        <w:rPr>
          <w:rFonts w:ascii="Times New Roman" w:cs="Times New Roman" w:eastAsia="Times New Roman" w:hAnsi="Times New Roman"/>
          <w:sz w:val="19"/>
          <w:szCs w:val="19"/>
          <w:color w:val="auto"/>
          <w:vertAlign w:val="superscript"/>
        </w:rPr>
      </w:pPr>
    </w:p>
    <w:p>
      <w:pPr>
        <w:ind w:left="160" w:hanging="152"/>
        <w:spacing w:after="0" w:line="233" w:lineRule="auto"/>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Review of Interim Financial Information</w:t>
      </w:r>
    </w:p>
    <w:p>
      <w:pPr>
        <w:spacing w:after="0" w:line="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reviewed the accompanying condensed consolidated statement of financial position of Northrop Grumman Corporation and subsidiaries (the “Company”) as of June 30, 2022, and the related condensed consolidated statements of earnings and comprehensive income and changes in shareholders’ equity for the three-month and six-month periods ended June 30, 2022 and 2021, and of cash flows for the six-month periods ended June 30, 2022 and 2021 and the related notes (collectively referred to as the “interim financial information”). Based on our review, we are not aware of any material modifications that should be made to the accompanying interim financial information for it to be in conformity with accounting principles generally accepted in the United States of America.</w:t>
      </w:r>
    </w:p>
    <w:p>
      <w:pPr>
        <w:spacing w:after="0" w:line="6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statement of financial position of Northrop Grumman Corporation and subsidiaries as of December 31, 2021, and the related consolidated statements of earnings and comprehensive income, changes in shareholders’ equity, and cash flows for the year then ended (not presented herein); and in our report dated January 26, 2022, we expressed an unqualified opinion on those consolidated financial statements. In our opinion, the information set forth in the accompanying condensed consolidated statement of financial position as of December 31, 2021, is fairly stated, in all material respects, in relation to the audited consolidated statement of financial position from which it has been derived.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ectPr>
          <w:pgSz w:w="11900" w:h="16838" w:orient="portrait"/>
          <w:cols w:equalWidth="0" w:num="1">
            <w:col w:w="11220"/>
          </w:cols>
          <w:pgMar w:left="320" w:top="1089" w:right="35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Deloitte &amp; Touche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27, 2022</w:t>
      </w:r>
    </w:p>
    <w:p>
      <w:pPr>
        <w:spacing w:after="0" w:line="200" w:lineRule="exact"/>
        <w:rPr>
          <w:sz w:val="20"/>
          <w:szCs w:val="20"/>
          <w:color w:val="auto"/>
        </w:rPr>
      </w:pPr>
    </w:p>
    <w:p>
      <w:pPr>
        <w:sectPr>
          <w:pgSz w:w="11900" w:h="16838" w:orient="portrait"/>
          <w:cols w:equalWidth="0" w:num="2">
            <w:col w:w="200" w:space="540"/>
            <w:col w:w="10480"/>
          </w:cols>
          <w:pgMar w:left="320" w:top="108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ind w:right="3680"/>
        <w:spacing w:after="0" w:line="31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spacing w:after="0" w:line="253" w:lineRule="auto"/>
        <w:rPr>
          <w:sz w:val="20"/>
          <w:szCs w:val="20"/>
          <w:color w:val="auto"/>
        </w:rPr>
      </w:pPr>
      <w:r>
        <w:rPr>
          <w:rFonts w:ascii="Times New Roman" w:cs="Times New Roman" w:eastAsia="Times New Roman" w:hAnsi="Times New Roman"/>
          <w:sz w:val="18"/>
          <w:szCs w:val="18"/>
          <w:color w:val="auto"/>
        </w:rPr>
        <w:t>Northrop Grumman Corporation (herein referred to as “Northrop Grumman,” the “company,” “we,” “us,” or “our”) is a leading global aerospace and defense company. We deliver a broad range of products, services and solutions to United States (U.S.) and international customers, and principally to the U.S Department of Defense (DoD) and intelligence community. Our broad portfolio is aligned to support national security priorities and our solutions equip our customers with capabilities they need to connect, protect and advance humanity.</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is a leading provider of space systems, advanced aircraft, missile defense, advanced weapons and long-range fires capabilities, mission systems, networking and communications, strategic deterrence systems, and breakthrough technologies, such as artificial intelligence, advanced computing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spacing w:after="0" w:line="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along with the financial statements included in this Form 10-Q, as well as our 2021 Annual Report on Form 10-K, which provides additional information on our business and the environment in which we operate and our operating results.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of IT and Mission Support Services Business</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Effective January 30, 2021 (the “Divestiture date”), we completed the sale of our IT and mission support services business (the “IT services divestiture”) for $3.4 billion in cash and recorded a pre-tax gain of $2.0 billion. The IT and mission support services business was comprised of the majority of the former IS&amp;S division of Defense Systems (excluding the Vinnell Arabia business); select cyber, intelligence and missions support programs, which were part of the former CIMS division of Mission Systems; and the former Space Technical Services business unit of Space Systems. Operating results include sales and operating income for the IT and mission support services business prior to the Divestiture date.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March 2020, the World Health Organization characterized COVID-19 as a global pandemic, and the President declared a national emergency concerning the COVID-19 outbreak. In the more than two years since then, the pandemic (including the first and subsequent variants of COVID-19) has dramatically impacted the global health and economic environment, including millions of confirmed cases and deaths, business slowdowns or shutdowns, labor shortfalls, supply chain challenges, regulatory challenges, and market volatility. We discussed in some detail in our Annual Report on Form 10-K for the fiscal years ended December 31, 2020 and 2021, as well as interim Form 10-Qs, the pandemic, its impacts and risks, and actions taken up to the time of each filing. In this Form 10-Q, we provide a further update.</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a macro level, the number of hospitalizations and deaths, in the U.S. in particular, have generally eased in 2022, as more people are fully vaccinated, and communities have continued to open up. It, of course, remains unclear whether that trajectory will continue, but there is some reason for optimism. The company continues to work to monitor and address the pandemic and related developments, including the impact on our company, our employees, our customers, our suppliers and our communities. Our goals have been, and continue to be, to lessen the potential adverse impacts, both health and economic, and to continue to position the company for long-term success. Like the communities in which we operate, our actions have varied, and will continue to vary, depending on the spread of COVID-19 and applicable government requirements, and the needs of our stakeholders.</w:t>
      </w:r>
    </w:p>
    <w:p>
      <w:pPr>
        <w:spacing w:after="0" w:line="6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second quarter of 2022, COVID-19 case rates and the health and economic impacts of the pandemic fluctuated in different communities in the U.S. and globally, particularly with the spread of new variants. We continued to see a prolonged impact on the economy, our industry, and our company, with ongoing labor shortages, supply chain challenges, and inflation, among other impacts. Although direct COVID-19-related impacts on our business generally declined this quarter, including in the areas of employee absenteeism and leave-taking, the company’s second quarter 2022 revenue and operating income were reduced by the broader macroeconomic environment, including a tight labor market and extended material lead times, which we expect to continue. While we cannot predict the future course of the pandemic, we are not currently assuming significant additional direct COVID-19-related impacts on our 2022 financial results.</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further information on the pandemic and the potential impact to the company of COVID-19, see “Management’s Discussion and Analysis of Financial Condition and Results of Operations” and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below and “Risk Factors” and “Management’s Discussion and Analysis of Financial Condition and Results of Operations” in our 2021 Annual Report on Form 10-K.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Security and Economic Environment</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U.S. and its allies continue to face a global security environment of heightened tensions and instability, threats from state and non-state actors, including major global powers, as well as terrorist organizations, emerging nuclear tensions, diverse regional security concerns and political instability. The conflict in Ukraine has increased those tensions and instability, and highlighted threats, as well as disrupted supply chains and added costs. The market for defense products, services and solutions globally is driven by these complex and evolving security challenges, considered in the broader context of political and socioeconomic circumstances and priorities.</w:t>
      </w:r>
    </w:p>
    <w:p>
      <w:pPr>
        <w:spacing w:after="0" w:line="5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Our operations and financial performance, as well as demand for our products and services, are impacted by global events, including violence and unrest. The same is true for our suppliers and other business partners. We continue to experience an increased demand for certain of our goods and services related to the conflict in the Ukraine, in particular, but we have not seen a significant increase to date. We also continue to experience modest disruption to some of our programs and supply chain, including with unanticipated cost growth, as a result of the conflict, particularly with respect to our Commercial Resupply Services contract. We do not have sizable business dealings in Russia or Ukraine, and do not anticipate significant adverse impacts. We are actively monitoring the situation and exploring both opportunities and risks, including measures to mitigate the risk of future disruption and costs to our programs.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global geopolitical and economic environments also continue to be impacted by uncertainty and stress, and global inflationary pressures. Geopolitical relationships have changed and are continuing to change. Global economic growth is expected to remain in the low single digits in 2022, reflecting, among other things, the continued impact of and uncertainty surrounding geopolitical tensions globally, financial market volatility, inflation and the COVID-19 pandemic. We expect still further impacts related to the conflict in Ukraine and economic sanctions imposed on Russia. The global economy may also be affected by the residual legal, regulatory and economic impacts of Britain’s exit from the European Union. Rising inflation has led to higher costs of various commodities and supplier products. Increased interest rates, raising the cost of borrowing for the federal government, could impact other spending priorities. Economic tensions and changes in international trade policies, including higher tariffs on imported goods and materials and renegotiation of free trade agreements, could also impact the global market for defense products, services and solutions.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Political and Economic Environment</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On March 15, 2022, the President signed into law the Consolidated Appropriations Act for FY 2022, which provides full-year funding through September 30, including $782 billion for national defense. This represents nearly $30 billion more than the Administration initially requested for FY 2022, and approximately 6 percent, or $42 billion higher than it was in FY 2021. The Pentagon’s portion of the overall national defense budget is $743 billion. In March 2022, Congress also approved $14 billion in emergency aid to support security, economic, and humanitarian assistance for Ukraine and Central European partners. An additional $40 billion in emergency supplemental appropriations was approved by Congress in May 2022. Current and future spending in connection with the conflict in Ukraine and other priorities, global inflation, the national debt and the costs of the pandemic, among other things, will continue to impact our customers’ budgets and priorities, and our industry. We expect the government, our customers and our industry will also continue to face challenges from the macroeconomic environment, including a tight labor market and supply chain disruptions.</w:t>
      </w:r>
    </w:p>
    <w:p>
      <w:pPr>
        <w:spacing w:after="0" w:line="5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Administration’s current budget for FY 2023 proposes $813 billion for national defense programs, and the Pentagon’s portion of the overall defense budget is $773 billion. On July 18, 2022, the Senate Armed Services Committee released its annual defense bill, which authorizes $847 billion in defense spending, an increase over the Administration’s budget request. It is difficult to predict the specific course of future defense budgets. However, we believe the ongoing conflict in Ukraine has highlighted some of the national security threats to our nation and our allies, and the need for strong deterrence and a robust defense capability, as well as impacting our political and economic environment. More generally, the threat to U.S. national security remains very substantial and we believe that our capabilities, particularly in space, missiles, missile defense, hypersonics, counter-hypersonics, survivable aircraft and mission systems should help our customers defend against current and future threats and, as a result, continue to allow for long-term profitable business growth.</w:t>
      </w:r>
    </w:p>
    <w:p>
      <w:pPr>
        <w:spacing w:after="0" w:line="7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Bipartisan Budget Act of 2019 suspended the debt ceiling through July 31, 2021. In October 2021, the statutory debt limit was increased by $480 billion and, in December 2021, was further increased by $2.5 trillion, which is currently expected to allow the Treasury Department to finance the government into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political environment, federal budget and debt ceiling are expected to continue to be the subject of considerable debate, especially in light of the ongoing conflict in Ukraine and the inflationary environment, which could have material impacts on defense spending broadly and the company’s programs in particular.</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further information on the risks we face from the current political and economic environment, see “Risk Factors” in our 2021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purposes of the operating results discussion below, we assess our performance using certain financial measures that are not calculated in accordance with GAAP. Organic sales is defined as total sales excluding sales attributable to the company's IT services divestiture. This measure may be useful to investors and other users of our financial statements as a supplemental measure in evaluating the company’s underlying sales growth as well as in providing an understanding of our ongoing business and future sales trends by presenting the company’s sales before the impact of divestiture activity.</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Transaction-adjusted net earnings and transaction-adjusted earnings per share (transaction-adjusted EPS) exclude impacts related to the IT services divestiture, including the gain on sale of the business, associated federal and state income tax expenses, transaction costs, and the make-whole premium for early debt redemption. They also exclude the impact of mark-to-market pension and OPB (“MTM”) benefit/(expense) and related tax impacts, which are generally only recognized during the fourth quarter. These non-GAAP measures may be useful to investors and other users of our financial statements as supplemental measures in evaluating the company’s underlying financial performance by presenting the company’s operating results before the non-operational impact of divestiture activity and pension and OPB actuarial gains and losses. These measures are also consistent with how management views the underlying performance of the business as the impact of the IT services divestiture and MTM accounting are not considered in management’s assessment of the company’s operating performance or in its determination of incentive compensation awards.</w:t>
      </w:r>
    </w:p>
    <w:p>
      <w:pPr>
        <w:spacing w:after="0" w:line="7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reconcile these non-GAAP financial measures to their most directly comparable GAAP financial measures below. These non-GAAP measures may not be defined and calculated by other companies in the same manner and should not be considered in isolation or as an alternative to operating results presented in accordance with GAAP.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highlights are presented in the table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8,801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9,151</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17,598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18,308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7,847</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8,107</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15,747</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29"/>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costs and expenses as a % of sales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89.2 %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88.6 %</w:t>
            </w:r>
          </w:p>
        </w:tc>
        <w:tc>
          <w:tcPr>
            <w:tcW w:w="13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89.5 %</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89.7 %</w:t>
            </w:r>
          </w:p>
        </w:tc>
        <w:tc>
          <w:tcPr>
            <w:tcW w:w="1180" w:type="dxa"/>
            <w:vAlign w:val="bottom"/>
            <w:tcBorders>
              <w:bottom w:val="single" w:sz="8" w:color="auto"/>
            </w:tcBorders>
            <w:shd w:val="clear" w:color="auto" w:fill="CCEEFF"/>
          </w:tcPr>
          <w:p>
            <w:pPr>
              <w:spacing w:after="0"/>
              <w:rPr>
                <w:sz w:val="19"/>
                <w:szCs w:val="19"/>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1,980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954</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1,044</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1,851</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29"/>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10.8 %</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11.4 %</w:t>
            </w:r>
          </w:p>
        </w:tc>
        <w:tc>
          <w:tcPr>
            <w:tcW w:w="1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10.5 %</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21.1 %</w:t>
            </w:r>
          </w:p>
        </w:tc>
        <w:tc>
          <w:tcPr>
            <w:tcW w:w="1180" w:type="dxa"/>
            <w:vAlign w:val="bottom"/>
            <w:tcBorders>
              <w:bottom w:val="single" w:sz="8" w:color="auto"/>
            </w:tcBorders>
          </w:tcPr>
          <w:p>
            <w:pPr>
              <w:spacing w:after="0"/>
              <w:rPr>
                <w:sz w:val="19"/>
                <w:szCs w:val="19"/>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204</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265</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393</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r>
      <w:tr>
        <w:trPr>
          <w:trHeight w:val="229"/>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17.7 %</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20.4 %</w:t>
            </w:r>
          </w:p>
        </w:tc>
        <w:tc>
          <w:tcPr>
            <w:tcW w:w="1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17.1 %</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25.2 %</w:t>
            </w:r>
          </w:p>
        </w:tc>
        <w:tc>
          <w:tcPr>
            <w:tcW w:w="1180" w:type="dxa"/>
            <w:vAlign w:val="bottom"/>
            <w:tcBorders>
              <w:bottom w:val="single" w:sz="8" w:color="auto"/>
            </w:tcBorders>
          </w:tcPr>
          <w:p>
            <w:pPr>
              <w:spacing w:after="0"/>
              <w:rPr>
                <w:sz w:val="19"/>
                <w:szCs w:val="19"/>
                <w:color w:val="auto"/>
              </w:rPr>
            </w:pPr>
          </w:p>
        </w:tc>
      </w:tr>
      <w:tr>
        <w:trPr>
          <w:trHeight w:val="223"/>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946</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1,037</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1,901</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3,232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30"/>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6.06</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6.42</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12.16</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19.89</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The table below reconciles sales to organic sales for the six months ended June 30, 2022. Sales for the three months ended June 30, 2022 and 2021 were not impacted by the sale of the company's IT services business: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Pr>
          <w:p>
            <w:pPr>
              <w:spacing w:after="0"/>
              <w:rPr>
                <w:sz w:val="15"/>
                <w:szCs w:val="15"/>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tcPr>
          <w:p>
            <w:pPr>
              <w:spacing w:after="0"/>
              <w:rPr>
                <w:sz w:val="15"/>
                <w:szCs w:val="15"/>
                <w:color w:val="auto"/>
              </w:rPr>
            </w:pPr>
          </w:p>
        </w:tc>
        <w:tc>
          <w:tcPr>
            <w:tcW w:w="12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IT services</w:t>
            </w:r>
          </w:p>
        </w:tc>
        <w:tc>
          <w:tcPr>
            <w:tcW w:w="1120" w:type="dxa"/>
            <w:vAlign w:val="bottom"/>
          </w:tcPr>
          <w:p>
            <w:pPr>
              <w:jc w:val="center"/>
              <w:ind w:right="130"/>
              <w:spacing w:after="0" w:line="174" w:lineRule="exact"/>
              <w:rPr>
                <w:sz w:val="20"/>
                <w:szCs w:val="20"/>
                <w:color w:val="auto"/>
              </w:rPr>
            </w:pPr>
            <w:r>
              <w:rPr>
                <w:rFonts w:ascii="Times New Roman" w:cs="Times New Roman" w:eastAsia="Times New Roman" w:hAnsi="Times New Roman"/>
                <w:sz w:val="18"/>
                <w:szCs w:val="18"/>
                <w:b w:val="1"/>
                <w:bCs w:val="1"/>
                <w:color w:val="auto"/>
                <w:w w:val="98"/>
              </w:rPr>
              <w:t>Organic</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70"/>
              <w:spacing w:after="0" w:line="174" w:lineRule="exact"/>
              <w:rPr>
                <w:sz w:val="20"/>
                <w:szCs w:val="20"/>
                <w:color w:val="auto"/>
              </w:rPr>
            </w:pPr>
            <w:r>
              <w:rPr>
                <w:rFonts w:ascii="Times New Roman" w:cs="Times New Roman" w:eastAsia="Times New Roman" w:hAnsi="Times New Roman"/>
                <w:sz w:val="18"/>
                <w:szCs w:val="18"/>
                <w:color w:val="auto"/>
              </w:rPr>
              <w:t>IT services</w:t>
            </w:r>
          </w:p>
        </w:tc>
        <w:tc>
          <w:tcPr>
            <w:tcW w:w="200" w:type="dxa"/>
            <w:vAlign w:val="bottom"/>
          </w:tcPr>
          <w:p>
            <w:pPr>
              <w:spacing w:after="0"/>
              <w:rPr>
                <w:sz w:val="15"/>
                <w:szCs w:val="15"/>
                <w:color w:val="auto"/>
              </w:rPr>
            </w:pPr>
          </w:p>
        </w:tc>
        <w:tc>
          <w:tcPr>
            <w:tcW w:w="940" w:type="dxa"/>
            <w:vAlign w:val="bottom"/>
          </w:tcPr>
          <w:p>
            <w:pPr>
              <w:jc w:val="right"/>
              <w:ind w:right="190"/>
              <w:spacing w:after="0" w:line="174" w:lineRule="exact"/>
              <w:rPr>
                <w:sz w:val="20"/>
                <w:szCs w:val="20"/>
                <w:color w:val="auto"/>
              </w:rPr>
            </w:pPr>
            <w:r>
              <w:rPr>
                <w:rFonts w:ascii="Times New Roman" w:cs="Times New Roman" w:eastAsia="Times New Roman" w:hAnsi="Times New Roman"/>
                <w:sz w:val="18"/>
                <w:szCs w:val="18"/>
                <w:color w:val="auto"/>
              </w:rPr>
              <w:t>Organic</w:t>
            </w:r>
          </w:p>
        </w:tc>
        <w:tc>
          <w:tcPr>
            <w:tcW w:w="144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Organic sales %</w:t>
            </w:r>
          </w:p>
        </w:tc>
        <w:tc>
          <w:tcPr>
            <w:tcW w:w="0" w:type="dxa"/>
            <w:vAlign w:val="bottom"/>
          </w:tcPr>
          <w:p>
            <w:pPr>
              <w:spacing w:after="0"/>
              <w:rPr>
                <w:sz w:val="1"/>
                <w:szCs w:val="1"/>
                <w:color w:val="auto"/>
              </w:rPr>
            </w:pPr>
          </w:p>
        </w:tc>
      </w:tr>
      <w:tr>
        <w:trPr>
          <w:trHeight w:val="238"/>
        </w:trPr>
        <w:tc>
          <w:tcPr>
            <w:tcW w:w="26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sales</w:t>
            </w:r>
          </w:p>
        </w:tc>
        <w:tc>
          <w:tcPr>
            <w:tcW w:w="14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29"/>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2,577</w:t>
            </w:r>
          </w:p>
        </w:tc>
        <w:tc>
          <w:tcPr>
            <w:tcW w:w="120" w:type="dxa"/>
            <w:vAlign w:val="bottom"/>
          </w:tcPr>
          <w:p>
            <w:pPr>
              <w:spacing w:after="0"/>
              <w:rPr>
                <w:sz w:val="19"/>
                <w:szCs w:val="19"/>
                <w:color w:val="auto"/>
              </w:rPr>
            </w:pPr>
          </w:p>
        </w:tc>
        <w:tc>
          <w:tcPr>
            <w:tcW w:w="12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30"/>
        </w:trPr>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5,834</w:t>
            </w:r>
          </w:p>
        </w:tc>
        <w:tc>
          <w:tcPr>
            <w:tcW w:w="120" w:type="dxa"/>
            <w:vAlign w:val="bottom"/>
          </w:tcPr>
          <w:p>
            <w:pPr>
              <w:spacing w:after="0"/>
              <w:rPr>
                <w:sz w:val="19"/>
                <w:szCs w:val="19"/>
                <w:color w:val="auto"/>
              </w:rPr>
            </w:pPr>
          </w:p>
        </w:tc>
        <w:tc>
          <w:tcPr>
            <w:tcW w:w="12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0" w:type="dxa"/>
            <w:vAlign w:val="bottom"/>
          </w:tcPr>
          <w:p>
            <w:pPr>
              <w:spacing w:after="0"/>
              <w:rPr>
                <w:sz w:val="1"/>
                <w:szCs w:val="1"/>
                <w:color w:val="auto"/>
              </w:rPr>
            </w:pPr>
          </w:p>
        </w:tc>
      </w:tr>
      <w:tr>
        <w:trPr>
          <w:trHeight w:val="229"/>
        </w:trPr>
        <w:tc>
          <w:tcPr>
            <w:tcW w:w="26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17,598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 $</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17,598</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Second quarter 2022 sales decreased $350 million due to lower sales at Aeronautics Systems, Defense Systems and Mission Systems, partially offset by 8 percent growth at Space Systems. Second quarter 2022 sales reflect continued headwinds from the macroeconomic environment, including a tight labor market and extended material lead times, which are affecting the timing of sales.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Year to date 2022 sales decreased $710 million due, in part, to a $162 million reduction in sales related to the IT services divestiture. Year to date 2022 organic sales decreased $548 million, or 3 percent, primarily due to lower sales at Aeronautics Systems and Defense Systems, partially offset by 11 percent growth at Space Systems.</w:t>
      </w:r>
    </w:p>
    <w:p>
      <w:pPr>
        <w:spacing w:after="0" w:line="64" w:lineRule="exact"/>
        <w:rPr>
          <w:sz w:val="20"/>
          <w:szCs w:val="20"/>
          <w:color w:val="auto"/>
        </w:rPr>
      </w:pPr>
    </w:p>
    <w:p>
      <w:pPr>
        <w:jc w:val="both"/>
        <w:ind w:right="100"/>
        <w:spacing w:after="0" w:line="312" w:lineRule="auto"/>
        <w:rPr>
          <w:sz w:val="20"/>
          <w:szCs w:val="20"/>
          <w:color w:val="auto"/>
        </w:rPr>
      </w:pPr>
      <w:r>
        <w:rPr>
          <w:rFonts w:ascii="Times New Roman" w:cs="Times New Roman" w:eastAsia="Times New Roman" w:hAnsi="Times New Roman"/>
          <w:sz w:val="17"/>
          <w:szCs w:val="17"/>
          <w:color w:val="auto"/>
        </w:rPr>
        <w:t>See “Segment Operating Results” below for further information by segment and “Product and Service Analysis” for product and service detail. See Note 9 to the financial statements for information regarding the company’s sales by customer type, contract type and geographic region for each of our segments.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Margin Rate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Second quarter 2022 operating income decreased $90 million, or 9 percent, primarily due to a $69 million reduction in the FAS/CAS operating adjustment and lower sales. Second quarter 2022 operating margin rate declined to 10.8 percent due to the lower FAS/CAS operating adjustment, partially offset by lower unallocated corporate expense.</w:t>
      </w:r>
    </w:p>
    <w:p>
      <w:pPr>
        <w:spacing w:after="0" w:line="5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Second quarter 2022 general and administrative (G&amp;A) costs as a percentage of sales increased to 11.4 percent from 10.9 percent in the prior year period primarily due to an increase in investments for future business opportunities.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Year to date 2022 operating income decreased $2.0 billion, or 52 percent, primarily due to a $2.0 billion pre-tax gain on sale and $192 million of unallocated corporate expenses recognized in the prior year associated with the IT services divestiture. Operating income also decreased due to a $134 million reduction in the FAS/CAS operating adjustment and lower sales. Year to date 2022 operating margin rate declined to 10.5 percent, largely due to the prior year gain on sale of the IT services business.</w:t>
      </w:r>
    </w:p>
    <w:p>
      <w:pPr>
        <w:spacing w:after="0" w:line="6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Year to date 2022 G&amp;A costs as a percentage of sales increased to 11.3 percent from 10.4 percent in the prior year period primarily due to an increase in investments for future business opportunities.</w:t>
      </w:r>
    </w:p>
    <w:p>
      <w:pPr>
        <w:spacing w:after="0" w:line="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For information regarding product and service operating costs and expenses, see “Product and Service Analysis” below.</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Foreign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second quarter 2022 ETR decreased to 17.7 percent from 20.4 percent in the prior year period. The second quarter 2021 ETR was impacted by a change made in tax revenue recognition on certain long term contracts, which increased taxable income in years prior to the 2017 Tax Cuts and Jobs Act at a rate above the current statutory rate.See Note 3 to the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year to date 2022 ETR decreased to 17.1 percent from 25.2 percent in the prior year period. The year to date 2021 ETR was impacted by additional federal income taxes resulting from the IT services divestiture, as well as the change in tax revenue recognition on certain contracts described above. See Note 3 to the financial statements for additional information.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net earnings to transaction-adjusted net earnings: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3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2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946</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1,037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1,901</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3,232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29"/>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1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(1,980)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30"/>
        </w:trPr>
        <w:tc>
          <w:tcPr>
            <w:tcW w:w="41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State tax impact</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29"/>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2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1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2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Make-whole premium</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30"/>
        </w:trPr>
        <w:tc>
          <w:tcPr>
            <w:tcW w:w="412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Federal tax impact of items above</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614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23"/>
        </w:trPr>
        <w:tc>
          <w:tcPr>
            <w:tcW w:w="4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adjustment, net of tax</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NM $</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(1,120)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30"/>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Transaction-adjusted net earnings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946</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1,037</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1,901</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2,112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bl>
    <w:p>
      <w:pPr>
        <w:spacing w:after="0" w:line="154"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5"/>
          <w:szCs w:val="15"/>
          <w:color w:val="auto"/>
        </w:rPr>
        <w:t>The state tax impact includes $62 million of incremental tax expense related to $1.2 billion of nondeductible goodwill in the divested business.</w:t>
      </w:r>
    </w:p>
    <w:p>
      <w:pPr>
        <w:spacing w:after="0" w:line="70" w:lineRule="exact"/>
        <w:rPr>
          <w:rFonts w:ascii="Times New Roman" w:cs="Times New Roman" w:eastAsia="Times New Roman" w:hAnsi="Times New Roman"/>
          <w:sz w:val="19"/>
          <w:szCs w:val="19"/>
          <w:b w:val="1"/>
          <w:bCs w:val="1"/>
          <w:color w:val="auto"/>
          <w:vertAlign w:val="superscript"/>
        </w:rPr>
      </w:pPr>
    </w:p>
    <w:p>
      <w:pPr>
        <w:ind w:left="180" w:right="120" w:hanging="172"/>
        <w:spacing w:after="0" w:line="231" w:lineRule="auto"/>
        <w:tabs>
          <w:tab w:leader="none" w:pos="168" w:val="left"/>
        </w:tabs>
        <w:numPr>
          <w:ilvl w:val="0"/>
          <w:numId w:val="9"/>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5"/>
          <w:szCs w:val="15"/>
          <w:color w:val="auto"/>
        </w:rPr>
        <w:t>The federal tax impact was calculated by applying the 21 percent federal statutory rate to the adjustment items and also includes $250 million of incremental tax expense related to $1.2 billion of nondeductible goodwill in the divested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29"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color w:val="auto"/>
        </w:rPr>
        <w:t>Second quarter 2022 net earnings decreased $91 million, or 9 percent, primarily due to the lower operating income described above and $60 million of lower returns on marketable securities related to our non-qualified benefit plans and other non-operating assets, partially offset by a lower effective tax rate.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to date 2022 net earnings decreased $1.3 billion, or 41 percent, primarily due to a $1.1 billion after-tax decline associated with the IT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divestiture. Transaction-adjusted net earnings decreased $211 million, or 10 percent, primarily due to the lower operating income described above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 million of lower returns on marketable securities related to our non-qualified benefit plans and other non-operating assets, partially offset by a lower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tax rate.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diluted earnings per share to transaction-adjusted EPS: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June</w:t>
            </w:r>
          </w:p>
        </w:tc>
        <w:tc>
          <w:tcPr>
            <w:tcW w:w="11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840" w:type="dxa"/>
            <w:vAlign w:val="bottom"/>
            <w:tcBorders>
              <w:bottom w:val="single" w:sz="8" w:color="auto"/>
            </w:tcBorders>
          </w:tcPr>
          <w:p>
            <w:pPr>
              <w:spacing w:after="0"/>
              <w:rPr>
                <w:sz w:val="21"/>
                <w:szCs w:val="21"/>
                <w:color w:val="auto"/>
              </w:rPr>
            </w:pPr>
          </w:p>
        </w:tc>
        <w:tc>
          <w:tcPr>
            <w:tcW w:w="1120" w:type="dxa"/>
            <w:vAlign w:val="bottom"/>
            <w:vMerge w:val="continue"/>
          </w:tcPr>
          <w:p>
            <w:pPr>
              <w:spacing w:after="0"/>
              <w:rPr>
                <w:sz w:val="21"/>
                <w:szCs w:val="21"/>
                <w:color w:val="auto"/>
              </w:rPr>
            </w:pPr>
          </w:p>
        </w:tc>
        <w:tc>
          <w:tcPr>
            <w:tcW w:w="2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Six Months Ended June 30</w:t>
            </w: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6.42</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 $</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12.16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19.89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business per share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20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State tax impact per share</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0.98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 per share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20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0.20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Make-whole premium per share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0.33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Federal tax impact of line items above per share</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3.78</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adjustment per share, net of tax</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NM $</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Transaction-adjusted EPS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6.42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12.16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13.00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5"/>
          <w:szCs w:val="15"/>
          <w:color w:val="auto"/>
        </w:rPr>
        <w:t>The state tax impact includes $62 million of incremental tax expense related to $1.2 billion of nondeductible goodwill in the divested business.</w:t>
      </w:r>
    </w:p>
    <w:p>
      <w:pPr>
        <w:spacing w:after="0" w:line="200" w:lineRule="exact"/>
        <w:rPr>
          <w:rFonts w:ascii="Times New Roman" w:cs="Times New Roman" w:eastAsia="Times New Roman" w:hAnsi="Times New Roman"/>
          <w:sz w:val="19"/>
          <w:szCs w:val="19"/>
          <w:b w:val="1"/>
          <w:bCs w:val="1"/>
          <w:color w:val="auto"/>
          <w:vertAlign w:val="superscript"/>
        </w:rPr>
      </w:pPr>
    </w:p>
    <w:p>
      <w:pPr>
        <w:spacing w:after="0" w:line="200" w:lineRule="exact"/>
        <w:rPr>
          <w:rFonts w:ascii="Times New Roman" w:cs="Times New Roman" w:eastAsia="Times New Roman" w:hAnsi="Times New Roman"/>
          <w:sz w:val="19"/>
          <w:szCs w:val="19"/>
          <w:b w:val="1"/>
          <w:bCs w:val="1"/>
          <w:color w:val="auto"/>
          <w:vertAlign w:val="superscript"/>
        </w:rPr>
      </w:pPr>
    </w:p>
    <w:p>
      <w:pPr>
        <w:spacing w:after="0" w:line="200" w:lineRule="exact"/>
        <w:rPr>
          <w:rFonts w:ascii="Times New Roman" w:cs="Times New Roman" w:eastAsia="Times New Roman" w:hAnsi="Times New Roman"/>
          <w:sz w:val="19"/>
          <w:szCs w:val="19"/>
          <w:b w:val="1"/>
          <w:bCs w:val="1"/>
          <w:color w:val="auto"/>
          <w:vertAlign w:val="superscript"/>
        </w:rPr>
      </w:pPr>
    </w:p>
    <w:p>
      <w:pPr>
        <w:spacing w:after="0" w:line="224" w:lineRule="exact"/>
        <w:rPr>
          <w:rFonts w:ascii="Times New Roman" w:cs="Times New Roman" w:eastAsia="Times New Roman" w:hAnsi="Times New Roman"/>
          <w:sz w:val="19"/>
          <w:szCs w:val="19"/>
          <w:b w:val="1"/>
          <w:bCs w:val="1"/>
          <w:color w:val="auto"/>
          <w:vertAlign w:val="superscript"/>
        </w:rPr>
      </w:pPr>
    </w:p>
    <w:p>
      <w:pPr>
        <w:ind w:left="5480"/>
        <w:spacing w:after="0"/>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2" w:lineRule="exact"/>
        <w:rPr>
          <w:sz w:val="20"/>
          <w:szCs w:val="20"/>
          <w:color w:val="auto"/>
        </w:rPr>
      </w:pPr>
    </w:p>
    <w:p>
      <w:pPr>
        <w:ind w:left="180" w:right="100" w:hanging="172"/>
        <w:spacing w:after="0" w:line="238" w:lineRule="auto"/>
        <w:tabs>
          <w:tab w:leader="none" w:pos="168" w:val="left"/>
        </w:tabs>
        <w:numPr>
          <w:ilvl w:val="0"/>
          <w:numId w:val="11"/>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5"/>
          <w:szCs w:val="15"/>
          <w:color w:val="auto"/>
        </w:rPr>
        <w:t>The federal tax impact was calculated by applying the 21 percent federal statutory rate to the adjustment items and also includes $250 million of incremental tax expense related to $1.2 billion of nondeductible goodwill in the divested business.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2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Second quarter 2022 diluted earnings per share decreased 6 percent, reflecting a 9 percent decrease in net earnings and a 3 percent reduction in weighted-average diluted shares outstanding.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Year to date 2022 diluted earnings per share decreased 39 percent, principally due to a $6.89 after-tax decrease associated with the IT services divestiture. Transaction-adjusted earnings per share decreased $0.84, or 6 percent, reflecting a 10 percent decrease in transaction-adjusted net earnings and a 4 percent reduction in weighted-average diluted shares outstanding.</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company is aligned in four operating sectors, which also comprise our reportable segments: Aeronautics Systems, Defense Systems, Mission Systems and Space Systems. We present our sectors in the following business areas, which are reported in a manner reflecting core capabilities: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8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Mission Systems</w:t>
            </w: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Space Systems</w:t>
            </w:r>
          </w:p>
        </w:tc>
      </w:tr>
      <w:tr>
        <w:trPr>
          <w:trHeight w:val="178"/>
        </w:trPr>
        <w:tc>
          <w:tcPr>
            <w:tcW w:w="2620" w:type="dxa"/>
            <w:vAlign w:val="bottom"/>
            <w:shd w:val="clear" w:color="auto" w:fill="CCEEFF"/>
          </w:tcPr>
          <w:p>
            <w:pPr>
              <w:spacing w:after="0"/>
              <w:rPr>
                <w:sz w:val="15"/>
                <w:szCs w:val="15"/>
                <w:color w:val="auto"/>
              </w:rPr>
            </w:pPr>
          </w:p>
        </w:tc>
        <w:tc>
          <w:tcPr>
            <w:tcW w:w="2880" w:type="dxa"/>
            <w:vAlign w:val="bottom"/>
            <w:shd w:val="clear" w:color="auto" w:fill="CCEEFF"/>
          </w:tcPr>
          <w:p>
            <w:pPr>
              <w:jc w:val="center"/>
              <w:ind w:left="150"/>
              <w:spacing w:after="0" w:line="177" w:lineRule="exact"/>
              <w:rPr>
                <w:sz w:val="20"/>
                <w:szCs w:val="20"/>
                <w:color w:val="auto"/>
              </w:rPr>
            </w:pPr>
            <w:r>
              <w:rPr>
                <w:rFonts w:ascii="Times New Roman" w:cs="Times New Roman" w:eastAsia="Times New Roman" w:hAnsi="Times New Roman"/>
                <w:sz w:val="18"/>
                <w:szCs w:val="18"/>
                <w:color w:val="auto"/>
                <w:w w:val="99"/>
              </w:rPr>
              <w:t>Battle Management &amp; Missile</w:t>
            </w:r>
          </w:p>
        </w:tc>
        <w:tc>
          <w:tcPr>
            <w:tcW w:w="30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r>
      <w:tr>
        <w:trPr>
          <w:trHeight w:val="234"/>
        </w:trPr>
        <w:tc>
          <w:tcPr>
            <w:tcW w:w="26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Autonomous Systems</w:t>
            </w:r>
          </w:p>
        </w:tc>
        <w:tc>
          <w:tcPr>
            <w:tcW w:w="28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Systems</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Airborne Multifunction Sensors</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Launch &amp; Strategic Missiles</w:t>
            </w:r>
          </w:p>
        </w:tc>
      </w:tr>
      <w:tr>
        <w:trPr>
          <w:trHeight w:val="229"/>
        </w:trPr>
        <w:tc>
          <w:tcPr>
            <w:tcW w:w="26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Manned Aircraft</w:t>
            </w:r>
          </w:p>
        </w:tc>
        <w:tc>
          <w:tcPr>
            <w:tcW w:w="28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Mission Readiness</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Maritime/Land Systems &amp; Sensors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Space</w:t>
            </w:r>
          </w:p>
        </w:tc>
      </w:tr>
      <w:tr>
        <w:trPr>
          <w:trHeight w:val="184"/>
        </w:trPr>
        <w:tc>
          <w:tcPr>
            <w:tcW w:w="262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30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Navigation, Targeting &amp;</w:t>
            </w:r>
          </w:p>
        </w:tc>
        <w:tc>
          <w:tcPr>
            <w:tcW w:w="2680" w:type="dxa"/>
            <w:vAlign w:val="bottom"/>
            <w:shd w:val="clear" w:color="auto" w:fill="CCEEFF"/>
          </w:tcPr>
          <w:p>
            <w:pPr>
              <w:spacing w:after="0"/>
              <w:rPr>
                <w:sz w:val="16"/>
                <w:szCs w:val="16"/>
                <w:color w:val="auto"/>
              </w:rPr>
            </w:pPr>
          </w:p>
        </w:tc>
      </w:tr>
      <w:tr>
        <w:trPr>
          <w:trHeight w:val="234"/>
        </w:trPr>
        <w:tc>
          <w:tcPr>
            <w:tcW w:w="262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Survivability</w:t>
            </w:r>
          </w:p>
        </w:tc>
        <w:tc>
          <w:tcPr>
            <w:tcW w:w="2680" w:type="dxa"/>
            <w:vAlign w:val="bottom"/>
            <w:shd w:val="clear" w:color="auto" w:fill="CCEEFF"/>
          </w:tcPr>
          <w:p>
            <w:pPr>
              <w:spacing w:after="0"/>
              <w:rPr>
                <w:sz w:val="20"/>
                <w:szCs w:val="20"/>
                <w:color w:val="auto"/>
              </w:rPr>
            </w:pPr>
          </w:p>
        </w:tc>
      </w:tr>
      <w:tr>
        <w:trPr>
          <w:trHeight w:val="229"/>
        </w:trPr>
        <w:tc>
          <w:tcPr>
            <w:tcW w:w="26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Networked Information Solutions</w:t>
            </w:r>
          </w:p>
        </w:tc>
        <w:tc>
          <w:tcPr>
            <w:tcW w:w="2680" w:type="dxa"/>
            <w:vAlign w:val="bottom"/>
            <w:tcBorders>
              <w:bottom w:val="single" w:sz="8" w:color="auto"/>
            </w:tcBorders>
          </w:tcPr>
          <w:p>
            <w:pPr>
              <w:spacing w:after="0"/>
              <w:rPr>
                <w:sz w:val="19"/>
                <w:szCs w:val="19"/>
                <w:color w:val="auto"/>
              </w:rPr>
            </w:pPr>
          </w:p>
        </w:tc>
      </w:tr>
    </w:tbl>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section discusses segment sales, operating income and operating margin rates. In evaluating segment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Income and Margin Rate</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Segment operating income, as reconciled in the table below, and segment operating margin rate (segment operating income divided by sales) are non-GAAP measures that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(certain corporate-level expenses, which are not considered allowable or allocable under applicable FAR and CAS requirements,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954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1,044</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1,851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segment operating income:</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 pension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(121)</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FAS pension service expense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184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207</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51</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NM</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97</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29"/>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2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(1,980)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 services divestiture – unallowable state taxes</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transaction costs</w:t>
            </w:r>
          </w:p>
        </w:tc>
        <w:tc>
          <w:tcPr>
            <w:tcW w:w="12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192</w:t>
            </w: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7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Intangible asset amortization and PP&amp;E step-up</w:t>
            </w:r>
          </w:p>
        </w:tc>
        <w:tc>
          <w:tcPr>
            <w:tcW w:w="120" w:type="dxa"/>
            <w:vAlign w:val="bottom"/>
          </w:tcPr>
          <w:p>
            <w:pPr>
              <w:spacing w:after="0"/>
              <w:rPr>
                <w:sz w:val="15"/>
                <w:szCs w:val="15"/>
                <w:color w:val="auto"/>
              </w:rPr>
            </w:pP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61</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w:t>
            </w:r>
          </w:p>
        </w:tc>
        <w:tc>
          <w:tcPr>
            <w:tcW w:w="160" w:type="dxa"/>
            <w:vAlign w:val="bottom"/>
          </w:tcPr>
          <w:p>
            <w:pPr>
              <w:spacing w:after="0"/>
              <w:rPr>
                <w:sz w:val="15"/>
                <w:szCs w:val="15"/>
                <w:color w:val="auto"/>
              </w:rPr>
            </w:pP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121</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43"/>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14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129</w:t>
            </w: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unallocated corporate expense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(74)%</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41</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(income)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68</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91</w:t>
            </w: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162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(1,617)</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1,073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1,117</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2,110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37"/>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Segment operating margin rate</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12.2 %</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12.2 %</w:t>
            </w:r>
          </w:p>
        </w:tc>
        <w:tc>
          <w:tcPr>
            <w:tcW w:w="1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12.0 %</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12.1 %</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Second quarter 2022 segment operating income decreased $44 million, or 4 percent due to lower sales. Second quarter 2022 segment operating margin rate was comparable to the prior year period and reflects higher operating margin rates at Mission Systems and Defense Systems, offset by lower operating margin rates at Space Systems and Aeronautics Systems.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Year to date 2022 segment operating income decreased $102 million, or 5 percent. Year to date 2021 segment operating income included $20 million from the IT services business, as well as a benefit of approximately $100 million due to the impact of lower overhead rates on the company’s fixed price contracts. Year to date 2022 segment operating margin rate decreased to 12.0 percent from 12.1 percent and reflects a lower operating margin rate at Space Systems, partially offset by higher operating margin rates at each of the other sectors.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FAS/CAS Operating Adjustment</w:t>
      </w:r>
    </w:p>
    <w:p>
      <w:pPr>
        <w:spacing w:after="0" w:line="27" w:lineRule="exact"/>
        <w:rPr>
          <w:sz w:val="20"/>
          <w:szCs w:val="20"/>
          <w:color w:val="auto"/>
        </w:rPr>
      </w:pPr>
    </w:p>
    <w:p>
      <w:pPr>
        <w:ind w:right="720"/>
        <w:spacing w:after="0" w:line="260" w:lineRule="auto"/>
        <w:rPr>
          <w:sz w:val="20"/>
          <w:szCs w:val="20"/>
          <w:color w:val="auto"/>
        </w:rPr>
      </w:pPr>
      <w:r>
        <w:rPr>
          <w:rFonts w:ascii="Times New Roman" w:cs="Times New Roman" w:eastAsia="Times New Roman" w:hAnsi="Times New Roman"/>
          <w:sz w:val="18"/>
          <w:szCs w:val="18"/>
          <w:color w:val="auto"/>
        </w:rPr>
        <w:t>Second quarter 2022 and year to date 2022 FAS/CAS operating adjustment decreased primarily due to lower CAS pension expense resulting from favorable plan asset returns in 2021 and changes in certain CAS actuarial assumptions as of December 31, 2021.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Unallocated Corporate Expense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second quarter 2022 unallocated corporate expense is primarily due to a reduction in corporate unallowable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8"/>
          <w:szCs w:val="18"/>
          <w:color w:val="auto"/>
        </w:rPr>
        <w:t>The change in year to date 2022 unallocated corporate expense (income) is primarily due to the $2.0 billion pre-tax gain on sale and $192 million of unallowable state taxes and transaction costs recognized in the prior year associated with the IT services divestiture.</w:t>
      </w:r>
    </w:p>
    <w:p>
      <w:pPr>
        <w:spacing w:after="0" w:line="5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EAC Adjustments </w:t>
      </w:r>
      <w:r>
        <w:rPr>
          <w:rFonts w:ascii="Times New Roman" w:cs="Times New Roman" w:eastAsia="Times New Roman" w:hAnsi="Times New Roman"/>
          <w:sz w:val="18"/>
          <w:szCs w:val="18"/>
          <w:color w:val="auto"/>
        </w:rPr>
        <w:t>- We record changes in estimated contract earnings at completion (net EAC adjustments) using the cumulative catch-up method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Net EAC adjustments can have a significant effect on reported sales and operating income and the aggregate amounts are presented in the table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23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Six Months Ended June 30</w:t>
            </w:r>
          </w:p>
        </w:tc>
      </w:tr>
      <w:tr>
        <w:trPr>
          <w:trHeight w:val="223"/>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EAC adjustments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674</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29"/>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Unfavorable EAC adjustments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(225)</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92</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265</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405"/>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EAC adjustments by segment are presented in the table below:</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8"/>
        </w:trPr>
        <w:tc>
          <w:tcPr>
            <w:tcW w:w="6600" w:type="dxa"/>
            <w:vAlign w:val="bottom"/>
          </w:tcPr>
          <w:p>
            <w:pPr>
              <w:spacing w:after="0"/>
              <w:rPr>
                <w:sz w:val="24"/>
                <w:szCs w:val="24"/>
                <w:color w:val="auto"/>
              </w:rPr>
            </w:pPr>
          </w:p>
        </w:tc>
        <w:tc>
          <w:tcPr>
            <w:tcW w:w="23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Six Months Ended June 30</w:t>
            </w:r>
          </w:p>
        </w:tc>
      </w:tr>
      <w:tr>
        <w:trPr>
          <w:trHeight w:val="223"/>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50</w:t>
            </w:r>
          </w:p>
        </w:tc>
        <w:tc>
          <w:tcPr>
            <w:tcW w:w="2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w:t>
            </w:r>
          </w:p>
        </w:tc>
        <w:tc>
          <w:tcPr>
            <w:tcW w:w="2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92</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265</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r>
    </w:tbl>
    <w:p>
      <w:pPr>
        <w:spacing w:after="0" w:line="17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120" w:type="dxa"/>
            <w:vAlign w:val="bottom"/>
          </w:tcPr>
          <w:p>
            <w:pPr>
              <w:spacing w:after="0"/>
              <w:rPr>
                <w:sz w:val="20"/>
                <w:szCs w:val="20"/>
                <w:color w:val="auto"/>
              </w:rPr>
            </w:pPr>
          </w:p>
        </w:tc>
        <w:tc>
          <w:tcPr>
            <w:tcW w:w="224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222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5"/>
        </w:trPr>
        <w:tc>
          <w:tcPr>
            <w:tcW w:w="3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gridSpan w:val="3"/>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3"/>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2,534</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2,913</w:t>
            </w:r>
          </w:p>
        </w:tc>
        <w:tc>
          <w:tcPr>
            <w:tcW w:w="15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(13)%  $</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5,237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5,903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258</w:t>
            </w:r>
          </w:p>
        </w:tc>
        <w:tc>
          <w:tcPr>
            <w:tcW w:w="3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13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(14)%</w:t>
            </w:r>
          </w:p>
        </w:tc>
        <w:tc>
          <w:tcPr>
            <w:tcW w:w="1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565</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10.2 %</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10.3 %</w:t>
            </w:r>
          </w:p>
        </w:tc>
        <w:tc>
          <w:tcPr>
            <w:tcW w:w="13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10.8 %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10.3 %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Second quarter 2022 sales decreased $379 million, or 13 percent, due to lower volume in both Manned Aircraft and Autonomous Systems, including restricted programs, F-35, Global Hawk, and the NATO Alliance Ground Surveillance (AGS) program, as Full System Handover occurred early in the second quarter of 2022.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Year to date 2022 sales decreased $666 million, or 11 percent, due to lower volume in both Manned Aircraft and Autonomous Systems, including restricted programs and the E-2, Global Hawk, F-35 and Triton programs.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Second quarter 2022 operating income decreased $42 million, or 14 percent, primarily due to lower sales. Operating margin rate decreased to 10.2 percent from 10.3 percent primarily due to lower net EAC adjustments, principally associated with restricted work and close-out of an international program, partially offset by a $38 million gain on a property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Year to date 2022 operating income decreased $43 million, or 7 percent, due to lower sales, partially offset by a higher operating margin rate. Operating margin rate increased to 10.8 percent from 10.3 percent primarily due to a $38 million gain on a property sale and higher net favorable EAC adjustments. Higher net favorable EAC adjustments reflect a $67 million favorable EAC adjustment on the engineering, manufacturing and development phase of the B-21 program largely related to performance incentives, partially offset by lower net EAC adjustments associated with other restricted work. Prior year results include the previously described overhead rate benefit to fixed price contracts.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140" w:type="dxa"/>
            <w:vAlign w:val="bottom"/>
          </w:tcPr>
          <w:p>
            <w:pPr>
              <w:spacing w:after="0"/>
              <w:rPr>
                <w:sz w:val="20"/>
                <w:szCs w:val="20"/>
                <w:color w:val="auto"/>
              </w:rPr>
            </w:pPr>
          </w:p>
        </w:tc>
        <w:tc>
          <w:tcPr>
            <w:tcW w:w="226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222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gridSpan w:val="3"/>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3"/>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1,294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1,427</w:t>
            </w:r>
          </w:p>
        </w:tc>
        <w:tc>
          <w:tcPr>
            <w:tcW w:w="15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(9)%  $</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2,577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2,989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168</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13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(5)%</w:t>
            </w:r>
          </w:p>
        </w:tc>
        <w:tc>
          <w:tcPr>
            <w:tcW w:w="1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323</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13.0 %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12.4 %</w:t>
            </w:r>
          </w:p>
        </w:tc>
        <w:tc>
          <w:tcPr>
            <w:tcW w:w="13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12.5 %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11.8 %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8"/>
          <w:szCs w:val="18"/>
          <w:color w:val="auto"/>
        </w:rPr>
        <w:t>Second quarter 2022 sales decreased $133 million, or 9 percent, primarily due to completion of a Joint Services support program, lower scope on an international training program, and wind down of the UKAWACS and JSTARS programs.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Year to date 2022 sales decreased $412 million, or 14 percent, due, in part, to a $106 million reduction in sales related to the IT services divestiture. Year to date 2022 organic sales decreased $306 million, or 11 percent, principally due to lower scope on an international training program, completion of a Joint Services support program, and lower volume on the Advanced Anti-Radiation Guided Missile (AARGM).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Second quarter 2022 operating income decreased $9 million, or 5 percent, due to lower sales, partially offset by a higher operating margin rate. Operating margin rate increased to 13.0 percent from 12.4 percent primarily due to improved performance in Battle Management and Missile Systems.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Year to date 2022 operating income decreased $31 million, or 9 percent, due, in part, to a $14 million reduction in operating income related to the IT services divestiture. Lower organic sales volume was partially offset by a higher operating margin rate, which increased to 12.5 percent from 11.8 percent primarily due to improved performance in Battle Management and Missile Systems.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140" w:type="dxa"/>
            <w:vAlign w:val="bottom"/>
          </w:tcPr>
          <w:p>
            <w:pPr>
              <w:spacing w:after="0"/>
              <w:rPr>
                <w:sz w:val="20"/>
                <w:szCs w:val="20"/>
                <w:color w:val="auto"/>
              </w:rPr>
            </w:pPr>
          </w:p>
        </w:tc>
        <w:tc>
          <w:tcPr>
            <w:tcW w:w="226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222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gridSpan w:val="3"/>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3"/>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2,516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2,588</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  $</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5,013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5,177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413</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408</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1 %</w:t>
            </w:r>
          </w:p>
        </w:tc>
        <w:tc>
          <w:tcPr>
            <w:tcW w:w="1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798</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16.4 %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15.8 %</w:t>
            </w:r>
          </w:p>
        </w:tc>
        <w:tc>
          <w:tcPr>
            <w:tcW w:w="13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15.9 %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15.5 %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Second quarter 2022 sales decreased $72 million, or 3 percent, primarily due to lower volume on Navigation, Targeting and Survivability programs, the Joint Counter Radio-Controlled Improvised Explosive Device Electronic Warfare (JCREW) program, and airborne radar programs. These decreases were partially offset by an increase in restricted sales in the Networked Information Solutions business area and higher volume on Ground/Air Task-Oriented Radar (G/ATOR) and Surface Electronic Warfare Improvement Program (SEWIP).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Year to date 2022 sales decreased $164 million, or 3 percent, due, in part, to a $42 million reduction in sales related to the IT services divestiture. Year to date 2022 organic sales decreased $122 million, or 2 percent, primarily due to lower volume on Navigation, Targeting and Survivability programs, the JCREW program and airborne radar programs. These decreases were partially offset by an increase in restricted sales in the Networked Information Solutions business area and higher volume on G/ATOR and SEWIP.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Second quarter 2022 operating income increased $5 million, or 1 percent, due to a higher operating margin rate. Operating margin rate increased to 16.4 percent from 15.8 percent principally due to a $33 million benefit recognized in connection with a contract-related legal matter, partially offset by lower net EAC adjustments at Maritime/Land Systems and Sensors.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Year to date 2022 operating income decreased $7 million, or 1 percent, principally due to lower sales, partially offset by a higher operating margin rate. Operating margin rate increased to 15.9 percent from 15.5 percent principally due to a $33 million benefit recognized in connection with a contract-related legal matter, partially offset by the previously described overhead rate benefit to fixed price contracts in the prior year.</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140" w:type="dxa"/>
            <w:vAlign w:val="bottom"/>
          </w:tcPr>
          <w:p>
            <w:pPr>
              <w:spacing w:after="0"/>
              <w:rPr>
                <w:sz w:val="20"/>
                <w:szCs w:val="20"/>
                <w:color w:val="auto"/>
              </w:rPr>
            </w:pPr>
          </w:p>
        </w:tc>
        <w:tc>
          <w:tcPr>
            <w:tcW w:w="226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222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gridSpan w:val="3"/>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3"/>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2,979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2,748</w:t>
            </w:r>
          </w:p>
        </w:tc>
        <w:tc>
          <w:tcPr>
            <w:tcW w:w="15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8 %  $</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5,834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5,269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310</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301</w:t>
            </w:r>
          </w:p>
        </w:tc>
        <w:tc>
          <w:tcPr>
            <w:tcW w:w="13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3 %</w:t>
            </w:r>
          </w:p>
        </w:tc>
        <w:tc>
          <w:tcPr>
            <w:tcW w:w="1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571</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10.4 %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11.0 %</w:t>
            </w:r>
          </w:p>
        </w:tc>
        <w:tc>
          <w:tcPr>
            <w:tcW w:w="13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9.8 %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11.0 %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Second quarter 2022 sales increased $231 million, or 8 percent, primarily due to higher sales in the Launch &amp; Strategic Missiles business area due to ramp-up on development programs, including a $123 million increase on the Next Generation Interceptor (NGI) program and a $95 million increase on the Ground Based Strategic Deterrent (GBSD) program. Sales in the Space business area were comparable with the prior year period and reflect higher volume on restricted programs and the Space Development Agency (SDA) Tranche 1 Transport Layer (T1TL) program, partially offset by lower volume on the James Webb Space Telescope after its successful launch in December 2021.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Year to date 2022 sales increased $565 million, or 11 percent, and includes a $16 million reduction in sales related to the IT services divestiture. Year to date 2022 organic sales increased $581 million, or 11 percent, due to higher sales in both the Launch &amp; Strategic Missiles and Space business areas. Launch &amp; Strategic Missiles sales increased primarily due to ramp-up on development programs, including a $253 million increase on NGI and a $212 million increase on GBSD. Sales in the Space business area were driven by higher volume on restricted programs, SDA T1TL, and the Commercial Resupply Services program, partially offset by lower volume on the James Webb Space Telescope and other commercial space programs.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7"/>
          <w:szCs w:val="17"/>
          <w:color w:val="auto"/>
        </w:rPr>
        <w:t>Second quarter 2022 operating income increased $9 million, or 3 percent, due to higher sales, partially offset by a lower operating margin rate. Operating margin rate decreased to 10.4 percent from 11.0 percent primarily due to higher volume on early-stage development programs, such as NGI and GBSD.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Year to date 2022 operating income decreased $6 million, or 1 percent, due to a lower operating margin rate, partially offset by higher sales. Operating margin rate decreased to 9.8 percent from 11.0 percent primarily due to lower net EAC adjustments and higher volume on early-stage development programs. Prior year results include the previously described overhead rate benefit to fixed price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PRODUCT AND SERVICE ANALYSIS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2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presents product and service sales and operating costs and expenses by segment:</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9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Six Months Ended June 30</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8"/>
                <w:szCs w:val="18"/>
                <w:color w:val="auto"/>
                <w:w w:val="99"/>
              </w:rPr>
              <w:t>2021</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Operating</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Operating</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Operating</w:t>
            </w:r>
          </w:p>
        </w:tc>
        <w:tc>
          <w:tcPr>
            <w:tcW w:w="0" w:type="dxa"/>
            <w:vAlign w:val="bottom"/>
          </w:tcPr>
          <w:p>
            <w:pPr>
              <w:spacing w:after="0"/>
              <w:rPr>
                <w:sz w:val="1"/>
                <w:szCs w:val="1"/>
                <w:color w:val="auto"/>
              </w:rPr>
            </w:pPr>
          </w:p>
        </w:tc>
      </w:tr>
      <w:tr>
        <w:trPr>
          <w:trHeight w:val="176"/>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Information:</w:t>
            </w:r>
          </w:p>
        </w:tc>
        <w:tc>
          <w:tcPr>
            <w:tcW w:w="160" w:type="dxa"/>
            <w:vAlign w:val="bottom"/>
          </w:tcPr>
          <w:p>
            <w:pPr>
              <w:spacing w:after="0"/>
              <w:rPr>
                <w:sz w:val="15"/>
                <w:szCs w:val="15"/>
                <w:color w:val="auto"/>
              </w:rPr>
            </w:pPr>
          </w:p>
        </w:tc>
        <w:tc>
          <w:tcPr>
            <w:tcW w:w="6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4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Costs and</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Costs and</w:t>
            </w:r>
          </w:p>
        </w:tc>
        <w:tc>
          <w:tcPr>
            <w:tcW w:w="340" w:type="dxa"/>
            <w:vAlign w:val="bottom"/>
          </w:tcPr>
          <w:p>
            <w:pPr>
              <w:spacing w:after="0"/>
              <w:rPr>
                <w:sz w:val="15"/>
                <w:szCs w:val="15"/>
                <w:color w:val="auto"/>
              </w:rPr>
            </w:pPr>
          </w:p>
        </w:tc>
        <w:tc>
          <w:tcPr>
            <w:tcW w:w="6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00" w:type="dxa"/>
            <w:vAlign w:val="bottom"/>
          </w:tcPr>
          <w:p>
            <w:pPr>
              <w:spacing w:after="0"/>
              <w:rPr>
                <w:sz w:val="15"/>
                <w:szCs w:val="15"/>
                <w:color w:val="auto"/>
              </w:rPr>
            </w:pPr>
          </w:p>
        </w:tc>
        <w:tc>
          <w:tcPr>
            <w:tcW w:w="10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Costs and</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Costs and</w:t>
            </w:r>
          </w:p>
        </w:tc>
        <w:tc>
          <w:tcPr>
            <w:tcW w:w="0" w:type="dxa"/>
            <w:vAlign w:val="bottom"/>
          </w:tcPr>
          <w:p>
            <w:pPr>
              <w:spacing w:after="0"/>
              <w:rPr>
                <w:sz w:val="1"/>
                <w:szCs w:val="1"/>
                <w:color w:val="auto"/>
              </w:rPr>
            </w:pPr>
          </w:p>
        </w:tc>
      </w:tr>
      <w:tr>
        <w:trPr>
          <w:trHeight w:val="243"/>
        </w:trPr>
        <w:tc>
          <w:tcPr>
            <w:tcW w:w="286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1,916</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1,153</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Aeronautics Systems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2,276</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2,613</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5,237</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4,672</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1,042</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522</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882</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Defense Systems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1,294</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1,126</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1,250</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2,577</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2,254</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1,748</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1,473</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1,515</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2,982</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Mission Systems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2,516</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2,103</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2,180</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5,013</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4,215</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2,517</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2,250</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2,045</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4,445</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831</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Space Systems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2,669</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2,447</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5,834</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5,263</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Totals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Product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6,779</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Service</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1,757</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1,684</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3,978</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3,482</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Segment</w:t>
            </w:r>
            <w:r>
              <w:rPr>
                <w:rFonts w:ascii="Times New Roman" w:cs="Times New Roman" w:eastAsia="Times New Roman" w:hAnsi="Times New Roman"/>
                <w:sz w:val="23"/>
                <w:szCs w:val="23"/>
                <w:b w:val="1"/>
                <w:bCs w:val="1"/>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8,801</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8,034</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17,598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15,488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 reconciliation of segment operating income to total operating income is included in “Segment Operating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 and Costs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Second quarter 2022 product sales decreased $414 million, or 6 percent, primarily due to a decrease in product sales at Aeronautics Systems, partially offset by an increase in product sales at Space Systems. The decrease at Aeronautics Systems was principally due to lower volume on restricted programs, as well as the F-35, Global Hawk and NATO AGS programs. The increase at Space Systems was driven by ramp-up on development programs including NGI and GBSD.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2022 product costs decreased $379 million, or 6 percent, consistent with the lower product sales.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Year to date 2022 product sales decreased $595 million, or 4 percent, primarily due to a decrease in product sales at Aeronautics Systems, partially offset by an increase in product sales at Space Systems. The decrease at Aeronautics Systems was principally due to lower volume on restricted programs, as well as the E-2, Global Hawk, and F-35 programs. The increase at Space Systems is principally related to ramp-up on development programs including NGI and GBSD, as well as higher volume on restricted space programs.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to date 2022 product costs decreased $535 million, or 4 percent, consistent with the lower product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Sales and Costs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Second quarter 2022 service sales increased $64 million, or 3 percent, primarily due to an increase in service sales at Aeronautics Systems, partially offset by a decrease in service sales at Defense Systems. The increase at Aeronautics Systems was principally due to higher service volume on restricted programs. The decrease at Defense Systems was primarily driven by the completion of a Joint Services support program and lower volume on an international training program.</w:t>
      </w:r>
    </w:p>
    <w:p>
      <w:pPr>
        <w:spacing w:after="0" w:line="6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Second quarter 2022 service costs increased $73 million, or 4 percent, due to higher service sales, partially offset by lower margins on Space Systems service programs.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Year to date 2022 service sales decreased $115 million, or 3 percent, primarily due to the IT services divestiture as well as lower volume on an international training program and completion of a Joint Services support program at Defense Systems. Sales from the divested IT services business, which were largely included in service sales, were $162 million in the prior year period. The decreases were partially offset by higher service volume on restricted programs at Aeronautics Systems.</w:t>
      </w:r>
    </w:p>
    <w:p>
      <w:pPr>
        <w:spacing w:after="0" w:line="6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Year to date 2022 service costs decreased $73 million, or 2 percent, due to lower services sales, partially offset by higher margins on Mission Systems service programs.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 Backlog is converted into sales as costs are incurred or deliveries are made.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consisted of the following as of June 30, 2022 and December 31,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2021</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190"/>
              <w:spacing w:after="0" w:line="169" w:lineRule="exact"/>
              <w:rPr>
                <w:sz w:val="20"/>
                <w:szCs w:val="20"/>
                <w:color w:val="auto"/>
              </w:rPr>
            </w:pPr>
            <w:r>
              <w:rPr>
                <w:rFonts w:ascii="Times New Roman" w:cs="Times New Roman" w:eastAsia="Times New Roman" w:hAnsi="Times New Roman"/>
                <w:sz w:val="18"/>
                <w:szCs w:val="18"/>
                <w:color w:val="auto"/>
                <w:w w:val="94"/>
              </w:rPr>
              <w:t>Total</w:t>
            </w:r>
          </w:p>
        </w:tc>
        <w:tc>
          <w:tcPr>
            <w:tcW w:w="120" w:type="dxa"/>
            <w:vAlign w:val="bottom"/>
          </w:tcPr>
          <w:p>
            <w:pPr>
              <w:spacing w:after="0"/>
              <w:rPr>
                <w:sz w:val="14"/>
                <w:szCs w:val="14"/>
                <w:color w:val="auto"/>
              </w:rPr>
            </w:pPr>
          </w:p>
        </w:tc>
        <w:tc>
          <w:tcPr>
            <w:tcW w:w="134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 Change in</w:t>
            </w:r>
          </w:p>
        </w:tc>
        <w:tc>
          <w:tcPr>
            <w:tcW w:w="0" w:type="dxa"/>
            <w:vAlign w:val="bottom"/>
          </w:tcPr>
          <w:p>
            <w:pPr>
              <w:spacing w:after="0"/>
              <w:rPr>
                <w:sz w:val="1"/>
                <w:szCs w:val="1"/>
                <w:color w:val="auto"/>
              </w:rPr>
            </w:pPr>
          </w:p>
        </w:tc>
      </w:tr>
      <w:tr>
        <w:trPr>
          <w:trHeight w:val="243"/>
        </w:trPr>
        <w:tc>
          <w:tcPr>
            <w:tcW w:w="442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Backlog</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Backlog</w:t>
            </w: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9,466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18,277</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5,522</w:t>
            </w:r>
          </w:p>
        </w:tc>
        <w:tc>
          <w:tcPr>
            <w:tcW w:w="2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826</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10,557</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4,224</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8,850</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30,054</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38,904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37,114</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34,395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45,586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79,981</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76,046</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Awards</w:t>
      </w:r>
    </w:p>
    <w:p>
      <w:pPr>
        <w:spacing w:after="0" w:line="31"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Second quarter and year to date 2022 net awards totaled $13.0 billion and $21.5 billion, respectively, and backlog totaled $80.0 billion. Significant second quarter new awards include $3.5 billion for F-35 at Aeronautics Systems, largely related to Lots 15-17, $2.2 billion for restricted programs (at Aeronautics Systems, Space Systems and Mission Systems), $2.1 billion for GEM63 solid rocket boosters, largely related to Amazon’s Project Kuiper, and $0.5 billion for Triton.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focused on the efficient conversion of operating income into cash and to provide for the company’s material cash requirements, including working capital needs, satisfaction of contractual commitments, funding of our pension and OPB plans, investment in our business through capital expenditures, and shareholder return through dividend payments and share repurchases.</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June 30, 2022, we had $1.2 billion in cash and cash equivalents. We expect cash and cash equivalents and cash generated from operating activities, supplemented by borrowings under credit facilities, commercial paper and/or in the capital markets through our shelf registration with the SEC, if needed, to be sufficient to provide liquidity to the company in the short-term and long-term. The company has a five-year senior unsecured credit facility in an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aggregate principal amount of $2.0 billion, and in April 2022, we renewed our one-year $500 million uncommitted credit facility. At June 30, 2022, there was no balance outstanding under these credit facilities.</w:t>
      </w:r>
    </w:p>
    <w:p>
      <w:pPr>
        <w:spacing w:after="0" w:line="4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Effective January 30, 2021, we completed the IT services divestiture for $3.4 billion cash. Proceeds were primarily used in the first quarter of 2021 for a $2.0 billion accelerated share repurchase and to fund redemption of $1.5 billion of the company’s 2.55 percent unsecured notes due October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and the CARES Act</w:t>
      </w:r>
    </w:p>
    <w:p>
      <w:pPr>
        <w:spacing w:after="0" w:line="3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 Coronavirus Aid, Relief, and Economic Security Act (the “CARES Act”) established a program with provisions to allow U.S. companies to defer the employer’s portion of social security taxes between March 27, 2020 and December 31, 2020 and pay such taxes in two installments in 2021 and 2022. Our first installment of deferred social security taxes of $200 million was paid in the fourth quarter of 2021 and the second installment of $200 million is due in the fourth quarter of 2022. Under Section 3610, the CARES Act also authorized the government to reimburse qualifying contractors for certain costs of providing paid leave to employees as a result of COVID-19. The company continues to seek, and anticipates continuing to seek, recovery for certain COVID-19-related costs under Section 3610 of the CARES Act and through our contract provisions, though it is unclear how much we will be able to recover. In addition, the U.S. Department of Defense (DoD) has, to date, taken steps to increase the rate for certain progress payments from 80 percent to 90 percent for costs incurred and work performed on relevant contracts; it is unclear what steps the DoD will continue to take.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Revenue Code (IRC) Section 174</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Beginning in 2022, the Tax Cuts and Jobs Act of 2017 (“TCJA”) eliminates the option to deduct research and development expenditures currently and requires taxpayers to amortize them over five years pursuant to IRC Section 174. Congress is considering, but has not passed, legislation that would defer the amortization requirement to later years. If legislation is not passed and made effective retroactively to January 1, 2022, we estimate the provisions currently in effect will reduce cash from operations for the year ended December 31, 2022 by approximately $1 billion. The actual impact on 2022 cash from operations will depend on if and when Congress passes additional legislation, whether such legislation is made effective retroactively, the amount of research and development expenditures incurred and paid by the company during 2022, and whether the IRS issues guidance on the provision which differs from our current interpretation. We have made federal tax payments of approximately $450 million related to Section 174 during the six months ended June 30,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Measures</w:t>
      </w:r>
    </w:p>
    <w:p>
      <w:pPr>
        <w:spacing w:after="0" w:line="3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In addition to our cash position, we consider various cash flow measures in capital deployment decision-making, including cash provided by operating activities and adjusted free cash flow, a non-GAAP measure described in more detail below.</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key components of cash (used in) provided by operating activities: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w w:val="98"/>
              </w:rPr>
              <w:t>Six Months Ended June 30</w:t>
            </w: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1,901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30"/>
        </w:trPr>
        <w:tc>
          <w:tcPr>
            <w:tcW w:w="7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items</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873 %</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trade working capital</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(2,261)</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1,279 %</w:t>
            </w:r>
          </w:p>
        </w:tc>
      </w:tr>
      <w:tr>
        <w:trPr>
          <w:trHeight w:val="230"/>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w:t>
            </w:r>
          </w:p>
        </w:tc>
      </w:tr>
      <w:tr>
        <w:trPr>
          <w:trHeight w:val="230"/>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r>
    </w:tbl>
    <w:p>
      <w:pPr>
        <w:spacing w:after="0" w:line="154"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depreciation and amortization, non-cash lease expense, stock based compensation expense, deferred income taxes and net periodic pension and OPB income.</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24" w:lineRule="exact"/>
        <w:rPr>
          <w:rFonts w:ascii="Times New Roman" w:cs="Times New Roman" w:eastAsia="Times New Roman" w:hAnsi="Times New Roman"/>
          <w:sz w:val="19"/>
          <w:szCs w:val="19"/>
          <w:color w:val="auto"/>
          <w:vertAlign w:val="superscript"/>
        </w:rPr>
      </w:pPr>
    </w:p>
    <w:p>
      <w:pPr>
        <w:ind w:left="548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Year to date 2022 net cash used in operating activities was $685 million compared to net cash provided by operating activities of $962 million in the prior year period. This change reflects increases in trade working capital due, in part, to unexpected delays in the timing of customer payments near the end of the quarter, which pushed certain cash receipts into the early part of the third quarter. In the second quarter of 2022, the company made $450 million of federal tax payments related to the current provisions of IRC Section 174. In the second quarter of 2021, the company made $390 million of tax payments related to the IT services divestiture.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Adjusted free cash flow, as reconciled in the table below, is a non-GAAP measure defined as net cash provided by or used in operating activities, less capital expenditures, plus proceeds from the sale of equipment to a customer (not otherwise included in net cash provided by or used in operating activities) and the after-tax impact of discretionary pension contributions. Adjusted free cash flow includes proceeds from the sale of equipment to a customer as such proceeds were generated in a customer sales transaction. It also includes the after-tax impact of discretionary pension contributions for consistency and comparability of financial performance. This measure may not be defined and calculated by other companies in the same manner. We use adjusted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net cash used in operating activities to adjusted free cash flow: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Six Months Ended June 30</w:t>
            </w: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(685)</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(507)</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r>
      <w:tr>
        <w:trPr>
          <w:trHeight w:val="229"/>
        </w:trPr>
        <w:tc>
          <w:tcPr>
            <w:tcW w:w="7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equipment to a customer</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30"/>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(1,192)</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r>
    </w:tbl>
    <w:p>
      <w:pPr>
        <w:spacing w:after="0" w:line="14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Year to date 2022 adjusted free cash flow decreased $1.8 billion, as compared with the same period in 2021, due to higher net cash used in operating activities and an increase in capital expenditures.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Cash Flow</w:t>
      </w:r>
    </w:p>
    <w:p>
      <w:pPr>
        <w:spacing w:after="0" w:line="3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Year to date 2022 net cash used in investing activities was $468 million compared to net cash provided by investing activities of $3.0 billion in the prior year period, principally due to $3.4 billion in cash received from the sale of our IT services business during the first quarter of 2021.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Year to date 2022 net cash used in financing activities decreased $3.7 billion, as compared with the same period in 2021, principally due to a $2.2 billion decrease in debt repayments and a $1.5 billion reduction in share repurchases.</w:t>
      </w:r>
    </w:p>
    <w:p>
      <w:pPr>
        <w:spacing w:after="0" w:line="44"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Commercial Paper and Financial Arrangements - </w:t>
      </w:r>
      <w:r>
        <w:rPr>
          <w:rFonts w:ascii="Times New Roman" w:cs="Times New Roman" w:eastAsia="Times New Roman" w:hAnsi="Times New Roman"/>
          <w:sz w:val="18"/>
          <w:szCs w:val="18"/>
          <w:color w:val="auto"/>
        </w:rPr>
        <w:t>See Note 6 to the financial statements for further information on our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paper and our use of standby letters of credit and guarantees.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 See Note 2 to the financial statements for further information on our share repurchase programs.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 See Note 4 to the financial statements for further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ESTIMATES AND JUDGMENTS</w:t>
      </w:r>
    </w:p>
    <w:p>
      <w:pPr>
        <w:spacing w:after="0" w:line="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estimates or judgments from those discussed in our 2021 Annual Report on Form 10-K.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PROJECTIONS</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This Form 10-Q and the information we are incorporating by reference contain statements that constitute “forward-looking statements” within the meaning of the Private Securities Litigation Reform Act of 1995. Words such as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“will,” “expect,” “anticipate,” “intend,” “may,” “could,” “should,” “plan,” “project,” “forecast,” “believe,” “estimate,”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2021 Annual Report on Form 10-K and from time to time in our other filings with the Securities and Exchange Commission (SEC). These risks and uncertainties are amplified by the global COVID-19 pandemic and the related effects on the broader economic environment, which have caused and will continue to cause significant challenges, instability and uncertainty. They include: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and Economic Risks</w:t>
      </w:r>
    </w:p>
    <w:p>
      <w:pPr>
        <w:spacing w:after="0" w:line="90"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U.S. government for a substantial portion of our business</w:t>
      </w:r>
    </w:p>
    <w:p>
      <w:pPr>
        <w:spacing w:after="0" w:line="103"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or reductions in appropriations for our programs, and U.S. government funding and program support more broadly, including related to hostilities and other global events</w:t>
      </w:r>
    </w:p>
    <w:p>
      <w:pPr>
        <w:spacing w:after="0" w:line="40"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estimates when accounting for our contracts and the effect of contract cost growth and/or changes in estimated contract revenues and costs, including as a result of labor shortages and/or inflationary pressures</w:t>
      </w:r>
    </w:p>
    <w:p>
      <w:pPr>
        <w:spacing w:after="0" w:line="2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our markets and bid protests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and Regulatory Risks</w:t>
      </w:r>
    </w:p>
    <w:p>
      <w:pPr>
        <w:spacing w:after="0" w:line="104"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legal proceedings</w:t>
      </w:r>
    </w:p>
    <w:p>
      <w:pPr>
        <w:spacing w:after="0" w:line="90"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improper conduct of employees, agents, subcontractors, suppliers, business partners or joint ventures in which we participate and the impact on our reputation and our ability to do business</w:t>
      </w:r>
    </w:p>
    <w:p>
      <w:pPr>
        <w:spacing w:after="0" w:line="40" w:lineRule="exact"/>
        <w:rPr>
          <w:rFonts w:ascii="Times New Roman" w:cs="Times New Roman" w:eastAsia="Times New Roman" w:hAnsi="Times New Roman"/>
          <w:sz w:val="18"/>
          <w:szCs w:val="18"/>
          <w:color w:val="auto"/>
        </w:rPr>
      </w:pPr>
    </w:p>
    <w:p>
      <w:pPr>
        <w:ind w:left="340" w:right="600" w:hanging="332"/>
        <w:spacing w:after="0" w:line="28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procurement and other laws, SEC and other regulations, contract terms and practices applicable to our industry, findings by the U.S. government as to our compliance with such requirements, and changes in our customers’ business practices globally</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including unforeseen environmental costs and government and third party claims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provisions or exposure to additional tax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and Operational Risks</w:t>
      </w:r>
    </w:p>
    <w:p>
      <w:pPr>
        <w:spacing w:after="0" w:line="104" w:lineRule="exact"/>
        <w:rPr>
          <w:sz w:val="20"/>
          <w:szCs w:val="20"/>
          <w:color w:val="auto"/>
        </w:rPr>
      </w:pPr>
    </w:p>
    <w:p>
      <w:pPr>
        <w:ind w:left="340" w:right="120" w:hanging="332"/>
        <w:spacing w:after="0" w:line="256"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the COVID-19 pandemic (or future health epidemics, pandemics or similar outbreaks), including potential new variants, case surges or prolonged recovery periods, their effects on the broader environment, and varying related government requirements, on: our business, our ability to maintain a qualified and productive workforce, work slowdowns or stoppages, labor shortages, supply chain and logistics challenges, costs we cannot recover and liabilities for which we are not compensated, performance challenges (including cost and schedule), government funding, changes in government acquisition priorities and processes, government payment rules and practices, insurance challenges, and potential impacts on access to capital, the markets and the fair value of our assets</w:t>
      </w:r>
    </w:p>
    <w:p>
      <w:pPr>
        <w:spacing w:after="0" w:line="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and other security threats or disruptions faced by us, our customers or our suppliers and other partners, and changes in related regulations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 qualified workforce with the required security clearances and requisite skills to meet our performance obligations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viability of our subcontractors and suppliers and the availability and pricing of raw materials and components</w:t>
      </w:r>
    </w:p>
    <w:p>
      <w:pPr>
        <w:spacing w:after="0" w:line="90"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its impacts on our company, our operations and our stakeholders (employees, suppliers, customers, shareholders and regulators), and changes in laws, regulations and priorities related to greenhouse gas emissions and other climate change related concerns</w:t>
      </w:r>
    </w:p>
    <w:p>
      <w:pPr>
        <w:spacing w:after="0" w:line="40"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additional risks as a result of our international business, including risks related to geopolitical and economic factors, suppliers, laws and regulations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left="340" w:right="18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performance obligations under our contracts, including obligations that require innovative design capabilities, are technologically complex, require certain manufacturing expertise or are dependent on factors not wholly within our control</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90"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appropriately to exploit and/or protect intellectual property rights</w:t>
      </w:r>
    </w:p>
    <w:p>
      <w:pPr>
        <w:spacing w:after="0" w:line="10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technologies and maintain technologies, facilities, and equipment to win new competitions and meet the needs of our customers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Other Risk Factors</w:t>
      </w:r>
    </w:p>
    <w:p>
      <w:pPr>
        <w:spacing w:after="0" w:line="104"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and availability of our insurance coverage, customer indemnifications or other liability protections</w:t>
      </w:r>
    </w:p>
    <w:p>
      <w:pPr>
        <w:spacing w:after="0" w:line="103" w:lineRule="exact"/>
        <w:rPr>
          <w:rFonts w:ascii="Times New Roman" w:cs="Times New Roman" w:eastAsia="Times New Roman" w:hAnsi="Times New Roman"/>
          <w:sz w:val="18"/>
          <w:szCs w:val="18"/>
          <w:color w:val="auto"/>
        </w:rPr>
      </w:pPr>
    </w:p>
    <w:p>
      <w:pPr>
        <w:ind w:left="340" w:right="300" w:hanging="332"/>
        <w:spacing w:after="0" w:line="266" w:lineRule="auto"/>
        <w:tabs>
          <w:tab w:leader="none" w:pos="33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spacing w:after="0" w:line="40"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conditions that could impact business investments and/or recorded goodwill or the value of other long-lived assets</w:t>
      </w:r>
    </w:p>
    <w:p>
      <w:pPr>
        <w:spacing w:after="0" w:line="1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urge you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risks from those discussed in our 2021 Annual Report on Form 10-K.</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3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Our principal executive officer (Chair,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June 30, 2022,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760"/>
        <w:spacing w:after="0" w:line="260" w:lineRule="auto"/>
        <w:rPr>
          <w:sz w:val="20"/>
          <w:szCs w:val="20"/>
          <w:color w:val="auto"/>
        </w:rPr>
      </w:pPr>
      <w:r>
        <w:rPr>
          <w:rFonts w:ascii="Times New Roman" w:cs="Times New Roman" w:eastAsia="Times New Roman" w:hAnsi="Times New Roman"/>
          <w:sz w:val="18"/>
          <w:szCs w:val="18"/>
          <w:color w:val="auto"/>
        </w:rPr>
        <w:t>During the three months ended June 30, 2022, no changes occurred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provided information about certain legal proceedings in which we are involved in Notes 5 and 6 to the financial statements.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5 and 6 to the financial statements, and for further information on the risks we face from existing and future investigations, lawsuits, arbitration, claims, enforcement actions and other legal proceedings, please see “Risk Factors” in our 2021 Annual Report on Form 10-K.</w:t>
      </w:r>
    </w:p>
    <w:p>
      <w:pPr>
        <w:spacing w:after="0" w:line="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our risk factors please see the section entitled “Risk Factors” in our 2021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repurchases of common stock during the three months ended June 30, 2022.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0" w:type="dxa"/>
            <w:vAlign w:val="bottom"/>
          </w:tcPr>
          <w:p>
            <w:pPr>
              <w:spacing w:after="0"/>
              <w:rPr>
                <w:sz w:val="1"/>
                <w:szCs w:val="1"/>
                <w:color w:val="auto"/>
              </w:rPr>
            </w:pPr>
          </w:p>
        </w:tc>
      </w:tr>
      <w:tr>
        <w:trPr>
          <w:trHeight w:val="180"/>
        </w:trPr>
        <w:tc>
          <w:tcPr>
            <w:tcW w:w="33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40" w:type="dxa"/>
            <w:vAlign w:val="bottom"/>
          </w:tcPr>
          <w:p>
            <w:pPr>
              <w:jc w:val="center"/>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20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20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Shares that May</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2420" w:type="dxa"/>
            <w:vAlign w:val="bottom"/>
            <w:vMerge w:val="restart"/>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6"/>
              </w:rPr>
              <w:t>Total Number</w:t>
            </w:r>
          </w:p>
        </w:tc>
        <w:tc>
          <w:tcPr>
            <w:tcW w:w="144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under the</w:t>
            </w:r>
          </w:p>
        </w:tc>
        <w:tc>
          <w:tcPr>
            <w:tcW w:w="0" w:type="dxa"/>
            <w:vAlign w:val="bottom"/>
          </w:tcPr>
          <w:p>
            <w:pPr>
              <w:spacing w:after="0"/>
              <w:rPr>
                <w:sz w:val="1"/>
                <w:szCs w:val="1"/>
                <w:color w:val="auto"/>
              </w:rPr>
            </w:pPr>
          </w:p>
        </w:tc>
      </w:tr>
      <w:tr>
        <w:trPr>
          <w:trHeight w:val="189"/>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420" w:type="dxa"/>
            <w:vAlign w:val="bottom"/>
          </w:tcPr>
          <w:p>
            <w:pPr>
              <w:jc w:val="center"/>
              <w:ind w:left="790"/>
              <w:spacing w:after="0" w:line="189"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280" w:type="dxa"/>
            <w:vAlign w:val="bottom"/>
          </w:tcPr>
          <w:p>
            <w:pPr>
              <w:spacing w:after="0"/>
              <w:rPr>
                <w:sz w:val="16"/>
                <w:szCs w:val="16"/>
                <w:color w:val="auto"/>
              </w:rPr>
            </w:pPr>
          </w:p>
        </w:tc>
        <w:tc>
          <w:tcPr>
            <w:tcW w:w="1160" w:type="dxa"/>
            <w:vAlign w:val="bottom"/>
          </w:tcPr>
          <w:p>
            <w:pPr>
              <w:jc w:val="center"/>
              <w:ind w:right="290"/>
              <w:spacing w:after="0" w:line="189" w:lineRule="exact"/>
              <w:rPr>
                <w:sz w:val="20"/>
                <w:szCs w:val="20"/>
                <w:color w:val="auto"/>
              </w:rPr>
            </w:pPr>
            <w:r>
              <w:rPr>
                <w:rFonts w:ascii="Times New Roman" w:cs="Times New Roman" w:eastAsia="Times New Roman" w:hAnsi="Times New Roman"/>
                <w:sz w:val="18"/>
                <w:szCs w:val="18"/>
                <w:b w:val="1"/>
                <w:bCs w:val="1"/>
                <w:color w:val="auto"/>
              </w:rPr>
              <w:t>Paid per</w:t>
            </w:r>
          </w:p>
        </w:tc>
        <w:tc>
          <w:tcPr>
            <w:tcW w:w="194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20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auto"/>
            </w:tcBorders>
            <w:vMerge w:val="continue"/>
          </w:tcPr>
          <w:p>
            <w:pPr>
              <w:spacing w:after="0"/>
              <w:rPr>
                <w:sz w:val="19"/>
                <w:szCs w:val="19"/>
                <w:color w:val="auto"/>
              </w:rPr>
            </w:pPr>
          </w:p>
        </w:tc>
        <w:tc>
          <w:tcPr>
            <w:tcW w:w="242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90"/>
              <w:spacing w:after="0" w:line="230" w:lineRule="exact"/>
              <w:rPr>
                <w:sz w:val="20"/>
                <w:szCs w:val="20"/>
                <w:color w:val="auto"/>
              </w:rPr>
            </w:pPr>
            <w:r>
              <w:rPr>
                <w:rFonts w:ascii="Times New Roman" w:cs="Times New Roman" w:eastAsia="Times New Roman" w:hAnsi="Times New Roman"/>
                <w:sz w:val="18"/>
                <w:szCs w:val="18"/>
                <w:b w:val="1"/>
                <w:bCs w:val="1"/>
                <w:color w:val="auto"/>
                <w:w w:val="92"/>
              </w:rPr>
              <w:t>Share</w:t>
            </w:r>
            <w:r>
              <w:rPr>
                <w:rFonts w:ascii="Times New Roman" w:cs="Times New Roman" w:eastAsia="Times New Roman" w:hAnsi="Times New Roman"/>
                <w:sz w:val="23"/>
                <w:szCs w:val="23"/>
                <w:b w:val="1"/>
                <w:bCs w:val="1"/>
                <w:color w:val="auto"/>
                <w:w w:val="92"/>
                <w:vertAlign w:val="superscript"/>
              </w:rPr>
              <w:t>(1)</w:t>
            </w:r>
          </w:p>
        </w:tc>
        <w:tc>
          <w:tcPr>
            <w:tcW w:w="1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 2022 - April 29, 2022</w:t>
            </w:r>
          </w:p>
        </w:tc>
        <w:tc>
          <w:tcPr>
            <w:tcW w:w="2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187,598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456.67</w:t>
            </w:r>
          </w:p>
        </w:tc>
        <w:tc>
          <w:tcPr>
            <w:tcW w:w="1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187,598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30, 2022 - May 27, 2022</w:t>
            </w:r>
          </w:p>
        </w:tc>
        <w:tc>
          <w:tcPr>
            <w:tcW w:w="2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253,224</w:t>
            </w:r>
          </w:p>
        </w:tc>
        <w:tc>
          <w:tcPr>
            <w:tcW w:w="280" w:type="dxa"/>
            <w:vAlign w:val="bottom"/>
          </w:tcPr>
          <w:p>
            <w:pPr>
              <w:spacing w:after="0"/>
              <w:rPr>
                <w:sz w:val="19"/>
                <w:szCs w:val="19"/>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455.19</w:t>
            </w:r>
          </w:p>
        </w:tc>
        <w:tc>
          <w:tcPr>
            <w:tcW w:w="1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253,224</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28, 2022 - July 1, 2022</w:t>
            </w:r>
          </w:p>
        </w:tc>
        <w:tc>
          <w:tcPr>
            <w:tcW w:w="2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265,638</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463.38</w:t>
            </w:r>
          </w:p>
        </w:tc>
        <w:tc>
          <w:tcPr>
            <w:tcW w:w="1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265,638</w:t>
            </w: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706,460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458.66</w:t>
            </w:r>
          </w:p>
        </w:tc>
        <w:tc>
          <w:tcPr>
            <w:tcW w:w="1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706,460</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commissions paid.</w:t>
      </w:r>
    </w:p>
    <w:p>
      <w:pPr>
        <w:spacing w:after="0" w:line="71"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financial statements for further information on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0000FF"/>
        </w:rPr>
        <w:t>Non-Employee Director Compensation Term Sheet, effective May 18, 2022</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0000FF"/>
        </w:rPr>
        <w:t>Consultant Contract dated as of April 11, 2022 by and between Northrop Grumman Systems Corporation and Blake E. Larson</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0000FF"/>
        </w:rPr>
        <w:t>Letter from Independent Registered Public Accounting Firm</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Certification of Kathy J. Warden pursuant to Section 302 of the Sarbanes-Oxley Act of 2002</w:t>
      </w:r>
    </w:p>
    <w:p>
      <w:pPr>
        <w:spacing w:after="0" w:line="77" w:lineRule="exact"/>
        <w:rPr>
          <w:sz w:val="20"/>
          <w:szCs w:val="20"/>
          <w:color w:val="auto"/>
        </w:rPr>
      </w:pPr>
    </w:p>
    <w:p>
      <w:pPr>
        <w:ind w:left="440" w:right="3460" w:firstLine="90"/>
        <w:spacing w:after="0" w:line="348"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0000FF"/>
        </w:rPr>
        <w:t>Certification of David F. Keffer pursuant to Section 302 of the Sarbanes-Oxley Act of 2002</w:t>
      </w:r>
      <w:r>
        <w:rPr>
          <w:rFonts w:ascii="Times New Roman" w:cs="Times New Roman" w:eastAsia="Times New Roman" w:hAnsi="Times New Roman"/>
          <w:sz w:val="17"/>
          <w:szCs w:val="17"/>
          <w:color w:val="auto"/>
        </w:rPr>
        <w:t xml:space="preserve"> **32.1 </w:t>
      </w:r>
      <w:r>
        <w:rPr>
          <w:rFonts w:ascii="Times New Roman" w:cs="Times New Roman" w:eastAsia="Times New Roman" w:hAnsi="Times New Roman"/>
          <w:sz w:val="17"/>
          <w:szCs w:val="17"/>
          <w:u w:val="single" w:color="auto"/>
          <w:color w:val="0000FF"/>
        </w:rPr>
        <w:t>Certification of Kathy J. Warden pursuant to Section 906 of the Sarbanes-Oxley Act of 2002</w:t>
      </w:r>
      <w:r>
        <w:rPr>
          <w:rFonts w:ascii="Times New Roman" w:cs="Times New Roman" w:eastAsia="Times New Roman" w:hAnsi="Times New Roman"/>
          <w:sz w:val="17"/>
          <w:szCs w:val="17"/>
          <w:color w:val="auto"/>
        </w:rPr>
        <w:t xml:space="preserve"> **32.2 </w:t>
      </w:r>
      <w:r>
        <w:rPr>
          <w:rFonts w:ascii="Times New Roman" w:cs="Times New Roman" w:eastAsia="Times New Roman" w:hAnsi="Times New Roman"/>
          <w:sz w:val="17"/>
          <w:szCs w:val="17"/>
          <w:u w:val="single" w:color="auto"/>
          <w:color w:val="0000FF"/>
        </w:rPr>
        <w:t>Certification of David F. Keffer pursuant to Section 906 of the Sarbanes-Oxley Act of 2002</w:t>
      </w:r>
    </w:p>
    <w:p>
      <w:pPr>
        <w:ind w:left="980" w:hanging="395"/>
        <w:spacing w:after="0" w:line="236" w:lineRule="auto"/>
        <w:rPr>
          <w:sz w:val="20"/>
          <w:szCs w:val="20"/>
          <w:color w:val="auto"/>
        </w:rPr>
      </w:pPr>
      <w:r>
        <w:rPr>
          <w:rFonts w:ascii="Times New Roman" w:cs="Times New Roman" w:eastAsia="Times New Roman" w:hAnsi="Times New Roman"/>
          <w:sz w:val="17"/>
          <w:szCs w:val="17"/>
          <w:color w:val="auto"/>
        </w:rPr>
        <w:t>*101 Northrop Grumman Corporation Quarterly Report on Form 10-Q for the quarter ended June 30, 2022, formatted as inline XBRL (Extensible Business Reporting Language): (i) the Cover Page, (ii) Condensed Consolidated Statements of Earnings and Comprehensive Income, (iii)</w:t>
      </w:r>
    </w:p>
    <w:p>
      <w:pPr>
        <w:ind w:left="980" w:right="20"/>
        <w:spacing w:after="0" w:line="218" w:lineRule="auto"/>
        <w:rPr>
          <w:sz w:val="20"/>
          <w:szCs w:val="20"/>
          <w:color w:val="auto"/>
        </w:rPr>
      </w:pPr>
      <w:r>
        <w:rPr>
          <w:rFonts w:ascii="Times New Roman" w:cs="Times New Roman" w:eastAsia="Times New Roman" w:hAnsi="Times New Roman"/>
          <w:sz w:val="18"/>
          <w:szCs w:val="18"/>
          <w:color w:val="auto"/>
        </w:rPr>
        <w:t>Condensed Consolidated Statements of Financial Position, (iv) Condensed Consolidated Statements of Cash Flows, (v) Condensed Consolidated Statements of Changes in Shareholders’ Equity, and (vi) Notes to Condensed Consolidated Financial Statements. The instance document does not appear in the Interactive Data File because its XBRL tags are embedded within the Inline XBRL document.</w:t>
      </w:r>
    </w:p>
    <w:p>
      <w:pPr>
        <w:spacing w:after="0" w:line="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126" w:lineRule="exact"/>
        <w:rPr>
          <w:sz w:val="20"/>
          <w:szCs w:val="20"/>
          <w:color w:val="auto"/>
        </w:rPr>
      </w:pPr>
    </w:p>
    <w:p>
      <w:pPr>
        <w:ind w:left="980" w:hanging="630"/>
        <w:spacing w:after="0"/>
        <w:tabs>
          <w:tab w:leader="none" w:pos="98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Management contract or compensatory plan or arrangement</w:t>
      </w:r>
    </w:p>
    <w:p>
      <w:pPr>
        <w:ind w:left="980" w:hanging="630"/>
        <w:spacing w:after="0" w:line="204" w:lineRule="auto"/>
        <w:tabs>
          <w:tab w:leader="none" w:pos="98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Filed with this report</w:t>
      </w:r>
    </w:p>
    <w:p>
      <w:pPr>
        <w:ind w:left="980" w:hanging="630"/>
        <w:spacing w:after="0" w:line="204" w:lineRule="auto"/>
        <w:tabs>
          <w:tab w:leader="none" w:pos="98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(Registrant)</w:t>
      </w:r>
    </w:p>
    <w:p>
      <w:pPr>
        <w:spacing w:after="0" w:line="1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By:</w:t>
      </w:r>
    </w:p>
    <w:p>
      <w:pPr>
        <w:ind w:left="7360"/>
        <w:spacing w:after="0"/>
        <w:rPr>
          <w:sz w:val="20"/>
          <w:szCs w:val="20"/>
          <w:color w:val="auto"/>
        </w:rPr>
      </w:pPr>
      <w:r>
        <w:rPr>
          <w:rFonts w:ascii="Times New Roman" w:cs="Times New Roman" w:eastAsia="Times New Roman" w:hAnsi="Times New Roman"/>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4445</wp:posOffset>
            </wp:positionV>
            <wp:extent cx="37890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ind w:left="7500"/>
        <w:spacing w:after="0"/>
        <w:rPr>
          <w:sz w:val="20"/>
          <w:szCs w:val="20"/>
          <w:color w:val="auto"/>
        </w:rPr>
      </w:pPr>
      <w:r>
        <w:rPr>
          <w:rFonts w:ascii="Times New Roman" w:cs="Times New Roman" w:eastAsia="Times New Roman" w:hAnsi="Times New Roman"/>
          <w:sz w:val="18"/>
          <w:szCs w:val="18"/>
          <w:color w:val="auto"/>
        </w:rPr>
        <w:t>Michael A. Hardesty</w:t>
      </w:r>
    </w:p>
    <w:p>
      <w:pPr>
        <w:jc w:val="center"/>
        <w:ind w:left="5240"/>
        <w:spacing w:after="0" w:line="205" w:lineRule="auto"/>
        <w:rPr>
          <w:sz w:val="20"/>
          <w:szCs w:val="20"/>
          <w:color w:val="auto"/>
        </w:rPr>
      </w:pPr>
      <w:r>
        <w:rPr>
          <w:rFonts w:ascii="Times New Roman" w:cs="Times New Roman" w:eastAsia="Times New Roman" w:hAnsi="Times New Roman"/>
          <w:sz w:val="18"/>
          <w:szCs w:val="18"/>
          <w:color w:val="auto"/>
        </w:rPr>
        <w:t>Corporate Vice President, Controller and</w:t>
      </w:r>
    </w:p>
    <w:p>
      <w:pPr>
        <w:jc w:val="center"/>
        <w:ind w:left="5240"/>
        <w:spacing w:after="0" w:line="204" w:lineRule="auto"/>
        <w:rPr>
          <w:sz w:val="20"/>
          <w:szCs w:val="20"/>
          <w:color w:val="auto"/>
        </w:rPr>
      </w:pPr>
      <w:r>
        <w:rPr>
          <w:rFonts w:ascii="Times New Roman" w:cs="Times New Roman" w:eastAsia="Times New Roman" w:hAnsi="Times New Roman"/>
          <w:sz w:val="18"/>
          <w:szCs w:val="18"/>
          <w:color w:val="auto"/>
        </w:rPr>
        <w:t>Chief Accounting Officer</w:t>
      </w:r>
    </w:p>
    <w:p>
      <w:pPr>
        <w:jc w:val="center"/>
        <w:ind w:left="52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27, 2022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00"/>
          </w:cols>
          <w:pgMar w:left="320" w:top="114" w:right="37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10.1</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Fees and Expenses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as of May 18, 2022)</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Retainer: </w:t>
      </w:r>
      <w:r>
        <w:rPr>
          <w:rFonts w:ascii="Times New Roman" w:cs="Times New Roman" w:eastAsia="Times New Roman" w:hAnsi="Times New Roman"/>
          <w:sz w:val="22"/>
          <w:szCs w:val="22"/>
          <w:color w:val="auto"/>
        </w:rPr>
        <w:t>Retainer fees are paid quarterly, at the end of each quarter. Fees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rPr>
              <w:t>Annual cash retainer:</w:t>
            </w:r>
          </w:p>
        </w:tc>
        <w:tc>
          <w:tcPr>
            <w:tcW w:w="210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$140,000</w:t>
            </w: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43"/>
        </w:trPr>
        <w:tc>
          <w:tcPr>
            <w:tcW w:w="45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Additional retainer for Lead Independent Director:</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$50,000</w:t>
            </w:r>
          </w:p>
        </w:tc>
      </w:tr>
      <w:tr>
        <w:trPr>
          <w:trHeight w:val="229"/>
        </w:trPr>
        <w:tc>
          <w:tcPr>
            <w:tcW w:w="4540" w:type="dxa"/>
            <w:vAlign w:val="bottom"/>
            <w:gridSpan w:val="3"/>
          </w:tcPr>
          <w:p>
            <w:pPr>
              <w:spacing w:after="0" w:line="229" w:lineRule="exact"/>
              <w:rPr>
                <w:sz w:val="20"/>
                <w:szCs w:val="20"/>
                <w:color w:val="auto"/>
              </w:rPr>
            </w:pPr>
            <w:r>
              <w:rPr>
                <w:rFonts w:ascii="Times New Roman" w:cs="Times New Roman" w:eastAsia="Times New Roman" w:hAnsi="Times New Roman"/>
                <w:sz w:val="22"/>
                <w:szCs w:val="22"/>
                <w:color w:val="auto"/>
              </w:rPr>
              <w:t>Additional retainer for Audit Committee:   $15,000</w:t>
            </w:r>
          </w:p>
        </w:tc>
        <w:tc>
          <w:tcPr>
            <w:tcW w:w="1040" w:type="dxa"/>
            <w:vAlign w:val="bottom"/>
          </w:tcPr>
          <w:p>
            <w:pPr>
              <w:spacing w:after="0"/>
              <w:rPr>
                <w:sz w:val="19"/>
                <w:szCs w:val="19"/>
                <w:color w:val="auto"/>
              </w:rPr>
            </w:pPr>
          </w:p>
        </w:tc>
      </w:tr>
      <w:tr>
        <w:trPr>
          <w:trHeight w:val="243"/>
        </w:trPr>
        <w:tc>
          <w:tcPr>
            <w:tcW w:w="41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9"/>
              </w:rPr>
              <w:t>Additional retainer for Audit Committee chair:</w:t>
            </w:r>
          </w:p>
        </w:tc>
        <w:tc>
          <w:tcPr>
            <w:tcW w:w="1460" w:type="dxa"/>
            <w:vAlign w:val="bottom"/>
            <w:gridSpan w:val="2"/>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$25,000</w:t>
            </w:r>
          </w:p>
        </w:tc>
      </w:tr>
      <w:tr>
        <w:trPr>
          <w:trHeight w:val="243"/>
        </w:trPr>
        <w:tc>
          <w:tcPr>
            <w:tcW w:w="41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Additional retainer for Comp Committee chair:</w:t>
            </w:r>
          </w:p>
        </w:tc>
        <w:tc>
          <w:tcPr>
            <w:tcW w:w="1460" w:type="dxa"/>
            <w:vAlign w:val="bottom"/>
            <w:gridSpan w:val="2"/>
          </w:tcPr>
          <w:p>
            <w:pPr>
              <w:jc w:val="right"/>
              <w:ind w:right="412"/>
              <w:spacing w:after="0" w:line="243" w:lineRule="exact"/>
              <w:rPr>
                <w:sz w:val="20"/>
                <w:szCs w:val="20"/>
                <w:color w:val="auto"/>
              </w:rPr>
            </w:pPr>
            <w:r>
              <w:rPr>
                <w:rFonts w:ascii="Times New Roman" w:cs="Times New Roman" w:eastAsia="Times New Roman" w:hAnsi="Times New Roman"/>
                <w:sz w:val="22"/>
                <w:szCs w:val="22"/>
                <w:color w:val="auto"/>
              </w:rPr>
              <w:t>$25,000</w:t>
            </w:r>
          </w:p>
        </w:tc>
      </w:tr>
      <w:tr>
        <w:trPr>
          <w:trHeight w:val="243"/>
        </w:trPr>
        <w:tc>
          <w:tcPr>
            <w:tcW w:w="41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Additional retainer for Gov Committee chair</w:t>
            </w:r>
          </w:p>
        </w:tc>
        <w:tc>
          <w:tcPr>
            <w:tcW w:w="1460" w:type="dxa"/>
            <w:vAlign w:val="bottom"/>
            <w:gridSpan w:val="2"/>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7"/>
              </w:rPr>
              <w:t>$25,000</w:t>
            </w:r>
          </w:p>
        </w:tc>
      </w:tr>
      <w:tr>
        <w:trPr>
          <w:trHeight w:val="282"/>
        </w:trPr>
        <w:tc>
          <w:tcPr>
            <w:tcW w:w="41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Additional retainer for Policy Committee chair</w:t>
            </w:r>
          </w:p>
        </w:tc>
        <w:tc>
          <w:tcPr>
            <w:tcW w:w="42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$25,000</w:t>
            </w:r>
          </w:p>
        </w:tc>
      </w:tr>
    </w:tbl>
    <w:p>
      <w:pPr>
        <w:spacing w:after="0" w:line="200" w:lineRule="exact"/>
        <w:rPr>
          <w:sz w:val="20"/>
          <w:szCs w:val="20"/>
          <w:color w:val="auto"/>
        </w:rPr>
      </w:pPr>
    </w:p>
    <w:p>
      <w:pPr>
        <w:ind w:left="1620" w:right="60" w:hanging="161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Equity Grant: </w:t>
      </w:r>
      <w:r>
        <w:rPr>
          <w:rFonts w:ascii="Times New Roman" w:cs="Times New Roman" w:eastAsia="Times New Roman" w:hAnsi="Times New Roman"/>
          <w:sz w:val="22"/>
          <w:szCs w:val="22"/>
          <w:color w:val="auto"/>
        </w:rPr>
        <w:t>Directors are awarded an annual equity grant of $175,000 in deferred stock units (“Automatic Stock Units”),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awarded annually on the day of the Company’s Annual Meeting of Shareholders. The Automatic Stock Units will vest on the one year anniversary of the grant date. Directors may elect to have all or any portion of their Automatic Stock Units paid on (A) the earlier of (i) the beginning of a specified calendar year after the vesting date or (ii) their separation from service as a member of the Board or (B) the vesting date.</w:t>
      </w:r>
    </w:p>
    <w:p>
      <w:pPr>
        <w:spacing w:after="0" w:line="204" w:lineRule="exact"/>
        <w:rPr>
          <w:sz w:val="20"/>
          <w:szCs w:val="20"/>
          <w:color w:val="auto"/>
        </w:rPr>
      </w:pPr>
    </w:p>
    <w:p>
      <w:pPr>
        <w:ind w:left="1620" w:right="20" w:hanging="1619"/>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Deferral of Cash Retainer: </w:t>
      </w:r>
      <w:r>
        <w:rPr>
          <w:rFonts w:ascii="Times New Roman" w:cs="Times New Roman" w:eastAsia="Times New Roman" w:hAnsi="Times New Roman"/>
          <w:sz w:val="22"/>
          <w:szCs w:val="22"/>
          <w:color w:val="auto"/>
        </w:rPr>
        <w:t>Directors may elect to defer payment of all or a portion of their cash retainer fees and any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committee retainer fees into a deferred stock unit account (“Elective Stock Units”). Elective Stock Units are awarded on a calendar quarterly basis. Directors may elect to have all or a portion of their Elective Stock Units paid on the earlier of (i) the beginning of a specified calendar year or (ii) their separation from service as a member of the Board.</w:t>
      </w:r>
    </w:p>
    <w:p>
      <w:pPr>
        <w:spacing w:after="0" w:line="201" w:lineRule="exact"/>
        <w:rPr>
          <w:sz w:val="20"/>
          <w:szCs w:val="20"/>
          <w:color w:val="auto"/>
        </w:rPr>
      </w:pPr>
    </w:p>
    <w:p>
      <w:pPr>
        <w:jc w:val="both"/>
        <w:ind w:left="1620" w:right="120" w:hanging="161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Elective Deferral Program: </w:t>
      </w:r>
      <w:r>
        <w:rPr>
          <w:rFonts w:ascii="Times New Roman" w:cs="Times New Roman" w:eastAsia="Times New Roman" w:hAnsi="Times New Roman"/>
          <w:sz w:val="22"/>
          <w:szCs w:val="22"/>
          <w:color w:val="auto"/>
        </w:rPr>
        <w:t>Directors may elect to defer to a later year all or a portion of their annual cash retainer and any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fees payable for their Board service into alternative investment options similar to the options available under Northrop Grumman’s Savings Excess Plan.</w:t>
      </w:r>
    </w:p>
    <w:p>
      <w:pPr>
        <w:spacing w:after="0" w:line="194" w:lineRule="exact"/>
        <w:rPr>
          <w:sz w:val="20"/>
          <w:szCs w:val="20"/>
          <w:color w:val="auto"/>
        </w:rPr>
      </w:pPr>
    </w:p>
    <w:p>
      <w:pPr>
        <w:jc w:val="both"/>
        <w:ind w:left="1540" w:right="420" w:hanging="1538"/>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Stock Ownership: </w:t>
      </w:r>
      <w:r>
        <w:rPr>
          <w:rFonts w:ascii="Times New Roman" w:cs="Times New Roman" w:eastAsia="Times New Roman" w:hAnsi="Times New Roman"/>
          <w:sz w:val="21"/>
          <w:szCs w:val="21"/>
          <w:color w:val="auto"/>
        </w:rPr>
        <w:t>All directors are required to own Company stock in an amount equal to five times the annual cash retainer,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with such ownership to be achieved within five years of the director’s election to the Board. Deferred stock units and Company stock owned outright by the director will count towards this requirement.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Expenses: </w:t>
      </w:r>
      <w:r>
        <w:rPr>
          <w:rFonts w:ascii="Times New Roman" w:cs="Times New Roman" w:eastAsia="Times New Roman" w:hAnsi="Times New Roman"/>
          <w:sz w:val="22"/>
          <w:szCs w:val="22"/>
          <w:u w:val="single" w:color="auto"/>
          <w:color w:val="auto"/>
        </w:rPr>
        <w:t>Transportation</w:t>
      </w:r>
    </w:p>
    <w:p>
      <w:pPr>
        <w:spacing w:after="0" w:line="5" w:lineRule="exact"/>
        <w:rPr>
          <w:sz w:val="20"/>
          <w:szCs w:val="20"/>
          <w:color w:val="auto"/>
        </w:rPr>
      </w:pPr>
    </w:p>
    <w:p>
      <w:pPr>
        <w:ind w:left="1540" w:right="200"/>
        <w:spacing w:after="0" w:line="233" w:lineRule="auto"/>
        <w:rPr>
          <w:sz w:val="20"/>
          <w:szCs w:val="20"/>
          <w:color w:val="auto"/>
        </w:rPr>
      </w:pPr>
      <w:r>
        <w:rPr>
          <w:rFonts w:ascii="Times New Roman" w:cs="Times New Roman" w:eastAsia="Times New Roman" w:hAnsi="Times New Roman"/>
          <w:sz w:val="22"/>
          <w:szCs w:val="22"/>
          <w:color w:val="auto"/>
        </w:rPr>
        <w:t>Ordinary and necessary business expenses will be reimbursed to traveling directors after presentation of original receipts to the company. Directors will be reimbursed for round trip first class air travel from the director’s regular place of business or residence. Whenever possible, directors will be transported to board meetings by our own company aircraft. Surface travel will be reimbursed at the current mileage allowance for traveling executives.</w:t>
      </w:r>
    </w:p>
    <w:p>
      <w:pPr>
        <w:sectPr>
          <w:pgSz w:w="11900" w:h="16838" w:orient="portrait"/>
          <w:cols w:equalWidth="0" w:num="1">
            <w:col w:w="11240"/>
          </w:cols>
          <w:pgMar w:left="320" w:top="60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10.1</w:t>
      </w:r>
    </w:p>
    <w:p>
      <w:pPr>
        <w:spacing w:after="0" w:line="200" w:lineRule="exact"/>
        <w:rPr>
          <w:sz w:val="20"/>
          <w:szCs w:val="20"/>
          <w:color w:val="auto"/>
        </w:rPr>
      </w:pPr>
    </w:p>
    <w:p>
      <w:pPr>
        <w:spacing w:after="0" w:line="398" w:lineRule="exact"/>
        <w:rPr>
          <w:sz w:val="20"/>
          <w:szCs w:val="20"/>
          <w:color w:val="auto"/>
        </w:rPr>
      </w:pPr>
    </w:p>
    <w:p>
      <w:pPr>
        <w:jc w:val="both"/>
        <w:ind w:left="1540" w:right="220"/>
        <w:spacing w:after="0" w:line="239" w:lineRule="auto"/>
        <w:rPr>
          <w:sz w:val="20"/>
          <w:szCs w:val="20"/>
          <w:color w:val="auto"/>
        </w:rPr>
      </w:pPr>
      <w:r>
        <w:rPr>
          <w:rFonts w:ascii="Times New Roman" w:cs="Times New Roman" w:eastAsia="Times New Roman" w:hAnsi="Times New Roman"/>
          <w:sz w:val="22"/>
          <w:szCs w:val="22"/>
          <w:color w:val="auto"/>
        </w:rPr>
        <w:t>Currently, that rate is 55 cents per mile, if the director is driving locally. Taxi service will be reimbursed upon presentation of a receipt. Northrop Grumman arranges drivers from an executive security service to transport directors between the airport and the hotel currently in use and Northrop Grumman drivers transport directors from the hotel to the meeting location.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Hotels</w:t>
      </w:r>
    </w:p>
    <w:p>
      <w:pPr>
        <w:spacing w:after="0" w:line="14" w:lineRule="exact"/>
        <w:rPr>
          <w:sz w:val="20"/>
          <w:szCs w:val="20"/>
          <w:color w:val="auto"/>
        </w:rPr>
      </w:pPr>
    </w:p>
    <w:p>
      <w:pPr>
        <w:ind w:left="1540" w:right="20"/>
        <w:spacing w:after="0" w:line="230" w:lineRule="auto"/>
        <w:rPr>
          <w:sz w:val="20"/>
          <w:szCs w:val="20"/>
          <w:color w:val="auto"/>
        </w:rPr>
      </w:pPr>
      <w:r>
        <w:rPr>
          <w:rFonts w:ascii="Times New Roman" w:cs="Times New Roman" w:eastAsia="Times New Roman" w:hAnsi="Times New Roman"/>
          <w:sz w:val="22"/>
          <w:szCs w:val="22"/>
          <w:color w:val="auto"/>
        </w:rPr>
        <w:t>The Corporate Secretary’s office will make hotel arrangements for directors in connection with the board and committee meetings. Drivers are available to transport directors to the board and committee meetings. Directors may bill their room charges directly to the Northrop Grumman master account that has been established for director visits.</w:t>
      </w:r>
    </w:p>
    <w:p>
      <w:pPr>
        <w:sectPr>
          <w:pgSz w:w="11900" w:h="16838" w:orient="portrait"/>
          <w:cols w:equalWidth="0" w:num="1">
            <w:col w:w="11240"/>
          </w:cols>
          <w:pgMar w:left="320" w:top="603" w:right="339" w:bottom="1440" w:gutter="0" w:footer="0" w:header="0"/>
        </w:sectPr>
      </w:pPr>
    </w:p>
    <w:bookmarkStart w:id="42" w:name="page43"/>
    <w:bookmarkEnd w:id="42"/>
    <w:p>
      <w:pPr>
        <w:ind w:left="10320"/>
        <w:spacing w:after="0"/>
        <w:rPr>
          <w:sz w:val="20"/>
          <w:szCs w:val="20"/>
          <w:color w:val="auto"/>
        </w:rPr>
      </w:pPr>
      <w:r>
        <w:rPr>
          <w:rFonts w:ascii="Times New Roman" w:cs="Times New Roman" w:eastAsia="Times New Roman" w:hAnsi="Times New Roman"/>
          <w:sz w:val="17"/>
          <w:szCs w:val="17"/>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10101"/>
        </w:rPr>
        <w:t>CONSULTANT CONTRACT</w:t>
      </w:r>
    </w:p>
    <w:p>
      <w:pPr>
        <w:spacing w:after="0" w:line="23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b w:val="1"/>
          <w:bCs w:val="1"/>
          <w:color w:val="010101"/>
        </w:rPr>
        <w:t>BLAKE E. LARSON</w:t>
      </w:r>
    </w:p>
    <w:p>
      <w:pPr>
        <w:spacing w:after="0" w:line="26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010101"/>
        </w:rPr>
        <w:t xml:space="preserve">This agreement for consulting services ("Agreement") is between </w:t>
      </w:r>
      <w:r>
        <w:rPr>
          <w:rFonts w:ascii="Times New Roman" w:cs="Times New Roman" w:eastAsia="Times New Roman" w:hAnsi="Times New Roman"/>
          <w:sz w:val="18"/>
          <w:szCs w:val="18"/>
          <w:b w:val="1"/>
          <w:bCs w:val="1"/>
          <w:color w:val="010101"/>
        </w:rPr>
        <w:t>Northrop Grumman Systems Corporation,</w:t>
      </w:r>
      <w:r>
        <w:rPr>
          <w:rFonts w:ascii="Times New Roman" w:cs="Times New Roman" w:eastAsia="Times New Roman" w:hAnsi="Times New Roman"/>
          <w:sz w:val="18"/>
          <w:szCs w:val="18"/>
          <w:color w:val="010101"/>
        </w:rPr>
        <w:t xml:space="preserve"> a Delaware corporation whose principal place of business is located at 2980 Fairview Park Drive, Falls Church, VA ("NGSC" or </w:t>
      </w:r>
      <w:r>
        <w:rPr>
          <w:rFonts w:ascii="Times New Roman" w:cs="Times New Roman" w:eastAsia="Times New Roman" w:hAnsi="Times New Roman"/>
          <w:sz w:val="18"/>
          <w:szCs w:val="18"/>
          <w:color w:val="181818"/>
        </w:rPr>
        <w:t>"the</w:t>
      </w:r>
      <w:r>
        <w:rPr>
          <w:rFonts w:ascii="Times New Roman" w:cs="Times New Roman" w:eastAsia="Times New Roman" w:hAnsi="Times New Roman"/>
          <w:sz w:val="18"/>
          <w:szCs w:val="18"/>
          <w:color w:val="010101"/>
        </w:rPr>
        <w:t xml:space="preserve"> Company") and </w:t>
      </w:r>
      <w:r>
        <w:rPr>
          <w:rFonts w:ascii="Times New Roman" w:cs="Times New Roman" w:eastAsia="Times New Roman" w:hAnsi="Times New Roman"/>
          <w:sz w:val="18"/>
          <w:szCs w:val="18"/>
          <w:b w:val="1"/>
          <w:bCs w:val="1"/>
          <w:color w:val="010101"/>
        </w:rPr>
        <w:t>Blake E. Larson</w:t>
      </w:r>
      <w:r>
        <w:rPr>
          <w:rFonts w:ascii="Times New Roman" w:cs="Times New Roman" w:eastAsia="Times New Roman" w:hAnsi="Times New Roman"/>
          <w:sz w:val="18"/>
          <w:szCs w:val="18"/>
          <w:color w:val="010101"/>
        </w:rPr>
        <w:t xml:space="preserve"> of Naples, FL ("Consultant" or </w:t>
      </w:r>
      <w:r>
        <w:rPr>
          <w:rFonts w:ascii="Times New Roman" w:cs="Times New Roman" w:eastAsia="Times New Roman" w:hAnsi="Times New Roman"/>
          <w:sz w:val="18"/>
          <w:szCs w:val="18"/>
          <w:color w:val="181818"/>
        </w:rPr>
        <w:t>"Mr</w:t>
      </w:r>
      <w:r>
        <w:rPr>
          <w:rFonts w:ascii="Times New Roman" w:cs="Times New Roman" w:eastAsia="Times New Roman" w:hAnsi="Times New Roman"/>
          <w:sz w:val="18"/>
          <w:szCs w:val="18"/>
          <w:color w:val="383838"/>
        </w:rPr>
        <w:t>.</w:t>
      </w:r>
      <w:r>
        <w:rPr>
          <w:rFonts w:ascii="Times New Roman" w:cs="Times New Roman" w:eastAsia="Times New Roman" w:hAnsi="Times New Roman"/>
          <w:sz w:val="18"/>
          <w:szCs w:val="18"/>
          <w:color w:val="010101"/>
        </w:rPr>
        <w:t xml:space="preserve"> Larson") (each </w:t>
      </w:r>
      <w:r>
        <w:rPr>
          <w:rFonts w:ascii="Times New Roman" w:cs="Times New Roman" w:eastAsia="Times New Roman" w:hAnsi="Times New Roman"/>
          <w:sz w:val="18"/>
          <w:szCs w:val="18"/>
          <w:color w:val="181818"/>
        </w:rPr>
        <w:t>"a</w:t>
      </w:r>
      <w:r>
        <w:rPr>
          <w:rFonts w:ascii="Times New Roman" w:cs="Times New Roman" w:eastAsia="Times New Roman" w:hAnsi="Times New Roman"/>
          <w:sz w:val="18"/>
          <w:szCs w:val="18"/>
          <w:color w:val="010101"/>
        </w:rPr>
        <w:t xml:space="preserve"> party", collectively </w:t>
      </w:r>
      <w:r>
        <w:rPr>
          <w:rFonts w:ascii="Times New Roman" w:cs="Times New Roman" w:eastAsia="Times New Roman" w:hAnsi="Times New Roman"/>
          <w:sz w:val="18"/>
          <w:szCs w:val="18"/>
          <w:color w:val="181818"/>
        </w:rPr>
        <w:t>"the</w:t>
      </w:r>
      <w:r>
        <w:rPr>
          <w:rFonts w:ascii="Times New Roman" w:cs="Times New Roman" w:eastAsia="Times New Roman" w:hAnsi="Times New Roman"/>
          <w:sz w:val="18"/>
          <w:szCs w:val="18"/>
          <w:color w:val="010101"/>
        </w:rPr>
        <w:t xml:space="preserve"> parties")</w:t>
      </w:r>
      <w:r>
        <w:rPr>
          <w:rFonts w:ascii="Times New Roman" w:cs="Times New Roman" w:eastAsia="Times New Roman" w:hAnsi="Times New Roman"/>
          <w:sz w:val="18"/>
          <w:szCs w:val="18"/>
          <w:color w:val="383838"/>
        </w:rPr>
        <w:t>.</w:t>
      </w:r>
    </w:p>
    <w:p>
      <w:pPr>
        <w:spacing w:after="0" w:line="176" w:lineRule="exact"/>
        <w:rPr>
          <w:sz w:val="20"/>
          <w:szCs w:val="20"/>
          <w:color w:val="auto"/>
        </w:rPr>
      </w:pPr>
    </w:p>
    <w:p>
      <w:pPr>
        <w:ind w:left="300" w:hanging="292"/>
        <w:spacing w:after="0"/>
        <w:tabs>
          <w:tab w:leader="none" w:pos="300" w:val="left"/>
        </w:tabs>
        <w:numPr>
          <w:ilvl w:val="0"/>
          <w:numId w:val="23"/>
        </w:numPr>
        <w:rPr>
          <w:rFonts w:ascii="Times New Roman" w:cs="Times New Roman" w:eastAsia="Times New Roman" w:hAnsi="Times New Roman"/>
          <w:sz w:val="18"/>
          <w:szCs w:val="18"/>
          <w:b w:val="1"/>
          <w:bCs w:val="1"/>
          <w:color w:val="010101"/>
        </w:rPr>
      </w:pPr>
      <w:r>
        <w:rPr>
          <w:rFonts w:ascii="Times New Roman" w:cs="Times New Roman" w:eastAsia="Times New Roman" w:hAnsi="Times New Roman"/>
          <w:sz w:val="18"/>
          <w:szCs w:val="18"/>
          <w:b w:val="1"/>
          <w:bCs w:val="1"/>
          <w:u w:val="single" w:color="auto"/>
          <w:color w:val="010101"/>
        </w:rPr>
        <w:t>ENGAGEMENT</w:t>
      </w:r>
    </w:p>
    <w:p>
      <w:pPr>
        <w:spacing w:after="0" w:line="31" w:lineRule="exact"/>
        <w:rPr>
          <w:sz w:val="20"/>
          <w:szCs w:val="20"/>
          <w:color w:val="auto"/>
        </w:rPr>
      </w:pPr>
    </w:p>
    <w:p>
      <w:pPr>
        <w:jc w:val="both"/>
        <w:ind w:firstLine="751"/>
        <w:spacing w:after="0" w:line="283" w:lineRule="auto"/>
        <w:rPr>
          <w:sz w:val="20"/>
          <w:szCs w:val="20"/>
          <w:color w:val="auto"/>
        </w:rPr>
      </w:pPr>
      <w:r>
        <w:rPr>
          <w:rFonts w:ascii="Times New Roman" w:cs="Times New Roman" w:eastAsia="Times New Roman" w:hAnsi="Times New Roman"/>
          <w:sz w:val="18"/>
          <w:szCs w:val="18"/>
          <w:color w:val="010101"/>
        </w:rPr>
        <w:t>NGSC hereby retains Consultant to provide such advice and participate in such meetings and events for the benefit of the Company and its affiliates, as may be requested by the Company</w:t>
      </w:r>
      <w:r>
        <w:rPr>
          <w:rFonts w:ascii="Times New Roman" w:cs="Times New Roman" w:eastAsia="Times New Roman" w:hAnsi="Times New Roman"/>
          <w:sz w:val="18"/>
          <w:szCs w:val="18"/>
          <w:color w:val="383838"/>
        </w:rPr>
        <w:t>.</w:t>
      </w:r>
      <w:r>
        <w:rPr>
          <w:rFonts w:ascii="Times New Roman" w:cs="Times New Roman" w:eastAsia="Times New Roman" w:hAnsi="Times New Roman"/>
          <w:sz w:val="18"/>
          <w:szCs w:val="18"/>
          <w:color w:val="010101"/>
        </w:rPr>
        <w:t xml:space="preserve"> Such representation may include, but </w:t>
      </w:r>
      <w:r>
        <w:rPr>
          <w:rFonts w:ascii="Times New Roman" w:cs="Times New Roman" w:eastAsia="Times New Roman" w:hAnsi="Times New Roman"/>
          <w:sz w:val="18"/>
          <w:szCs w:val="18"/>
          <w:color w:val="181818"/>
        </w:rPr>
        <w:t>is</w:t>
      </w:r>
      <w:r>
        <w:rPr>
          <w:rFonts w:ascii="Times New Roman" w:cs="Times New Roman" w:eastAsia="Times New Roman" w:hAnsi="Times New Roman"/>
          <w:sz w:val="18"/>
          <w:szCs w:val="18"/>
          <w:color w:val="010101"/>
        </w:rPr>
        <w:t xml:space="preserve"> not limited to, the provision of technical advice and assistance</w:t>
      </w:r>
      <w:r>
        <w:rPr>
          <w:rFonts w:ascii="Times New Roman" w:cs="Times New Roman" w:eastAsia="Times New Roman" w:hAnsi="Times New Roman"/>
          <w:sz w:val="18"/>
          <w:szCs w:val="18"/>
          <w:color w:val="383838"/>
        </w:rPr>
        <w:t>.</w:t>
      </w:r>
      <w:r>
        <w:rPr>
          <w:rFonts w:ascii="Times New Roman" w:cs="Times New Roman" w:eastAsia="Times New Roman" w:hAnsi="Times New Roman"/>
          <w:sz w:val="18"/>
          <w:szCs w:val="18"/>
          <w:color w:val="010101"/>
        </w:rPr>
        <w:t xml:space="preserve"> Consultant shall serve at NGSC's call. Consultant's principal point of contact at the Company with respect to the specific nature and scope of the services to be provided hereunder is Northrop Grumman's Chief Executive Officer, a Corporate Vice President, or their designees ("POC")</w:t>
      </w:r>
      <w:r>
        <w:rPr>
          <w:rFonts w:ascii="Times New Roman" w:cs="Times New Roman" w:eastAsia="Times New Roman" w:hAnsi="Times New Roman"/>
          <w:sz w:val="18"/>
          <w:szCs w:val="18"/>
          <w:color w:val="5B5B5B"/>
        </w:rPr>
        <w:t>.</w:t>
      </w:r>
      <w:r>
        <w:rPr>
          <w:rFonts w:ascii="Times New Roman" w:cs="Times New Roman" w:eastAsia="Times New Roman" w:hAnsi="Times New Roman"/>
          <w:sz w:val="18"/>
          <w:szCs w:val="18"/>
          <w:color w:val="010101"/>
        </w:rPr>
        <w:t xml:space="preserve"> In any month Consultant provides consulting services, Consultant shall submit monthly written reports to NGSC, in the format described in </w:t>
      </w:r>
      <w:r>
        <w:rPr>
          <w:rFonts w:ascii="Times New Roman" w:cs="Times New Roman" w:eastAsia="Times New Roman" w:hAnsi="Times New Roman"/>
          <w:sz w:val="18"/>
          <w:szCs w:val="18"/>
          <w:b w:val="1"/>
          <w:bCs w:val="1"/>
          <w:color w:val="010101"/>
        </w:rPr>
        <w:t>Attachment B,</w:t>
      </w:r>
      <w:r>
        <w:rPr>
          <w:rFonts w:ascii="Times New Roman" w:cs="Times New Roman" w:eastAsia="Times New Roman" w:hAnsi="Times New Roman"/>
          <w:sz w:val="18"/>
          <w:szCs w:val="18"/>
          <w:color w:val="010101"/>
        </w:rPr>
        <w:t xml:space="preserve"> setting forth the actions taken on behalf of NGSC and such other reports as NGSC may require</w:t>
      </w:r>
      <w:r>
        <w:rPr>
          <w:rFonts w:ascii="Times New Roman" w:cs="Times New Roman" w:eastAsia="Times New Roman" w:hAnsi="Times New Roman"/>
          <w:sz w:val="18"/>
          <w:szCs w:val="18"/>
          <w:color w:val="383838"/>
        </w:rPr>
        <w:t>.</w:t>
      </w:r>
    </w:p>
    <w:p>
      <w:pPr>
        <w:spacing w:after="0" w:line="187"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b w:val="1"/>
          <w:bCs w:val="1"/>
          <w:color w:val="010101"/>
        </w:rPr>
      </w:pPr>
      <w:r>
        <w:rPr>
          <w:rFonts w:ascii="Times New Roman" w:cs="Times New Roman" w:eastAsia="Times New Roman" w:hAnsi="Times New Roman"/>
          <w:sz w:val="18"/>
          <w:szCs w:val="18"/>
          <w:b w:val="1"/>
          <w:bCs w:val="1"/>
          <w:u w:val="single" w:color="auto"/>
          <w:color w:val="010101"/>
        </w:rPr>
        <w:t>PLACE OF ENGAGEMENT</w:t>
      </w:r>
    </w:p>
    <w:p>
      <w:pPr>
        <w:spacing w:after="0" w:line="270" w:lineRule="exact"/>
        <w:rPr>
          <w:sz w:val="20"/>
          <w:szCs w:val="20"/>
          <w:color w:val="auto"/>
        </w:rPr>
      </w:pPr>
    </w:p>
    <w:p>
      <w:pPr>
        <w:jc w:val="both"/>
        <w:ind w:firstLine="747"/>
        <w:spacing w:after="0" w:line="297" w:lineRule="auto"/>
        <w:rPr>
          <w:sz w:val="20"/>
          <w:szCs w:val="20"/>
          <w:color w:val="auto"/>
        </w:rPr>
      </w:pPr>
      <w:r>
        <w:rPr>
          <w:rFonts w:ascii="Times New Roman" w:cs="Times New Roman" w:eastAsia="Times New Roman" w:hAnsi="Times New Roman"/>
          <w:sz w:val="18"/>
          <w:szCs w:val="18"/>
          <w:color w:val="010101"/>
        </w:rPr>
        <w:t>Consultant shall perform the services called for under this Agreement at Consultant's place of business and at such other places as NGSC may reasonably require</w:t>
      </w:r>
      <w:r>
        <w:rPr>
          <w:rFonts w:ascii="Times New Roman" w:cs="Times New Roman" w:eastAsia="Times New Roman" w:hAnsi="Times New Roman"/>
          <w:sz w:val="18"/>
          <w:szCs w:val="18"/>
          <w:color w:val="383838"/>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101"/>
        </w:rPr>
        <w:t xml:space="preserve">Ill. </w:t>
      </w:r>
      <w:r>
        <w:rPr>
          <w:rFonts w:ascii="Times New Roman" w:cs="Times New Roman" w:eastAsia="Times New Roman" w:hAnsi="Times New Roman"/>
          <w:sz w:val="18"/>
          <w:szCs w:val="18"/>
          <w:b w:val="1"/>
          <w:bCs w:val="1"/>
          <w:u w:val="single" w:color="auto"/>
          <w:color w:val="010101"/>
        </w:rPr>
        <w:t>TERM OF ENGAGEMENT</w:t>
      </w:r>
    </w:p>
    <w:p>
      <w:pPr>
        <w:spacing w:after="0" w:line="270" w:lineRule="exact"/>
        <w:rPr>
          <w:sz w:val="20"/>
          <w:szCs w:val="20"/>
          <w:color w:val="auto"/>
        </w:rPr>
      </w:pPr>
    </w:p>
    <w:p>
      <w:pPr>
        <w:jc w:val="both"/>
        <w:ind w:firstLine="806"/>
        <w:spacing w:after="0" w:line="289" w:lineRule="auto"/>
        <w:rPr>
          <w:sz w:val="20"/>
          <w:szCs w:val="20"/>
          <w:color w:val="auto"/>
        </w:rPr>
      </w:pPr>
      <w:r>
        <w:rPr>
          <w:rFonts w:ascii="Times New Roman" w:cs="Times New Roman" w:eastAsia="Times New Roman" w:hAnsi="Times New Roman"/>
          <w:sz w:val="18"/>
          <w:szCs w:val="18"/>
          <w:color w:val="010101"/>
        </w:rPr>
        <w:t>Unless earlier terminated pursuant to this Agreement, the term of this Agreement shall be for one year, commencing upon execution and terminating one year thereafter. This Agreement may be renewed or extended for such time as Northrop Grumman and the Consultant may agree upon in writing</w:t>
      </w:r>
      <w:r>
        <w:rPr>
          <w:rFonts w:ascii="Times New Roman" w:cs="Times New Roman" w:eastAsia="Times New Roman" w:hAnsi="Times New Roman"/>
          <w:sz w:val="18"/>
          <w:szCs w:val="18"/>
          <w:color w:val="383838"/>
        </w:rPr>
        <w:t>.</w:t>
      </w:r>
    </w:p>
    <w:p>
      <w:pPr>
        <w:spacing w:after="0" w:line="19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010101"/>
        </w:rPr>
        <w:t>IV.</w:t>
      </w:r>
      <w:r>
        <w:rPr>
          <w:sz w:val="20"/>
          <w:szCs w:val="20"/>
          <w:color w:val="auto"/>
        </w:rPr>
        <w:tab/>
      </w:r>
      <w:r>
        <w:rPr>
          <w:rFonts w:ascii="Times New Roman" w:cs="Times New Roman" w:eastAsia="Times New Roman" w:hAnsi="Times New Roman"/>
          <w:sz w:val="17"/>
          <w:szCs w:val="17"/>
          <w:b w:val="1"/>
          <w:bCs w:val="1"/>
          <w:u w:val="single" w:color="auto"/>
          <w:color w:val="010101"/>
        </w:rPr>
        <w:t>COMPENSATION</w:t>
      </w:r>
    </w:p>
    <w:p>
      <w:pPr>
        <w:spacing w:after="0" w:line="266" w:lineRule="exact"/>
        <w:rPr>
          <w:sz w:val="20"/>
          <w:szCs w:val="20"/>
          <w:color w:val="auto"/>
        </w:rPr>
      </w:pPr>
    </w:p>
    <w:p>
      <w:pPr>
        <w:jc w:val="both"/>
        <w:ind w:left="660" w:hanging="4"/>
        <w:spacing w:after="0" w:line="313" w:lineRule="auto"/>
        <w:tabs>
          <w:tab w:leader="none" w:pos="1307"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010101"/>
        </w:rPr>
        <w:t>Fee.</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NGSC shall pay Consultant and Consultant shall accept from NGSC in full payment for services hereunder, compensation at the rate</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 xml:space="preserve">of </w:t>
      </w:r>
      <w:r>
        <w:rPr>
          <w:rFonts w:ascii="Times New Roman" w:cs="Times New Roman" w:eastAsia="Times New Roman" w:hAnsi="Times New Roman"/>
          <w:sz w:val="18"/>
          <w:szCs w:val="18"/>
          <w:b w:val="1"/>
          <w:bCs w:val="1"/>
          <w:color w:val="010101"/>
        </w:rPr>
        <w:t>Five Hundred Dollars ($500.00) per hour,</w:t>
      </w:r>
      <w:r>
        <w:rPr>
          <w:rFonts w:ascii="Times New Roman" w:cs="Times New Roman" w:eastAsia="Times New Roman" w:hAnsi="Times New Roman"/>
          <w:sz w:val="18"/>
          <w:szCs w:val="18"/>
          <w:color w:val="010101"/>
        </w:rPr>
        <w:t xml:space="preserve"> upon submittal of an invoice, provided however, Consultant shall not provide services in excess of</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010101"/>
        </w:rPr>
        <w:t>One Hundred and</w:t>
      </w:r>
    </w:p>
    <w:p>
      <w:pPr>
        <w:spacing w:after="0" w:line="63" w:lineRule="exact"/>
        <w:rPr>
          <w:rFonts w:ascii="Times New Roman" w:cs="Times New Roman" w:eastAsia="Times New Roman" w:hAnsi="Times New Roman"/>
          <w:sz w:val="18"/>
          <w:szCs w:val="18"/>
          <w:b w:val="1"/>
          <w:bCs w:val="1"/>
          <w:color w:val="auto"/>
        </w:rPr>
      </w:pPr>
    </w:p>
    <w:p>
      <w:pPr>
        <w:jc w:val="both"/>
        <w:ind w:left="660"/>
        <w:spacing w:after="0" w:line="34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010101"/>
        </w:rPr>
        <w:t>Twenty (120) hours per 3-month quarter</w:t>
      </w:r>
      <w:r>
        <w:rPr>
          <w:rFonts w:ascii="Times New Roman" w:cs="Times New Roman" w:eastAsia="Times New Roman" w:hAnsi="Times New Roman"/>
          <w:sz w:val="17"/>
          <w:szCs w:val="17"/>
          <w:b w:val="1"/>
          <w:bCs w:val="1"/>
          <w:color w:val="525252"/>
        </w:rPr>
        <w:t>.</w:t>
      </w:r>
      <w:r>
        <w:rPr>
          <w:rFonts w:ascii="Times New Roman" w:cs="Times New Roman" w:eastAsia="Times New Roman" w:hAnsi="Times New Roman"/>
          <w:sz w:val="17"/>
          <w:szCs w:val="17"/>
          <w:b w:val="1"/>
          <w:bCs w:val="1"/>
          <w:color w:val="010101"/>
        </w:rPr>
        <w:t xml:space="preserve"> </w:t>
      </w:r>
      <w:r>
        <w:rPr>
          <w:rFonts w:ascii="Times New Roman" w:cs="Times New Roman" w:eastAsia="Times New Roman" w:hAnsi="Times New Roman"/>
          <w:sz w:val="17"/>
          <w:szCs w:val="17"/>
          <w:color w:val="010101"/>
        </w:rPr>
        <w:t>Payment shall be made only to the extent that Consultant satisfactorily performs services pursuant to</w:t>
      </w:r>
      <w:r>
        <w:rPr>
          <w:rFonts w:ascii="Times New Roman" w:cs="Times New Roman" w:eastAsia="Times New Roman" w:hAnsi="Times New Roman"/>
          <w:sz w:val="17"/>
          <w:szCs w:val="17"/>
          <w:b w:val="1"/>
          <w:bCs w:val="1"/>
          <w:color w:val="010101"/>
        </w:rPr>
        <w:t xml:space="preserve"> </w:t>
      </w:r>
      <w:r>
        <w:rPr>
          <w:rFonts w:ascii="Times New Roman" w:cs="Times New Roman" w:eastAsia="Times New Roman" w:hAnsi="Times New Roman"/>
          <w:sz w:val="17"/>
          <w:szCs w:val="17"/>
          <w:color w:val="010101"/>
        </w:rPr>
        <w:t>this Agreement and substantiates such performance in the monthly activity report. In the event services are not required or performed in a given month</w:t>
      </w:r>
      <w:r>
        <w:rPr>
          <w:rFonts w:ascii="Times New Roman" w:cs="Times New Roman" w:eastAsia="Times New Roman" w:hAnsi="Times New Roman"/>
          <w:sz w:val="17"/>
          <w:szCs w:val="17"/>
          <w:color w:val="232323"/>
        </w:rPr>
        <w:t>,</w:t>
      </w:r>
      <w:r>
        <w:rPr>
          <w:rFonts w:ascii="Times New Roman" w:cs="Times New Roman" w:eastAsia="Times New Roman" w:hAnsi="Times New Roman"/>
          <w:sz w:val="17"/>
          <w:szCs w:val="17"/>
          <w:color w:val="010101"/>
        </w:rPr>
        <w:t xml:space="preserve"> NGSC shall be under no obligation to pay any compensation for that month as otherwise provided herein</w:t>
      </w:r>
      <w:r>
        <w:rPr>
          <w:rFonts w:ascii="Times New Roman" w:cs="Times New Roman" w:eastAsia="Times New Roman" w:hAnsi="Times New Roman"/>
          <w:sz w:val="17"/>
          <w:szCs w:val="17"/>
          <w:color w:val="383838"/>
        </w:rPr>
        <w:t>.</w:t>
      </w:r>
      <w:r>
        <w:rPr>
          <w:rFonts w:ascii="Times New Roman" w:cs="Times New Roman" w:eastAsia="Times New Roman" w:hAnsi="Times New Roman"/>
          <w:sz w:val="17"/>
          <w:szCs w:val="17"/>
          <w:color w:val="010101"/>
        </w:rPr>
        <w:t xml:space="preserve"> If Consultant fails to substantiate any invoice for services</w:t>
      </w:r>
      <w:r>
        <w:rPr>
          <w:rFonts w:ascii="Times New Roman" w:cs="Times New Roman" w:eastAsia="Times New Roman" w:hAnsi="Times New Roman"/>
          <w:sz w:val="17"/>
          <w:szCs w:val="17"/>
          <w:color w:val="232323"/>
        </w:rPr>
        <w:t>,</w:t>
      </w:r>
      <w:r>
        <w:rPr>
          <w:rFonts w:ascii="Times New Roman" w:cs="Times New Roman" w:eastAsia="Times New Roman" w:hAnsi="Times New Roman"/>
          <w:sz w:val="17"/>
          <w:szCs w:val="17"/>
          <w:color w:val="010101"/>
        </w:rPr>
        <w:t xml:space="preserve"> NGSC shall have no obligation to compensate Consultant for such claimed services</w:t>
      </w:r>
      <w:r>
        <w:rPr>
          <w:rFonts w:ascii="Times New Roman" w:cs="Times New Roman" w:eastAsia="Times New Roman" w:hAnsi="Times New Roman"/>
          <w:sz w:val="17"/>
          <w:szCs w:val="17"/>
          <w:color w:val="383838"/>
        </w:rPr>
        <w:t>.</w:t>
      </w:r>
      <w:r>
        <w:rPr>
          <w:rFonts w:ascii="Times New Roman" w:cs="Times New Roman" w:eastAsia="Times New Roman" w:hAnsi="Times New Roman"/>
          <w:sz w:val="17"/>
          <w:szCs w:val="17"/>
          <w:color w:val="010101"/>
        </w:rPr>
        <w:t xml:space="preserve"> In no event shall Northrop Grumman be obligated during the term of this agreement to pay fees of more than </w:t>
      </w:r>
      <w:r>
        <w:rPr>
          <w:rFonts w:ascii="Times New Roman" w:cs="Times New Roman" w:eastAsia="Times New Roman" w:hAnsi="Times New Roman"/>
          <w:sz w:val="17"/>
          <w:szCs w:val="17"/>
          <w:b w:val="1"/>
          <w:bCs w:val="1"/>
          <w:color w:val="010101"/>
        </w:rPr>
        <w:t>Two Hundred Forty Thousand Dollars ($240,000.00).</w:t>
      </w:r>
    </w:p>
    <w:p>
      <w:pPr>
        <w:spacing w:after="0" w:line="192" w:lineRule="exact"/>
        <w:rPr>
          <w:rFonts w:ascii="Times New Roman" w:cs="Times New Roman" w:eastAsia="Times New Roman" w:hAnsi="Times New Roman"/>
          <w:sz w:val="18"/>
          <w:szCs w:val="18"/>
          <w:b w:val="1"/>
          <w:bCs w:val="1"/>
          <w:color w:val="auto"/>
        </w:rPr>
      </w:pPr>
    </w:p>
    <w:p>
      <w:pPr>
        <w:jc w:val="both"/>
        <w:ind w:left="660" w:hanging="4"/>
        <w:spacing w:after="0" w:line="322" w:lineRule="auto"/>
        <w:tabs>
          <w:tab w:leader="none" w:pos="1297"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010101"/>
        </w:rPr>
        <w:t>Expenses.</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NGSC shall reimburse Consultant in accordance with NGSC policy and procedures for all reasonable and necessary expenses</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incurred by Consultant in connection with the rendering of services hereunder, provided that all such expenses are approved in advance by the POC</w:t>
      </w:r>
      <w:r>
        <w:rPr>
          <w:rFonts w:ascii="Times New Roman" w:cs="Times New Roman" w:eastAsia="Times New Roman" w:hAnsi="Times New Roman"/>
          <w:sz w:val="18"/>
          <w:szCs w:val="18"/>
          <w:color w:val="383838"/>
        </w:rPr>
        <w:t>.</w:t>
      </w:r>
      <w:r>
        <w:rPr>
          <w:rFonts w:ascii="Times New Roman" w:cs="Times New Roman" w:eastAsia="Times New Roman" w:hAnsi="Times New Roman"/>
          <w:sz w:val="18"/>
          <w:szCs w:val="18"/>
          <w:color w:val="010101"/>
        </w:rPr>
        <w:t xml:space="preserve"> Expenses shall not exceed </w:t>
      </w:r>
      <w:r>
        <w:rPr>
          <w:rFonts w:ascii="Times New Roman" w:cs="Times New Roman" w:eastAsia="Times New Roman" w:hAnsi="Times New Roman"/>
          <w:sz w:val="18"/>
          <w:szCs w:val="18"/>
          <w:b w:val="1"/>
          <w:bCs w:val="1"/>
          <w:color w:val="010101"/>
        </w:rPr>
        <w:t>Thirty-Three Thousand Dollars ($33,000.00)</w:t>
      </w:r>
      <w:r>
        <w:rPr>
          <w:rFonts w:ascii="Times New Roman" w:cs="Times New Roman" w:eastAsia="Times New Roman" w:hAnsi="Times New Roman"/>
          <w:sz w:val="18"/>
          <w:szCs w:val="18"/>
          <w:color w:val="010101"/>
        </w:rPr>
        <w:t xml:space="preserve"> during the term of this agreement. Claims for expenses must be in accordance with NGSC's established policies and limitations pertaining to allowable expenses and documented pursuant with FAR 31</w:t>
      </w:r>
      <w:r>
        <w:rPr>
          <w:rFonts w:ascii="Times New Roman" w:cs="Times New Roman" w:eastAsia="Times New Roman" w:hAnsi="Times New Roman"/>
          <w:sz w:val="18"/>
          <w:szCs w:val="18"/>
          <w:color w:val="383838"/>
        </w:rPr>
        <w:t>.</w:t>
      </w:r>
      <w:r>
        <w:rPr>
          <w:rFonts w:ascii="Times New Roman" w:cs="Times New Roman" w:eastAsia="Times New Roman" w:hAnsi="Times New Roman"/>
          <w:sz w:val="18"/>
          <w:szCs w:val="18"/>
          <w:color w:val="010101"/>
        </w:rPr>
        <w:t>205-46, Travel Costs</w:t>
      </w:r>
      <w:r>
        <w:rPr>
          <w:rFonts w:ascii="Times New Roman" w:cs="Times New Roman" w:eastAsia="Times New Roman" w:hAnsi="Times New Roman"/>
          <w:sz w:val="18"/>
          <w:szCs w:val="18"/>
          <w:color w:val="232323"/>
        </w:rPr>
        <w:t>,</w:t>
      </w:r>
      <w:r>
        <w:rPr>
          <w:rFonts w:ascii="Times New Roman" w:cs="Times New Roman" w:eastAsia="Times New Roman" w:hAnsi="Times New Roman"/>
          <w:sz w:val="18"/>
          <w:szCs w:val="18"/>
          <w:color w:val="010101"/>
        </w:rPr>
        <w:t xml:space="preserve"> and Corporate/sector guidelines</w:t>
      </w:r>
      <w:r>
        <w:rPr>
          <w:rFonts w:ascii="Times New Roman" w:cs="Times New Roman" w:eastAsia="Times New Roman" w:hAnsi="Times New Roman"/>
          <w:sz w:val="18"/>
          <w:szCs w:val="18"/>
          <w:color w:val="383838"/>
        </w:rPr>
        <w:t>.</w:t>
      </w:r>
    </w:p>
    <w:p>
      <w:pPr>
        <w:sectPr>
          <w:pgSz w:w="11900" w:h="16838" w:orient="portrait"/>
          <w:cols w:equalWidth="0" w:num="1">
            <w:col w:w="11240"/>
          </w:cols>
          <w:pgMar w:left="320" w:top="360" w:right="339" w:bottom="1440" w:gutter="0" w:footer="0" w:header="0"/>
        </w:sectPr>
      </w:pPr>
    </w:p>
    <w:bookmarkStart w:id="43" w:name="page44"/>
    <w:bookmarkEnd w:id="43"/>
    <w:p>
      <w:pPr>
        <w:ind w:left="9664"/>
        <w:spacing w:after="0"/>
        <w:rPr>
          <w:sz w:val="20"/>
          <w:szCs w:val="20"/>
          <w:color w:val="auto"/>
        </w:rPr>
      </w:pPr>
      <w:r>
        <w:rPr>
          <w:rFonts w:ascii="Times New Roman" w:cs="Times New Roman" w:eastAsia="Times New Roman" w:hAnsi="Times New Roman"/>
          <w:sz w:val="17"/>
          <w:szCs w:val="17"/>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4" w:hanging="4"/>
        <w:spacing w:after="0" w:line="331" w:lineRule="auto"/>
        <w:tabs>
          <w:tab w:leader="none" w:pos="651"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010101"/>
        </w:rPr>
        <w:t>Maximum Compensation.</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Notwithstanding any other provisions of this Agreement to the contrary</w:t>
      </w:r>
      <w:r>
        <w:rPr>
          <w:rFonts w:ascii="Times New Roman" w:cs="Times New Roman" w:eastAsia="Times New Roman" w:hAnsi="Times New Roman"/>
          <w:sz w:val="18"/>
          <w:szCs w:val="18"/>
          <w:color w:val="232323"/>
        </w:rPr>
        <w:t>,</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NGSC shall not be obligated to</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request or to pay Consultant for any minimum amount of services</w:t>
      </w:r>
      <w:r>
        <w:rPr>
          <w:rFonts w:ascii="Times New Roman" w:cs="Times New Roman" w:eastAsia="Times New Roman" w:hAnsi="Times New Roman"/>
          <w:sz w:val="18"/>
          <w:szCs w:val="18"/>
          <w:color w:val="232323"/>
        </w:rPr>
        <w:t>,</w:t>
      </w:r>
      <w:r>
        <w:rPr>
          <w:rFonts w:ascii="Times New Roman" w:cs="Times New Roman" w:eastAsia="Times New Roman" w:hAnsi="Times New Roman"/>
          <w:sz w:val="18"/>
          <w:szCs w:val="18"/>
          <w:color w:val="010101"/>
        </w:rPr>
        <w:t xml:space="preserve"> and in no event shall NGSC be obligated during the term of this Agreement for consulting fees and expenses of more than </w:t>
      </w:r>
      <w:r>
        <w:rPr>
          <w:rFonts w:ascii="Times New Roman" w:cs="Times New Roman" w:eastAsia="Times New Roman" w:hAnsi="Times New Roman"/>
          <w:sz w:val="18"/>
          <w:szCs w:val="18"/>
          <w:b w:val="1"/>
          <w:bCs w:val="1"/>
          <w:color w:val="010101"/>
        </w:rPr>
        <w:t>Two Hundred Seventy-Three Thousand Dollars ($273,000.00) in the aggregate</w:t>
      </w:r>
      <w:r>
        <w:rPr>
          <w:rFonts w:ascii="Times New Roman" w:cs="Times New Roman" w:eastAsia="Times New Roman" w:hAnsi="Times New Roman"/>
          <w:sz w:val="18"/>
          <w:szCs w:val="18"/>
          <w:b w:val="1"/>
          <w:bCs w:val="1"/>
          <w:color w:val="525252"/>
        </w:rPr>
        <w:t>.</w:t>
      </w:r>
    </w:p>
    <w:p>
      <w:pPr>
        <w:spacing w:after="0" w:line="196" w:lineRule="exact"/>
        <w:rPr>
          <w:rFonts w:ascii="Times New Roman" w:cs="Times New Roman" w:eastAsia="Times New Roman" w:hAnsi="Times New Roman"/>
          <w:sz w:val="18"/>
          <w:szCs w:val="18"/>
          <w:b w:val="1"/>
          <w:bCs w:val="1"/>
          <w:color w:val="auto"/>
        </w:rPr>
      </w:pPr>
    </w:p>
    <w:p>
      <w:pPr>
        <w:jc w:val="both"/>
        <w:ind w:left="4" w:hanging="4"/>
        <w:spacing w:after="0" w:line="322" w:lineRule="auto"/>
        <w:tabs>
          <w:tab w:leader="none" w:pos="651"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010101"/>
        </w:rPr>
        <w:t>Full Extent of Compensation.</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Unless otherwise specifically stated in writing, this Section IV represents the full extent of compensation</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 xml:space="preserve">under this Agreement and Consultant shall not be entitled by virtue of this Agreement to be paid a commission or to participate in any insurance </w:t>
      </w:r>
      <w:r>
        <w:rPr>
          <w:rFonts w:ascii="Times New Roman" w:cs="Times New Roman" w:eastAsia="Times New Roman" w:hAnsi="Times New Roman"/>
          <w:sz w:val="18"/>
          <w:szCs w:val="18"/>
          <w:color w:val="232323"/>
        </w:rPr>
        <w:t>,</w:t>
      </w:r>
      <w:r>
        <w:rPr>
          <w:rFonts w:ascii="Times New Roman" w:cs="Times New Roman" w:eastAsia="Times New Roman" w:hAnsi="Times New Roman"/>
          <w:sz w:val="18"/>
          <w:szCs w:val="18"/>
          <w:color w:val="010101"/>
        </w:rPr>
        <w:t xml:space="preserve"> saving, retirement or other benefit programs, including, without limitation, stock ownership plans</w:t>
      </w:r>
      <w:r>
        <w:rPr>
          <w:rFonts w:ascii="Times New Roman" w:cs="Times New Roman" w:eastAsia="Times New Roman" w:hAnsi="Times New Roman"/>
          <w:sz w:val="18"/>
          <w:szCs w:val="18"/>
          <w:color w:val="232323"/>
        </w:rPr>
        <w:t>,</w:t>
      </w:r>
      <w:r>
        <w:rPr>
          <w:rFonts w:ascii="Times New Roman" w:cs="Times New Roman" w:eastAsia="Times New Roman" w:hAnsi="Times New Roman"/>
          <w:sz w:val="18"/>
          <w:szCs w:val="18"/>
          <w:color w:val="010101"/>
        </w:rPr>
        <w:t xml:space="preserve"> offered by NGSC to its employees, nor shall this Agreement </w:t>
      </w:r>
      <w:r>
        <w:rPr>
          <w:rFonts w:ascii="Times New Roman" w:cs="Times New Roman" w:eastAsia="Times New Roman" w:hAnsi="Times New Roman"/>
          <w:sz w:val="18"/>
          <w:szCs w:val="18"/>
          <w:color w:val="131313"/>
        </w:rPr>
        <w:t>in</w:t>
      </w:r>
      <w:r>
        <w:rPr>
          <w:rFonts w:ascii="Times New Roman" w:cs="Times New Roman" w:eastAsia="Times New Roman" w:hAnsi="Times New Roman"/>
          <w:sz w:val="18"/>
          <w:szCs w:val="18"/>
          <w:color w:val="010101"/>
        </w:rPr>
        <w:t xml:space="preserve"> any way modify any other agreement that Consultant may have with NGSC or any benefit Consultant may receive or be entitled to receive from NGSC or in connection with his prior employment.</w:t>
      </w:r>
    </w:p>
    <w:p>
      <w:pPr>
        <w:spacing w:after="0" w:line="190" w:lineRule="exact"/>
        <w:rPr>
          <w:rFonts w:ascii="Times New Roman" w:cs="Times New Roman" w:eastAsia="Times New Roman" w:hAnsi="Times New Roman"/>
          <w:sz w:val="18"/>
          <w:szCs w:val="18"/>
          <w:b w:val="1"/>
          <w:bCs w:val="1"/>
          <w:color w:val="auto"/>
        </w:rPr>
      </w:pPr>
    </w:p>
    <w:p>
      <w:pPr>
        <w:jc w:val="both"/>
        <w:ind w:left="4" w:hanging="4"/>
        <w:spacing w:after="0" w:line="292" w:lineRule="auto"/>
        <w:tabs>
          <w:tab w:leader="none" w:pos="641"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010101"/>
        </w:rPr>
        <w:t>Warranty.</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Consultant certifies and warrants that in the course of performing services under this Agreement, no payments will be made to</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 xml:space="preserve">government officials or customer representatives, that no government official or customer representative has any direct or </w:t>
      </w:r>
      <w:r>
        <w:rPr>
          <w:rFonts w:ascii="Times New Roman" w:cs="Times New Roman" w:eastAsia="Times New Roman" w:hAnsi="Times New Roman"/>
          <w:sz w:val="18"/>
          <w:szCs w:val="18"/>
          <w:color w:val="161616"/>
        </w:rPr>
        <w:t>indirect</w:t>
      </w:r>
      <w:r>
        <w:rPr>
          <w:rFonts w:ascii="Times New Roman" w:cs="Times New Roman" w:eastAsia="Times New Roman" w:hAnsi="Times New Roman"/>
          <w:sz w:val="18"/>
          <w:szCs w:val="18"/>
          <w:color w:val="010101"/>
        </w:rPr>
        <w:t xml:space="preserve"> investment </w:t>
      </w:r>
      <w:r>
        <w:rPr>
          <w:rFonts w:ascii="Times New Roman" w:cs="Times New Roman" w:eastAsia="Times New Roman" w:hAnsi="Times New Roman"/>
          <w:sz w:val="18"/>
          <w:szCs w:val="18"/>
          <w:color w:val="161616"/>
        </w:rPr>
        <w:t xml:space="preserve">interest </w:t>
      </w:r>
      <w:r>
        <w:rPr>
          <w:rFonts w:ascii="Times New Roman" w:cs="Times New Roman" w:eastAsia="Times New Roman" w:hAnsi="Times New Roman"/>
          <w:sz w:val="18"/>
          <w:szCs w:val="18"/>
          <w:color w:val="010101"/>
        </w:rPr>
        <w:t>or</w:t>
      </w:r>
      <w:r>
        <w:rPr>
          <w:rFonts w:ascii="Times New Roman" w:cs="Times New Roman" w:eastAsia="Times New Roman" w:hAnsi="Times New Roman"/>
          <w:sz w:val="18"/>
          <w:szCs w:val="18"/>
          <w:color w:val="161616"/>
        </w:rPr>
        <w:t xml:space="preserve"> interest </w:t>
      </w:r>
      <w:r>
        <w:rPr>
          <w:rFonts w:ascii="Times New Roman" w:cs="Times New Roman" w:eastAsia="Times New Roman" w:hAnsi="Times New Roman"/>
          <w:sz w:val="18"/>
          <w:szCs w:val="18"/>
          <w:color w:val="010101"/>
        </w:rPr>
        <w:t>in the revenues or profits of Consultant, and that no expenditure for other than lawful purposes will be made.</w:t>
      </w:r>
    </w:p>
    <w:p>
      <w:pPr>
        <w:spacing w:after="0" w:line="203" w:lineRule="exact"/>
        <w:rPr>
          <w:rFonts w:ascii="Times New Roman" w:cs="Times New Roman" w:eastAsia="Times New Roman" w:hAnsi="Times New Roman"/>
          <w:sz w:val="18"/>
          <w:szCs w:val="18"/>
          <w:b w:val="1"/>
          <w:bCs w:val="1"/>
          <w:color w:val="auto"/>
        </w:rPr>
      </w:pPr>
    </w:p>
    <w:p>
      <w:pPr>
        <w:jc w:val="both"/>
        <w:ind w:left="4" w:hanging="4"/>
        <w:spacing w:after="0" w:line="288" w:lineRule="auto"/>
        <w:tabs>
          <w:tab w:leader="none" w:pos="62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010101"/>
        </w:rPr>
        <w:t>Limitations on Activities</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b w:val="1"/>
          <w:bCs w:val="1"/>
          <w:color w:val="525252"/>
        </w:rPr>
        <w:t>.</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Consultant shall not contact U</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010101"/>
        </w:rPr>
        <w:t>S</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Government officials or employees at the Senior Executive Service (SES) or</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Executive (EX) levels</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or U.S. military officers above the rank of 0-6, on behalf of NGSC, without the prior approval of Consultant's POC</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Consultant shall perform all reasonable tasks required to assist the POC in issuing the approval, including, but not limited to, briefing other Northrop Grumman Government Relations personnel on the nature and purpose of the contact when specifically requested by the POC</w:t>
      </w:r>
      <w:r>
        <w:rPr>
          <w:rFonts w:ascii="Times New Roman" w:cs="Times New Roman" w:eastAsia="Times New Roman" w:hAnsi="Times New Roman"/>
          <w:sz w:val="18"/>
          <w:szCs w:val="18"/>
          <w:color w:val="3F3F3F"/>
        </w:rPr>
        <w:t>.</w:t>
      </w:r>
    </w:p>
    <w:p>
      <w:pPr>
        <w:spacing w:after="0" w:line="212" w:lineRule="exact"/>
        <w:rPr>
          <w:sz w:val="20"/>
          <w:szCs w:val="20"/>
          <w:color w:val="auto"/>
        </w:rPr>
      </w:pPr>
    </w:p>
    <w:p>
      <w:pPr>
        <w:jc w:val="both"/>
        <w:ind w:left="4"/>
        <w:spacing w:after="0" w:line="279" w:lineRule="auto"/>
        <w:rPr>
          <w:sz w:val="20"/>
          <w:szCs w:val="20"/>
          <w:color w:val="auto"/>
        </w:rPr>
      </w:pPr>
      <w:r>
        <w:rPr>
          <w:rFonts w:ascii="Times New Roman" w:cs="Times New Roman" w:eastAsia="Times New Roman" w:hAnsi="Times New Roman"/>
          <w:sz w:val="18"/>
          <w:szCs w:val="18"/>
          <w:color w:val="010101"/>
        </w:rPr>
        <w:t xml:space="preserve">Consultant is not authorized to and shall not engage in any of the following activities </w:t>
      </w:r>
      <w:r>
        <w:rPr>
          <w:rFonts w:ascii="Times New Roman" w:cs="Times New Roman" w:eastAsia="Times New Roman" w:hAnsi="Times New Roman"/>
          <w:sz w:val="18"/>
          <w:szCs w:val="18"/>
          <w:color w:val="161616"/>
        </w:rPr>
        <w:t>in</w:t>
      </w:r>
      <w:r>
        <w:rPr>
          <w:rFonts w:ascii="Times New Roman" w:cs="Times New Roman" w:eastAsia="Times New Roman" w:hAnsi="Times New Roman"/>
          <w:sz w:val="18"/>
          <w:szCs w:val="18"/>
          <w:color w:val="010101"/>
        </w:rPr>
        <w:t xml:space="preserve"> his performance of this Agreement: (i) Any lobbying activity as defined in the Federal Lobbying Disclosure Act of 1995</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Public Law 104-65; (ii) Any activities covered by the Byrd Amendment (31 United States Code Section 1352). Therefore, Consultant shall not influence or attempt to influence an officer or employee of any federal agency </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Member of Congress</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officer or employee of Congress or employee of a Member of Congress, in connection with the awarding</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extension</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continuation </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renewal</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amendment or modification of any federal contract or cooperative agreement; (iii) Legislative lobbying activities deemed unallowable under Federal Acquisition Regulation (FAR) Section 31.205-22</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Therefore, Consultant shall not attempt to influence the introduction</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enactment</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or modification of any federal or state legislation either through communication, directly or indirectly, with any member, officer, or employee of any branch or department of the federal or any state or local government</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through urging action by the public</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or through activity (such as attending legislative sessions or hearings</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or gathering information about or analyzing the effect of legislation) to support or prepare for such an effort by or on behalf of Northrop Grumman</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(iv) Actions regarding procurement information that are prohibited under FAR Section 3.104-3</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Therefore</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Consultant shall not solicit or obtain</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directly or indirectly, from any officer or employee of a federal agency </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or disclose to Northrop Grumman, any proprietary or source selection information regarding procurement during the conduct of that procurement</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(v) Any meetings or direct or indirect contact, within or outside the United States, with any foreign government official</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foreign government employee, foreign military member, or representative acting on behalf of any of the preceding</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Any travel outside the United States</w:t>
      </w:r>
      <w:r>
        <w:rPr>
          <w:rFonts w:ascii="Times New Roman" w:cs="Times New Roman" w:eastAsia="Times New Roman" w:hAnsi="Times New Roman"/>
          <w:sz w:val="18"/>
          <w:szCs w:val="18"/>
          <w:color w:val="525252"/>
        </w:rPr>
        <w:t>.</w:t>
      </w:r>
    </w:p>
    <w:p>
      <w:pPr>
        <w:sectPr>
          <w:pgSz w:w="11900" w:h="16838" w:orient="portrait"/>
          <w:cols w:equalWidth="0" w:num="1">
            <w:col w:w="10584"/>
          </w:cols>
          <w:pgMar w:left="976" w:top="36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660" w:hanging="4"/>
        <w:spacing w:after="0" w:line="286" w:lineRule="auto"/>
        <w:tabs>
          <w:tab w:leader="none" w:pos="1304"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010101"/>
        </w:rPr>
        <w:t>Exclusion of Lobbying Costs from Overhead Rates</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NGSC is prohibited from charging directly or indirectly, costs associated with</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lobbying activities to its contracts with the United States Government. Unallowable costs associated with lobbying activities are defined at Federal Acquisition Regulation (FAR) 31</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205-22, effective as of the date of this Agreement. By entering into this Agreement with NGSC Consultant agrees that: In the event that lobbying activity is one of Consultant's responsibilities, a detailed accounting of time expended</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individual agency/congressional employees contacted</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and NGSC programs discussed will be included in the required activity report.</w:t>
      </w:r>
    </w:p>
    <w:p>
      <w:pPr>
        <w:spacing w:after="0" w:line="19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color w:val="010101"/>
        </w:rPr>
      </w:pPr>
      <w:r>
        <w:rPr>
          <w:rFonts w:ascii="Times New Roman" w:cs="Times New Roman" w:eastAsia="Times New Roman" w:hAnsi="Times New Roman"/>
          <w:sz w:val="18"/>
          <w:szCs w:val="18"/>
          <w:b w:val="1"/>
          <w:bCs w:val="1"/>
          <w:u w:val="single" w:color="auto"/>
          <w:color w:val="010101"/>
        </w:rPr>
        <w:t>TRADE SECRETS AND PROPRIETARY INFORMATION</w:t>
      </w:r>
    </w:p>
    <w:p>
      <w:pPr>
        <w:spacing w:after="0" w:line="252" w:lineRule="exact"/>
        <w:rPr>
          <w:rFonts w:ascii="Times New Roman" w:cs="Times New Roman" w:eastAsia="Times New Roman" w:hAnsi="Times New Roman"/>
          <w:sz w:val="18"/>
          <w:szCs w:val="18"/>
          <w:b w:val="1"/>
          <w:bCs w:val="1"/>
          <w:color w:val="010101"/>
        </w:rPr>
      </w:pPr>
    </w:p>
    <w:p>
      <w:pPr>
        <w:jc w:val="both"/>
        <w:ind w:left="660" w:hanging="4"/>
        <w:spacing w:after="0" w:line="282" w:lineRule="auto"/>
        <w:tabs>
          <w:tab w:leader="none" w:pos="1307"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010101"/>
        </w:rPr>
        <w:t>Use and Disclosure to Third Parties Prohibited</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Consultant shall not divulge, duplicate</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disclose or communicate any information</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concerning any matters affecting or relating to the business of NGSC without the express prior written consent of NGSC</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 xml:space="preserve"> Information shall include</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but is not limited to</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documents</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electronic data in any form</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and oral and visual disclosures</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010101"/>
        </w:rPr>
        <w:t xml:space="preserve"> Consultant shall exercise all reasonable care to keep NGSC information confidential and shall not use NGSC information for any purpose other than the purposes of this consulting agreement. Upon the expiration of this Agreement</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Consultant shall return all NGSC information or</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at the direction of NGSC</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shall destroy such information and certify</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in writing</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as to its destruction</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 xml:space="preserve"> The terms of this section shall remain in full force and effect after the expiration or termination of this Agreement.</w:t>
      </w:r>
    </w:p>
    <w:p>
      <w:pPr>
        <w:spacing w:after="0" w:line="214" w:lineRule="exact"/>
        <w:rPr>
          <w:rFonts w:ascii="Times New Roman" w:cs="Times New Roman" w:eastAsia="Times New Roman" w:hAnsi="Times New Roman"/>
          <w:sz w:val="18"/>
          <w:szCs w:val="18"/>
          <w:b w:val="1"/>
          <w:bCs w:val="1"/>
          <w:color w:val="auto"/>
        </w:rPr>
      </w:pPr>
    </w:p>
    <w:p>
      <w:pPr>
        <w:ind w:left="660" w:hanging="4"/>
        <w:spacing w:after="0" w:line="279" w:lineRule="auto"/>
        <w:tabs>
          <w:tab w:leader="none" w:pos="1297"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010101"/>
        </w:rPr>
        <w:t>Developments</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Consultants shall not make any Developments as defined below without the express written approval of Northrop</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Grumman</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010101"/>
        </w:rPr>
        <w:t xml:space="preserve"> In the case that Consultant does make any Developments, the following applies</w:t>
      </w:r>
      <w:r>
        <w:rPr>
          <w:rFonts w:ascii="Times New Roman" w:cs="Times New Roman" w:eastAsia="Times New Roman" w:hAnsi="Times New Roman"/>
          <w:sz w:val="18"/>
          <w:szCs w:val="18"/>
          <w:color w:val="212121"/>
        </w:rPr>
        <w:t>.</w:t>
      </w:r>
    </w:p>
    <w:p>
      <w:pPr>
        <w:ind w:left="66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010101"/>
        </w:rPr>
        <w:t>"Developments" are inventions</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whether or not patentable</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new technology</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Confidential Information, computer programs, copyrightable works, mask works</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trademarks or other intellectual property</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010101"/>
        </w:rPr>
        <w:t xml:space="preserve"> "Made" refers to made, created, conceived, authored, developed, or reduced to practice</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 xml:space="preserve"> All Developments made by Consultant alone or jointly with others</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whether or not during normal business hours or on Northrop Grumman premises, that are within the scope of Northrop Grumman's business</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which result from or are suggested by any work Consultant or others may do on behalf of Northrop Grumman, shall be and are the property of Northrop Grumman</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010101"/>
        </w:rPr>
        <w:t xml:space="preserve"> Consultant agrees to assign and hereby assigns to Northrop Grumman all of Consultant's rights to such Developments in all countries</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010101"/>
        </w:rPr>
        <w:t xml:space="preserve"> Consultant agrees to promptly disclose to Northrop Grumman all Developments covered by this Agreement and will, at the request of Northrop Grumman at any time</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including after my termination of this Agreement, cooperate in all lawful acts which may be necessary or desirable in the judgment of Northrop Grumman to protect for the benefit of Northrop Grumman all such Developments, including executing any patent application, or any application for registration or assignment relating to any such Development, without charge to Northrop Grumman.</w:t>
      </w:r>
    </w:p>
    <w:p>
      <w:pPr>
        <w:jc w:val="both"/>
        <w:ind w:left="6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010101"/>
        </w:rPr>
        <w:t>During the term of this Agreement</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Consultant will not</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without the advance written approval of Northrop Grumman, engage in any activity that may constitute a conflict with Northrop Grumman's interests regarding Northrop Grumman Confidential Information or Developments</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Any question whether a particular activity may constitute a conflict of interest shall be resolved by obtaining Northrop Grumman's written approval before engaging in that activity</w:t>
      </w:r>
      <w:r>
        <w:rPr>
          <w:rFonts w:ascii="Times New Roman" w:cs="Times New Roman" w:eastAsia="Times New Roman" w:hAnsi="Times New Roman"/>
          <w:sz w:val="18"/>
          <w:szCs w:val="18"/>
          <w:color w:val="3F3F3F"/>
        </w:rPr>
        <w:t>.</w:t>
      </w:r>
    </w:p>
    <w:p>
      <w:pPr>
        <w:spacing w:after="0" w:line="1" w:lineRule="exact"/>
        <w:rPr>
          <w:rFonts w:ascii="Times New Roman" w:cs="Times New Roman" w:eastAsia="Times New Roman" w:hAnsi="Times New Roman"/>
          <w:sz w:val="18"/>
          <w:szCs w:val="18"/>
          <w:b w:val="1"/>
          <w:bCs w:val="1"/>
          <w:color w:val="auto"/>
        </w:rPr>
      </w:pPr>
    </w:p>
    <w:p>
      <w:pPr>
        <w:jc w:val="both"/>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010101"/>
        </w:rPr>
        <w:t>Pursuant to the Defend Trade Secrets Act of 2016, Consultant shall not be held criminally or civilly liable under any Federal or State trade secret law for the disclosure of a trade secret that (A) is made (i) in confidence to a Federal, State</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or local government official</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either directly or indirectly, or to an attorney and (ii) solely for the purpose of reporting or investigating a suspected violation of law</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or</w:t>
      </w:r>
    </w:p>
    <w:p>
      <w:pPr>
        <w:spacing w:after="0" w:line="2" w:lineRule="exact"/>
        <w:rPr>
          <w:rFonts w:ascii="Times New Roman" w:cs="Times New Roman" w:eastAsia="Times New Roman" w:hAnsi="Times New Roman"/>
          <w:sz w:val="18"/>
          <w:szCs w:val="18"/>
          <w:b w:val="1"/>
          <w:bCs w:val="1"/>
          <w:color w:val="auto"/>
        </w:rPr>
      </w:pPr>
    </w:p>
    <w:p>
      <w:pPr>
        <w:jc w:val="both"/>
        <w:ind w:left="6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010101"/>
        </w:rPr>
        <w:t>(B) is made in a complaint or other document filed in a lawsuit or other proceeding</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if such filing is made under seal. An individual who files a lawsuit for retaliation by Northrop Grumman for reporting a suspected violation of law may disclose the trade secret to the attorney the individual and may use the trade</w:t>
      </w:r>
    </w:p>
    <w:p>
      <w:pPr>
        <w:sectPr>
          <w:pgSz w:w="11900" w:h="16838" w:orient="portrait"/>
          <w:cols w:equalWidth="0" w:num="1">
            <w:col w:w="11240"/>
          </w:cols>
          <w:pgMar w:left="320" w:top="36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4"/>
        <w:spacing w:after="0" w:line="313" w:lineRule="auto"/>
        <w:rPr>
          <w:sz w:val="20"/>
          <w:szCs w:val="20"/>
          <w:color w:val="auto"/>
        </w:rPr>
      </w:pPr>
      <w:r>
        <w:rPr>
          <w:rFonts w:ascii="Times New Roman" w:cs="Times New Roman" w:eastAsia="Times New Roman" w:hAnsi="Times New Roman"/>
          <w:sz w:val="18"/>
          <w:szCs w:val="18"/>
          <w:color w:val="010101"/>
        </w:rPr>
        <w:t>secret information in the court proceeding, if the individual (A) files any document containing the trade secret under seal and (B) does not disclose the trade secret, except pursuant to court order</w:t>
      </w:r>
      <w:r>
        <w:rPr>
          <w:rFonts w:ascii="Times New Roman" w:cs="Times New Roman" w:eastAsia="Times New Roman" w:hAnsi="Times New Roman"/>
          <w:sz w:val="18"/>
          <w:szCs w:val="18"/>
          <w:color w:val="212121"/>
        </w:rPr>
        <w:t>.</w:t>
      </w:r>
    </w:p>
    <w:p>
      <w:pPr>
        <w:spacing w:after="0" w:line="172" w:lineRule="exact"/>
        <w:rPr>
          <w:sz w:val="20"/>
          <w:szCs w:val="20"/>
          <w:color w:val="auto"/>
        </w:rPr>
      </w:pPr>
    </w:p>
    <w:p>
      <w:pPr>
        <w:jc w:val="both"/>
        <w:ind w:left="4" w:hanging="4"/>
        <w:spacing w:after="0" w:line="299" w:lineRule="auto"/>
        <w:tabs>
          <w:tab w:leader="none" w:pos="651"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010101"/>
        </w:rPr>
        <w:t>Notes, Memoranda, Reports, and Data</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Consultant agrees that the original and all copies of notes</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memoranda</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reports</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findings or</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other data prepared by Consultant in connection with the services performed hereunder shall become the sole and exclusive property of Northrop Grumman</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and shall be delivered to Northrop Grumman upon termination of this Agreement or at any other time upon request.</w:t>
      </w:r>
    </w:p>
    <w:p>
      <w:pPr>
        <w:spacing w:after="0" w:line="171" w:lineRule="exact"/>
        <w:rPr>
          <w:rFonts w:ascii="Times New Roman" w:cs="Times New Roman" w:eastAsia="Times New Roman" w:hAnsi="Times New Roman"/>
          <w:sz w:val="18"/>
          <w:szCs w:val="18"/>
          <w:b w:val="1"/>
          <w:bCs w:val="1"/>
          <w:color w:val="auto"/>
        </w:rPr>
      </w:pPr>
    </w:p>
    <w:p>
      <w:pPr>
        <w:ind w:left="644" w:hanging="644"/>
        <w:spacing w:after="0"/>
        <w:tabs>
          <w:tab w:leader="none" w:pos="64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010101"/>
        </w:rPr>
        <w:t>Privacy and Confidentiality</w:t>
      </w:r>
      <w:r>
        <w:rPr>
          <w:rFonts w:ascii="Times New Roman" w:cs="Times New Roman" w:eastAsia="Times New Roman" w:hAnsi="Times New Roman"/>
          <w:sz w:val="18"/>
          <w:szCs w:val="18"/>
          <w:b w:val="1"/>
          <w:bCs w:val="1"/>
          <w:color w:val="010101"/>
        </w:rPr>
        <w:t>.</w:t>
      </w:r>
    </w:p>
    <w:p>
      <w:pPr>
        <w:spacing w:after="0" w:line="19" w:lineRule="exact"/>
        <w:rPr>
          <w:rFonts w:ascii="Times New Roman" w:cs="Times New Roman" w:eastAsia="Times New Roman" w:hAnsi="Times New Roman"/>
          <w:sz w:val="18"/>
          <w:szCs w:val="18"/>
          <w:b w:val="1"/>
          <w:bCs w:val="1"/>
          <w:color w:val="auto"/>
        </w:rPr>
      </w:pPr>
    </w:p>
    <w:p>
      <w:pPr>
        <w:ind w:left="564" w:right="220" w:hanging="92"/>
        <w:spacing w:after="0" w:line="234" w:lineRule="auto"/>
        <w:tabs>
          <w:tab w:leader="none" w:pos="609"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10101"/>
        </w:rPr>
        <w:t>"Confidential Information</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includes, but is not limited to, information related to trade secrets, programs</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business plans, inventions (whether patentable</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patented or not)</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processes</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formulas, existing or contemplated products, technical data</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services, technology, concepts, computer programs, plans, studies</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techniques</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designs</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specifications</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patterns, contracts, presentations</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and business information</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and including information related to any research, development</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manufacture</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purchasing</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engineering, know-how, sales or marketing methods</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competitive analyses</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methods of doing business</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customer lists</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or customer usages or requirements</w:t>
      </w:r>
      <w:r>
        <w:rPr>
          <w:rFonts w:ascii="Times New Roman" w:cs="Times New Roman" w:eastAsia="Times New Roman" w:hAnsi="Times New Roman"/>
          <w:sz w:val="18"/>
          <w:szCs w:val="18"/>
          <w:color w:val="383838"/>
        </w:rPr>
        <w:t>.</w:t>
      </w:r>
    </w:p>
    <w:p>
      <w:pPr>
        <w:spacing w:after="0" w:line="1" w:lineRule="exact"/>
        <w:rPr>
          <w:rFonts w:ascii="Times New Roman" w:cs="Times New Roman" w:eastAsia="Times New Roman" w:hAnsi="Times New Roman"/>
          <w:sz w:val="18"/>
          <w:szCs w:val="18"/>
          <w:color w:val="auto"/>
        </w:rPr>
      </w:pPr>
    </w:p>
    <w:p>
      <w:pPr>
        <w:jc w:val="both"/>
        <w:ind w:left="564" w:hanging="142"/>
        <w:spacing w:after="0" w:line="277" w:lineRule="auto"/>
        <w:tabs>
          <w:tab w:leader="none" w:pos="804"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10101"/>
        </w:rPr>
        <w:t>Consultant agrees that to hold all Confidential Information provided by Northrop Grumman to Consultant in strict confidence and only use such Confidential Information for purposes of representing Northrop Grumman</w:t>
      </w:r>
      <w:r>
        <w:rPr>
          <w:rFonts w:ascii="Times New Roman" w:cs="Times New Roman" w:eastAsia="Times New Roman" w:hAnsi="Times New Roman"/>
          <w:sz w:val="18"/>
          <w:szCs w:val="18"/>
          <w:color w:val="383838"/>
        </w:rPr>
        <w:t>.</w:t>
      </w:r>
      <w:r>
        <w:rPr>
          <w:rFonts w:ascii="Times New Roman" w:cs="Times New Roman" w:eastAsia="Times New Roman" w:hAnsi="Times New Roman"/>
          <w:sz w:val="18"/>
          <w:szCs w:val="18"/>
          <w:color w:val="010101"/>
        </w:rPr>
        <w:t xml:space="preserve"> Consultant shall not use Northrop Grumman Confidential Informat</w:t>
      </w:r>
      <w:r>
        <w:rPr>
          <w:rFonts w:ascii="Times New Roman" w:cs="Times New Roman" w:eastAsia="Times New Roman" w:hAnsi="Times New Roman"/>
          <w:sz w:val="18"/>
          <w:szCs w:val="18"/>
          <w:color w:val="1C1C1C"/>
        </w:rPr>
        <w:t>i</w:t>
      </w:r>
      <w:r>
        <w:rPr>
          <w:rFonts w:ascii="Times New Roman" w:cs="Times New Roman" w:eastAsia="Times New Roman" w:hAnsi="Times New Roman"/>
          <w:sz w:val="18"/>
          <w:szCs w:val="18"/>
          <w:color w:val="010101"/>
        </w:rPr>
        <w:t>on for Consultant's own purposes</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nor divulge</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d</w:t>
      </w:r>
      <w:r>
        <w:rPr>
          <w:rFonts w:ascii="Times New Roman" w:cs="Times New Roman" w:eastAsia="Times New Roman" w:hAnsi="Times New Roman"/>
          <w:sz w:val="18"/>
          <w:szCs w:val="18"/>
          <w:color w:val="1C1C1C"/>
        </w:rPr>
        <w:t>i</w:t>
      </w:r>
      <w:r>
        <w:rPr>
          <w:rFonts w:ascii="Times New Roman" w:cs="Times New Roman" w:eastAsia="Times New Roman" w:hAnsi="Times New Roman"/>
          <w:sz w:val="18"/>
          <w:szCs w:val="18"/>
          <w:color w:val="010101"/>
        </w:rPr>
        <w:t>sclose</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sell or communicate any information concerning any matters affecting or relating to the business of Northrop Grumman to others (including any third party) without the express prior written consent of Northrop Grumman</w:t>
      </w:r>
      <w:r>
        <w:rPr>
          <w:rFonts w:ascii="Times New Roman" w:cs="Times New Roman" w:eastAsia="Times New Roman" w:hAnsi="Times New Roman"/>
          <w:sz w:val="18"/>
          <w:szCs w:val="18"/>
          <w:color w:val="383838"/>
        </w:rPr>
        <w:t>.</w:t>
      </w:r>
      <w:r>
        <w:rPr>
          <w:rFonts w:ascii="Times New Roman" w:cs="Times New Roman" w:eastAsia="Times New Roman" w:hAnsi="Times New Roman"/>
          <w:sz w:val="18"/>
          <w:szCs w:val="18"/>
          <w:color w:val="010101"/>
        </w:rPr>
        <w:t xml:space="preserve"> Consultant shall take all reasonable precaut</w:t>
      </w:r>
      <w:r>
        <w:rPr>
          <w:rFonts w:ascii="Times New Roman" w:cs="Times New Roman" w:eastAsia="Times New Roman" w:hAnsi="Times New Roman"/>
          <w:sz w:val="18"/>
          <w:szCs w:val="18"/>
          <w:color w:val="1C1C1C"/>
        </w:rPr>
        <w:t>i</w:t>
      </w:r>
      <w:r>
        <w:rPr>
          <w:rFonts w:ascii="Times New Roman" w:cs="Times New Roman" w:eastAsia="Times New Roman" w:hAnsi="Times New Roman"/>
          <w:sz w:val="18"/>
          <w:szCs w:val="18"/>
          <w:color w:val="010101"/>
        </w:rPr>
        <w:t>ons to prevent the disclosure of information to third parties, including any foreign national, firm, or country</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and foreign nationals employed or associated with Consultant</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s company except as specifically authorized by Northrop Grumman</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Consultant will not d</w:t>
      </w:r>
      <w:r>
        <w:rPr>
          <w:rFonts w:ascii="Times New Roman" w:cs="Times New Roman" w:eastAsia="Times New Roman" w:hAnsi="Times New Roman"/>
          <w:sz w:val="18"/>
          <w:szCs w:val="18"/>
          <w:color w:val="1C1C1C"/>
        </w:rPr>
        <w:t>i</w:t>
      </w:r>
      <w:r>
        <w:rPr>
          <w:rFonts w:ascii="Times New Roman" w:cs="Times New Roman" w:eastAsia="Times New Roman" w:hAnsi="Times New Roman"/>
          <w:sz w:val="18"/>
          <w:szCs w:val="18"/>
          <w:color w:val="010101"/>
        </w:rPr>
        <w:t xml:space="preserve">sclose to or cause Northrop Grumman to use Confidential Information of others, unless authorized by the owner </w:t>
      </w:r>
      <w:r>
        <w:rPr>
          <w:rFonts w:ascii="Times New Roman" w:cs="Times New Roman" w:eastAsia="Times New Roman" w:hAnsi="Times New Roman"/>
          <w:sz w:val="18"/>
          <w:szCs w:val="18"/>
          <w:color w:val="383838"/>
        </w:rPr>
        <w:t>.</w:t>
      </w:r>
    </w:p>
    <w:p>
      <w:pPr>
        <w:spacing w:after="0" w:line="1" w:lineRule="exact"/>
        <w:rPr>
          <w:rFonts w:ascii="Times New Roman" w:cs="Times New Roman" w:eastAsia="Times New Roman" w:hAnsi="Times New Roman"/>
          <w:sz w:val="18"/>
          <w:szCs w:val="18"/>
          <w:color w:val="auto"/>
        </w:rPr>
      </w:pPr>
    </w:p>
    <w:p>
      <w:pPr>
        <w:jc w:val="both"/>
        <w:ind w:left="564" w:hanging="191"/>
        <w:spacing w:after="0" w:line="277" w:lineRule="auto"/>
        <w:tabs>
          <w:tab w:leader="none" w:pos="971"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10101"/>
        </w:rPr>
        <w:t xml:space="preserve">In the event that Consultant becomes legally compelled (by deposition, interrogatory </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request for documents</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subpoena</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civil invest</w:t>
      </w:r>
      <w:r>
        <w:rPr>
          <w:rFonts w:ascii="Times New Roman" w:cs="Times New Roman" w:eastAsia="Times New Roman" w:hAnsi="Times New Roman"/>
          <w:sz w:val="18"/>
          <w:szCs w:val="18"/>
          <w:color w:val="1C1C1C"/>
        </w:rPr>
        <w:t>i</w:t>
      </w:r>
      <w:r>
        <w:rPr>
          <w:rFonts w:ascii="Times New Roman" w:cs="Times New Roman" w:eastAsia="Times New Roman" w:hAnsi="Times New Roman"/>
          <w:sz w:val="18"/>
          <w:szCs w:val="18"/>
          <w:color w:val="010101"/>
        </w:rPr>
        <w:t>gative demand or sim</w:t>
      </w:r>
      <w:r>
        <w:rPr>
          <w:rFonts w:ascii="Times New Roman" w:cs="Times New Roman" w:eastAsia="Times New Roman" w:hAnsi="Times New Roman"/>
          <w:sz w:val="18"/>
          <w:szCs w:val="18"/>
          <w:color w:val="1C1C1C"/>
        </w:rPr>
        <w:t>i</w:t>
      </w:r>
      <w:r>
        <w:rPr>
          <w:rFonts w:ascii="Times New Roman" w:cs="Times New Roman" w:eastAsia="Times New Roman" w:hAnsi="Times New Roman"/>
          <w:sz w:val="18"/>
          <w:szCs w:val="18"/>
          <w:color w:val="010101"/>
        </w:rPr>
        <w:t xml:space="preserve">lar process) or </w:t>
      </w:r>
      <w:r>
        <w:rPr>
          <w:rFonts w:ascii="Times New Roman" w:cs="Times New Roman" w:eastAsia="Times New Roman" w:hAnsi="Times New Roman"/>
          <w:sz w:val="18"/>
          <w:szCs w:val="18"/>
          <w:color w:val="1C1C1C"/>
        </w:rPr>
        <w:t>i</w:t>
      </w:r>
      <w:r>
        <w:rPr>
          <w:rFonts w:ascii="Times New Roman" w:cs="Times New Roman" w:eastAsia="Times New Roman" w:hAnsi="Times New Roman"/>
          <w:sz w:val="18"/>
          <w:szCs w:val="18"/>
          <w:color w:val="010101"/>
        </w:rPr>
        <w:t>s compelled by stock exchange rules to disclose any such information provided by Northrop Grumman</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Consultant will promptly notify Northrop Grumman so that Northrop Grumman may seek, at Northrop Grumman's expense (with Consultant's cooperation, if so requested by Northrop Grumman)</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a protective order or other appropriate remedy and/or waive compliance with this provision</w:t>
      </w:r>
      <w:r>
        <w:rPr>
          <w:rFonts w:ascii="Times New Roman" w:cs="Times New Roman" w:eastAsia="Times New Roman" w:hAnsi="Times New Roman"/>
          <w:sz w:val="18"/>
          <w:szCs w:val="18"/>
          <w:color w:val="383838"/>
        </w:rPr>
        <w:t>.</w:t>
      </w:r>
      <w:r>
        <w:rPr>
          <w:rFonts w:ascii="Times New Roman" w:cs="Times New Roman" w:eastAsia="Times New Roman" w:hAnsi="Times New Roman"/>
          <w:sz w:val="18"/>
          <w:szCs w:val="18"/>
          <w:color w:val="010101"/>
        </w:rPr>
        <w:t xml:space="preserve"> In the event that such protect</w:t>
      </w:r>
      <w:r>
        <w:rPr>
          <w:rFonts w:ascii="Times New Roman" w:cs="Times New Roman" w:eastAsia="Times New Roman" w:hAnsi="Times New Roman"/>
          <w:sz w:val="18"/>
          <w:szCs w:val="18"/>
          <w:color w:val="1C1C1C"/>
        </w:rPr>
        <w:t>i</w:t>
      </w:r>
      <w:r>
        <w:rPr>
          <w:rFonts w:ascii="Times New Roman" w:cs="Times New Roman" w:eastAsia="Times New Roman" w:hAnsi="Times New Roman"/>
          <w:sz w:val="18"/>
          <w:szCs w:val="18"/>
          <w:color w:val="010101"/>
        </w:rPr>
        <w:t>ve order or other remedy is not obtained, or that Northrop Grumman does not waive compliance with this provis</w:t>
      </w:r>
      <w:r>
        <w:rPr>
          <w:rFonts w:ascii="Times New Roman" w:cs="Times New Roman" w:eastAsia="Times New Roman" w:hAnsi="Times New Roman"/>
          <w:sz w:val="18"/>
          <w:szCs w:val="18"/>
          <w:color w:val="1C1C1C"/>
        </w:rPr>
        <w:t>i</w:t>
      </w:r>
      <w:r>
        <w:rPr>
          <w:rFonts w:ascii="Times New Roman" w:cs="Times New Roman" w:eastAsia="Times New Roman" w:hAnsi="Times New Roman"/>
          <w:sz w:val="18"/>
          <w:szCs w:val="18"/>
          <w:color w:val="010101"/>
        </w:rPr>
        <w:t>on</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Consultant will furnish only that port</w:t>
      </w:r>
      <w:r>
        <w:rPr>
          <w:rFonts w:ascii="Times New Roman" w:cs="Times New Roman" w:eastAsia="Times New Roman" w:hAnsi="Times New Roman"/>
          <w:sz w:val="18"/>
          <w:szCs w:val="18"/>
          <w:color w:val="1C1C1C"/>
        </w:rPr>
        <w:t>i</w:t>
      </w:r>
      <w:r>
        <w:rPr>
          <w:rFonts w:ascii="Times New Roman" w:cs="Times New Roman" w:eastAsia="Times New Roman" w:hAnsi="Times New Roman"/>
          <w:sz w:val="18"/>
          <w:szCs w:val="18"/>
          <w:color w:val="010101"/>
        </w:rPr>
        <w:t>on of the informat</w:t>
      </w:r>
      <w:r>
        <w:rPr>
          <w:rFonts w:ascii="Times New Roman" w:cs="Times New Roman" w:eastAsia="Times New Roman" w:hAnsi="Times New Roman"/>
          <w:sz w:val="18"/>
          <w:szCs w:val="18"/>
          <w:color w:val="1C1C1C"/>
        </w:rPr>
        <w:t>i</w:t>
      </w:r>
      <w:r>
        <w:rPr>
          <w:rFonts w:ascii="Times New Roman" w:cs="Times New Roman" w:eastAsia="Times New Roman" w:hAnsi="Times New Roman"/>
          <w:sz w:val="18"/>
          <w:szCs w:val="18"/>
          <w:color w:val="010101"/>
        </w:rPr>
        <w:t>on which it is advised by opinion of its legal counsel is legally required</w:t>
      </w:r>
      <w:r>
        <w:rPr>
          <w:rFonts w:ascii="Times New Roman" w:cs="Times New Roman" w:eastAsia="Times New Roman" w:hAnsi="Times New Roman"/>
          <w:sz w:val="18"/>
          <w:szCs w:val="18"/>
          <w:color w:val="383838"/>
        </w:rPr>
        <w:t>.</w:t>
      </w:r>
      <w:r>
        <w:rPr>
          <w:rFonts w:ascii="Times New Roman" w:cs="Times New Roman" w:eastAsia="Times New Roman" w:hAnsi="Times New Roman"/>
          <w:sz w:val="18"/>
          <w:szCs w:val="18"/>
          <w:color w:val="010101"/>
        </w:rPr>
        <w:t xml:space="preserve"> Such information shall</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at all times</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color w:val="010101"/>
        </w:rPr>
        <w:t xml:space="preserve"> remain the property of Northrop Grumman and when requested by Northrop Grumman, Consultant shall return all information received from Northrop Grumman and any copies thereof to Northrop Grumman</w:t>
      </w:r>
      <w:r>
        <w:rPr>
          <w:rFonts w:ascii="Times New Roman" w:cs="Times New Roman" w:eastAsia="Times New Roman" w:hAnsi="Times New Roman"/>
          <w:sz w:val="18"/>
          <w:szCs w:val="18"/>
          <w:color w:val="383838"/>
        </w:rPr>
        <w:t>.</w:t>
      </w:r>
    </w:p>
    <w:p>
      <w:pPr>
        <w:spacing w:after="0" w:line="1" w:lineRule="exact"/>
        <w:rPr>
          <w:rFonts w:ascii="Times New Roman" w:cs="Times New Roman" w:eastAsia="Times New Roman" w:hAnsi="Times New Roman"/>
          <w:sz w:val="18"/>
          <w:szCs w:val="18"/>
          <w:color w:val="auto"/>
        </w:rPr>
      </w:pPr>
    </w:p>
    <w:p>
      <w:pPr>
        <w:jc w:val="both"/>
        <w:ind w:left="564" w:hanging="182"/>
        <w:spacing w:after="0" w:line="277" w:lineRule="auto"/>
        <w:tabs>
          <w:tab w:leader="none" w:pos="84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10101"/>
        </w:rPr>
        <w:t>Confidential Information furnished to Consultant shall remain Northrop Grumman's proprietary property, shall be duplicated only as authorized in writing by Northrop Grumman, and shall be returned to Northrop Grumman or destroyed upon request or when no longer required for the performance of this Agreement. Consultant further agrees not to use any Northrop Grumman Information to develop any product, service or system, or to support any third party in the development of any product, service or system.</w:t>
      </w:r>
    </w:p>
    <w:p>
      <w:pPr>
        <w:spacing w:after="0" w:line="2" w:lineRule="exact"/>
        <w:rPr>
          <w:rFonts w:ascii="Times New Roman" w:cs="Times New Roman" w:eastAsia="Times New Roman" w:hAnsi="Times New Roman"/>
          <w:sz w:val="18"/>
          <w:szCs w:val="18"/>
          <w:color w:val="auto"/>
        </w:rPr>
      </w:pPr>
    </w:p>
    <w:p>
      <w:pPr>
        <w:jc w:val="both"/>
        <w:ind w:left="564" w:hanging="132"/>
        <w:spacing w:after="0" w:line="294" w:lineRule="auto"/>
        <w:tabs>
          <w:tab w:leader="none" w:pos="84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10101"/>
        </w:rPr>
        <w:t>Neither the existence of this Agreement nor the disclosure of Northrop Grumman Confidential Information or any other information hereunder shall be construed as granting expressly by implication, by estoppel or otherwise, a license under any invention or patent now or hereafter owned or controlled by the Northrop Grumman or Northrop Grumman's customer, except as specifically set forth herein</w:t>
      </w:r>
      <w:r>
        <w:rPr>
          <w:rFonts w:ascii="Times New Roman" w:cs="Times New Roman" w:eastAsia="Times New Roman" w:hAnsi="Times New Roman"/>
          <w:sz w:val="18"/>
          <w:szCs w:val="18"/>
          <w:color w:val="3A3A3A"/>
        </w:rPr>
        <w:t>.</w:t>
      </w:r>
    </w:p>
    <w:p>
      <w:pPr>
        <w:sectPr>
          <w:pgSz w:w="11900" w:h="16838" w:orient="portrait"/>
          <w:cols w:equalWidth="0" w:num="1">
            <w:col w:w="10584"/>
          </w:cols>
          <w:pgMar w:left="976" w:top="36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1220" w:hanging="182"/>
        <w:spacing w:after="0" w:line="276" w:lineRule="auto"/>
        <w:tabs>
          <w:tab w:leader="none" w:pos="148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10101"/>
        </w:rPr>
        <w:t>Consultant's obligations with respect to Northrop Grumman Confidential Information disclosed hereunder prior to the performance in full, termination or cancellation of this Agreement shall not, except as expressly set forth herein, be affected by such performance in full, termination, or cancellation.</w:t>
      </w:r>
    </w:p>
    <w:p>
      <w:pPr>
        <w:spacing w:after="0" w:line="1" w:lineRule="exact"/>
        <w:rPr>
          <w:rFonts w:ascii="Times New Roman" w:cs="Times New Roman" w:eastAsia="Times New Roman" w:hAnsi="Times New Roman"/>
          <w:sz w:val="18"/>
          <w:szCs w:val="18"/>
          <w:color w:val="auto"/>
        </w:rPr>
      </w:pPr>
    </w:p>
    <w:p>
      <w:pPr>
        <w:ind w:left="1220" w:hanging="232"/>
        <w:spacing w:after="0" w:line="313" w:lineRule="auto"/>
        <w:tabs>
          <w:tab w:leader="none" w:pos="14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10101"/>
        </w:rPr>
        <w:t>Consultant shall respond promptly and appropriately to any inquiries from Northrop Grumman related to compliance with this clause to include documentation and/or independent evidence of the effectiveness of implemented controls</w:t>
      </w:r>
      <w:r>
        <w:rPr>
          <w:rFonts w:ascii="Times New Roman" w:cs="Times New Roman" w:eastAsia="Times New Roman" w:hAnsi="Times New Roman"/>
          <w:sz w:val="18"/>
          <w:szCs w:val="18"/>
          <w:color w:val="3A3A3A"/>
        </w:rPr>
        <w:t>.</w:t>
      </w:r>
    </w:p>
    <w:p>
      <w:pPr>
        <w:spacing w:after="0" w:line="185" w:lineRule="exact"/>
        <w:rPr>
          <w:rFonts w:ascii="Times New Roman" w:cs="Times New Roman" w:eastAsia="Times New Roman" w:hAnsi="Times New Roman"/>
          <w:sz w:val="18"/>
          <w:szCs w:val="18"/>
          <w:color w:val="auto"/>
        </w:rPr>
      </w:pPr>
    </w:p>
    <w:p>
      <w:pPr>
        <w:jc w:val="both"/>
        <w:ind w:left="660" w:hanging="4"/>
        <w:spacing w:after="0" w:line="288" w:lineRule="auto"/>
        <w:tabs>
          <w:tab w:leader="none" w:pos="129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010101"/>
        </w:rPr>
        <w:t>Disclosure of Confidential or Proprietary Information of Third Parties Prohibited</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Consultant shall not disclose to NGSC or</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181818"/>
        </w:rPr>
        <w:t>induce</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NGSC to use any secret process, trade secret, or other confidential or proprietary knowledge or information belonging to others, including but not limited to the United States</w:t>
      </w:r>
      <w:r>
        <w:rPr>
          <w:rFonts w:ascii="Times New Roman" w:cs="Times New Roman" w:eastAsia="Times New Roman" w:hAnsi="Times New Roman"/>
          <w:sz w:val="18"/>
          <w:szCs w:val="18"/>
          <w:color w:val="4D4D4D"/>
        </w:rPr>
        <w:t>.</w:t>
      </w:r>
      <w:r>
        <w:rPr>
          <w:rFonts w:ascii="Times New Roman" w:cs="Times New Roman" w:eastAsia="Times New Roman" w:hAnsi="Times New Roman"/>
          <w:sz w:val="18"/>
          <w:szCs w:val="18"/>
          <w:color w:val="010101"/>
        </w:rPr>
        <w:t xml:space="preserve"> Such information includes but is not limited to information relating to bids, offers, technical proposals, responses to requests for procurement, rankings of competitors and other similar procurement sensitive information</w:t>
      </w:r>
      <w:r>
        <w:rPr>
          <w:rFonts w:ascii="Times New Roman" w:cs="Times New Roman" w:eastAsia="Times New Roman" w:hAnsi="Times New Roman"/>
          <w:sz w:val="18"/>
          <w:szCs w:val="18"/>
          <w:color w:val="3A3A3A"/>
        </w:rPr>
        <w:t>.</w:t>
      </w:r>
    </w:p>
    <w:p>
      <w:pPr>
        <w:spacing w:after="0" w:line="194" w:lineRule="exact"/>
        <w:rPr>
          <w:rFonts w:ascii="Times New Roman" w:cs="Times New Roman" w:eastAsia="Times New Roman" w:hAnsi="Times New Roman"/>
          <w:sz w:val="18"/>
          <w:szCs w:val="18"/>
          <w:b w:val="1"/>
          <w:bCs w:val="1"/>
          <w:color w:val="auto"/>
        </w:rPr>
      </w:pPr>
    </w:p>
    <w:p>
      <w:pPr>
        <w:jc w:val="both"/>
        <w:ind w:left="660" w:hanging="4"/>
        <w:spacing w:after="0" w:line="293" w:lineRule="auto"/>
        <w:tabs>
          <w:tab w:leader="none" w:pos="128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010101"/>
        </w:rPr>
        <w:t>Non-Public Information</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Consultant's duties under this Agreement may involve access to material information that</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181818"/>
        </w:rPr>
        <w:t>is</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not publicly</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available about Northrop Grumman Corporation</w:t>
      </w:r>
      <w:r>
        <w:rPr>
          <w:rFonts w:ascii="Times New Roman" w:cs="Times New Roman" w:eastAsia="Times New Roman" w:hAnsi="Times New Roman"/>
          <w:sz w:val="18"/>
          <w:szCs w:val="18"/>
          <w:color w:val="3A3A3A"/>
        </w:rPr>
        <w:t>.</w:t>
      </w:r>
      <w:r>
        <w:rPr>
          <w:rFonts w:ascii="Times New Roman" w:cs="Times New Roman" w:eastAsia="Times New Roman" w:hAnsi="Times New Roman"/>
          <w:sz w:val="18"/>
          <w:szCs w:val="18"/>
          <w:color w:val="010101"/>
        </w:rPr>
        <w:t xml:space="preserve"> Consultant acknowledges that the securities laws of the United States impose certain restrictions upon the use of material non-public information and he agrees to abide by such laws and regulations with respect to his and his family's transactions in Northrop Grumman stock and also with respect to his communication of such material, non-public information to others</w:t>
      </w:r>
      <w:r>
        <w:rPr>
          <w:rFonts w:ascii="Times New Roman" w:cs="Times New Roman" w:eastAsia="Times New Roman" w:hAnsi="Times New Roman"/>
          <w:sz w:val="18"/>
          <w:szCs w:val="18"/>
          <w:color w:val="383838"/>
        </w:rPr>
        <w:t>.</w:t>
      </w:r>
    </w:p>
    <w:p>
      <w:pPr>
        <w:spacing w:after="0" w:line="17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010101"/>
        </w:rPr>
        <w:t>VI.</w:t>
      </w:r>
      <w:r>
        <w:rPr>
          <w:sz w:val="20"/>
          <w:szCs w:val="20"/>
          <w:color w:val="auto"/>
        </w:rPr>
        <w:tab/>
      </w:r>
      <w:r>
        <w:rPr>
          <w:rFonts w:ascii="Times New Roman" w:cs="Times New Roman" w:eastAsia="Times New Roman" w:hAnsi="Times New Roman"/>
          <w:sz w:val="17"/>
          <w:szCs w:val="17"/>
          <w:b w:val="1"/>
          <w:bCs w:val="1"/>
          <w:u w:val="single" w:color="auto"/>
          <w:color w:val="010101"/>
        </w:rPr>
        <w:t>PRESERVATION OF TRADE NAMES, TRADEMARKS AND PATENT RIGHTS</w:t>
      </w:r>
    </w:p>
    <w:p>
      <w:pPr>
        <w:spacing w:after="0" w:line="270" w:lineRule="exact"/>
        <w:rPr>
          <w:sz w:val="20"/>
          <w:szCs w:val="20"/>
          <w:color w:val="auto"/>
        </w:rPr>
      </w:pPr>
    </w:p>
    <w:p>
      <w:pPr>
        <w:jc w:val="both"/>
        <w:ind w:firstLine="753"/>
        <w:spacing w:after="0" w:line="289" w:lineRule="auto"/>
        <w:rPr>
          <w:sz w:val="20"/>
          <w:szCs w:val="20"/>
          <w:color w:val="auto"/>
        </w:rPr>
      </w:pPr>
      <w:r>
        <w:rPr>
          <w:rFonts w:ascii="Times New Roman" w:cs="Times New Roman" w:eastAsia="Times New Roman" w:hAnsi="Times New Roman"/>
          <w:sz w:val="18"/>
          <w:szCs w:val="18"/>
          <w:color w:val="010101"/>
        </w:rPr>
        <w:t>All trade names</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trademarks and patent rights of NGSC pertaining to the products of NGSC and/or its affiliates, including the names "Northrop", </w:t>
      </w:r>
      <w:r>
        <w:rPr>
          <w:rFonts w:ascii="Times New Roman" w:cs="Times New Roman" w:eastAsia="Times New Roman" w:hAnsi="Times New Roman"/>
          <w:sz w:val="18"/>
          <w:szCs w:val="18"/>
          <w:color w:val="161616"/>
        </w:rPr>
        <w:t xml:space="preserve">"Grumman", "Northrop </w:t>
      </w:r>
      <w:r>
        <w:rPr>
          <w:rFonts w:ascii="Times New Roman" w:cs="Times New Roman" w:eastAsia="Times New Roman" w:hAnsi="Times New Roman"/>
          <w:sz w:val="18"/>
          <w:szCs w:val="18"/>
          <w:color w:val="010101"/>
        </w:rPr>
        <w:t>Grumman Corporation" and</w:t>
      </w:r>
      <w:r>
        <w:rPr>
          <w:rFonts w:ascii="Times New Roman" w:cs="Times New Roman" w:eastAsia="Times New Roman" w:hAnsi="Times New Roman"/>
          <w:sz w:val="18"/>
          <w:szCs w:val="18"/>
          <w:color w:val="161616"/>
        </w:rPr>
        <w:t xml:space="preserve"> "Northrop </w:t>
      </w:r>
      <w:r>
        <w:rPr>
          <w:rFonts w:ascii="Times New Roman" w:cs="Times New Roman" w:eastAsia="Times New Roman" w:hAnsi="Times New Roman"/>
          <w:sz w:val="18"/>
          <w:szCs w:val="18"/>
          <w:color w:val="010101"/>
        </w:rPr>
        <w:t>Grumman Systems Corporation" shall remain the sole property of NGSC and Consultant</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10101"/>
        </w:rPr>
        <w:t>shall do all things necessary to protect and preserve such trade names, trademarks and patent rights from claims by other persons or entities</w:t>
      </w:r>
      <w:r>
        <w:rPr>
          <w:rFonts w:ascii="Times New Roman" w:cs="Times New Roman" w:eastAsia="Times New Roman" w:hAnsi="Times New Roman"/>
          <w:sz w:val="18"/>
          <w:szCs w:val="18"/>
          <w:color w:val="383838"/>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101"/>
        </w:rPr>
        <w:t xml:space="preserve">VII. </w:t>
      </w:r>
      <w:r>
        <w:rPr>
          <w:rFonts w:ascii="Times New Roman" w:cs="Times New Roman" w:eastAsia="Times New Roman" w:hAnsi="Times New Roman"/>
          <w:sz w:val="18"/>
          <w:szCs w:val="18"/>
          <w:b w:val="1"/>
          <w:bCs w:val="1"/>
          <w:u w:val="single" w:color="auto"/>
          <w:color w:val="010101"/>
        </w:rPr>
        <w:t>COOPERATION WITH NGSC</w:t>
      </w:r>
    </w:p>
    <w:p>
      <w:pPr>
        <w:spacing w:after="0" w:line="270" w:lineRule="exact"/>
        <w:rPr>
          <w:sz w:val="20"/>
          <w:szCs w:val="20"/>
          <w:color w:val="auto"/>
        </w:rPr>
      </w:pPr>
    </w:p>
    <w:p>
      <w:pPr>
        <w:jc w:val="both"/>
        <w:ind w:firstLine="751"/>
        <w:spacing w:after="0" w:line="289" w:lineRule="auto"/>
        <w:rPr>
          <w:sz w:val="20"/>
          <w:szCs w:val="20"/>
          <w:color w:val="auto"/>
        </w:rPr>
      </w:pPr>
      <w:r>
        <w:rPr>
          <w:rFonts w:ascii="Times New Roman" w:cs="Times New Roman" w:eastAsia="Times New Roman" w:hAnsi="Times New Roman"/>
          <w:sz w:val="18"/>
          <w:szCs w:val="18"/>
          <w:color w:val="010101"/>
        </w:rPr>
        <w:t>During and after the expiration of this Agreement</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Consultant shall fully cooperate with NGSC in regard to any matter, dispute or controversy in which NGSC or an affiliate </w:t>
      </w:r>
      <w:r>
        <w:rPr>
          <w:rFonts w:ascii="Times New Roman" w:cs="Times New Roman" w:eastAsia="Times New Roman" w:hAnsi="Times New Roman"/>
          <w:sz w:val="18"/>
          <w:szCs w:val="18"/>
          <w:color w:val="161616"/>
        </w:rPr>
        <w:t>is</w:t>
      </w:r>
      <w:r>
        <w:rPr>
          <w:rFonts w:ascii="Times New Roman" w:cs="Times New Roman" w:eastAsia="Times New Roman" w:hAnsi="Times New Roman"/>
          <w:sz w:val="18"/>
          <w:szCs w:val="18"/>
          <w:color w:val="010101"/>
        </w:rPr>
        <w:t xml:space="preserve"> involved or may become involved and of which Consultant may have knowledge</w:t>
      </w:r>
      <w:r>
        <w:rPr>
          <w:rFonts w:ascii="Times New Roman" w:cs="Times New Roman" w:eastAsia="Times New Roman" w:hAnsi="Times New Roman"/>
          <w:sz w:val="18"/>
          <w:szCs w:val="18"/>
          <w:color w:val="383838"/>
        </w:rPr>
        <w:t>.</w:t>
      </w:r>
      <w:r>
        <w:rPr>
          <w:rFonts w:ascii="Times New Roman" w:cs="Times New Roman" w:eastAsia="Times New Roman" w:hAnsi="Times New Roman"/>
          <w:sz w:val="18"/>
          <w:szCs w:val="18"/>
          <w:color w:val="010101"/>
        </w:rPr>
        <w:t xml:space="preserve"> To the extent such cooperation requires significant time and expenses, cooperation shall be subject to further agreement providing for reasonable</w:t>
      </w:r>
      <w:r>
        <w:rPr>
          <w:rFonts w:ascii="Times New Roman" w:cs="Times New Roman" w:eastAsia="Times New Roman" w:hAnsi="Times New Roman"/>
          <w:sz w:val="18"/>
          <w:szCs w:val="18"/>
          <w:color w:val="383838"/>
        </w:rPr>
        <w:t>.</w:t>
      </w:r>
    </w:p>
    <w:p>
      <w:pPr>
        <w:spacing w:after="0" w:line="18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010101"/>
        </w:rPr>
        <w:t>VIII.</w:t>
      </w:r>
      <w:r>
        <w:rPr>
          <w:sz w:val="20"/>
          <w:szCs w:val="20"/>
          <w:color w:val="auto"/>
        </w:rPr>
        <w:tab/>
      </w:r>
      <w:r>
        <w:rPr>
          <w:rFonts w:ascii="Times New Roman" w:cs="Times New Roman" w:eastAsia="Times New Roman" w:hAnsi="Times New Roman"/>
          <w:sz w:val="17"/>
          <w:szCs w:val="17"/>
          <w:b w:val="1"/>
          <w:bCs w:val="1"/>
          <w:u w:val="single" w:color="auto"/>
          <w:color w:val="010101"/>
        </w:rPr>
        <w:t>INDEMNIFICATION</w:t>
      </w:r>
    </w:p>
    <w:p>
      <w:pPr>
        <w:spacing w:after="0" w:line="270" w:lineRule="exact"/>
        <w:rPr>
          <w:sz w:val="20"/>
          <w:szCs w:val="20"/>
          <w:color w:val="auto"/>
        </w:rPr>
      </w:pPr>
    </w:p>
    <w:p>
      <w:pPr>
        <w:jc w:val="both"/>
        <w:ind w:firstLine="748"/>
        <w:spacing w:after="0" w:line="289" w:lineRule="auto"/>
        <w:rPr>
          <w:sz w:val="20"/>
          <w:szCs w:val="20"/>
          <w:color w:val="auto"/>
        </w:rPr>
      </w:pPr>
      <w:r>
        <w:rPr>
          <w:rFonts w:ascii="Times New Roman" w:cs="Times New Roman" w:eastAsia="Times New Roman" w:hAnsi="Times New Roman"/>
          <w:sz w:val="18"/>
          <w:szCs w:val="18"/>
          <w:color w:val="010101"/>
        </w:rPr>
        <w:t>Consultant shall indemnify</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defend and hold NGSC harmless from any and all claims of third parties for loss or damage to property or injury or death to persons arising out of or relating to Consultant's activities or operations or omissions, including those of the Consultant's employees, pursuant to this Agreement. Such </w:t>
      </w:r>
      <w:r>
        <w:rPr>
          <w:rFonts w:ascii="Times New Roman" w:cs="Times New Roman" w:eastAsia="Times New Roman" w:hAnsi="Times New Roman"/>
          <w:sz w:val="18"/>
          <w:szCs w:val="18"/>
          <w:color w:val="161616"/>
        </w:rPr>
        <w:t>indemnification</w:t>
      </w:r>
      <w:r>
        <w:rPr>
          <w:rFonts w:ascii="Times New Roman" w:cs="Times New Roman" w:eastAsia="Times New Roman" w:hAnsi="Times New Roman"/>
          <w:sz w:val="18"/>
          <w:szCs w:val="18"/>
          <w:color w:val="010101"/>
        </w:rPr>
        <w:t xml:space="preserve"> shall survive the expiration or termination of this Agreement.</w:t>
      </w:r>
    </w:p>
    <w:p>
      <w:pPr>
        <w:spacing w:after="0" w:line="19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010101"/>
        </w:rPr>
        <w:t>IX.</w:t>
      </w:r>
      <w:r>
        <w:rPr>
          <w:sz w:val="20"/>
          <w:szCs w:val="20"/>
          <w:color w:val="auto"/>
        </w:rPr>
        <w:tab/>
      </w:r>
      <w:r>
        <w:rPr>
          <w:rFonts w:ascii="Times New Roman" w:cs="Times New Roman" w:eastAsia="Times New Roman" w:hAnsi="Times New Roman"/>
          <w:sz w:val="17"/>
          <w:szCs w:val="17"/>
          <w:b w:val="1"/>
          <w:bCs w:val="1"/>
          <w:u w:val="single" w:color="auto"/>
          <w:color w:val="010101"/>
        </w:rPr>
        <w:t>INDEPENDENT CONTRACTOR</w:t>
      </w:r>
    </w:p>
    <w:p>
      <w:pPr>
        <w:spacing w:after="0" w:line="256" w:lineRule="exact"/>
        <w:rPr>
          <w:sz w:val="20"/>
          <w:szCs w:val="20"/>
          <w:color w:val="auto"/>
        </w:rPr>
      </w:pPr>
    </w:p>
    <w:p>
      <w:pPr>
        <w:jc w:val="both"/>
        <w:ind w:firstLine="751"/>
        <w:spacing w:after="0" w:line="287" w:lineRule="auto"/>
        <w:rPr>
          <w:sz w:val="20"/>
          <w:szCs w:val="20"/>
          <w:color w:val="auto"/>
        </w:rPr>
      </w:pPr>
      <w:r>
        <w:rPr>
          <w:rFonts w:ascii="Times New Roman" w:cs="Times New Roman" w:eastAsia="Times New Roman" w:hAnsi="Times New Roman"/>
          <w:sz w:val="18"/>
          <w:szCs w:val="18"/>
          <w:color w:val="010101"/>
        </w:rPr>
        <w:t>Consultant shall render all services hereunder as an independent contractor and shall not hold out himself or herself as an agent of NGSC. Nothing herein shall be construed to create or confer upon Consultant the right to make contracts or commitments for or on behalf of NGSC</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Consultant shall not utilize NGSC resources in the performance of consultant activities </w:t>
      </w:r>
      <w:r>
        <w:rPr>
          <w:rFonts w:ascii="Times New Roman" w:cs="Times New Roman" w:eastAsia="Times New Roman" w:hAnsi="Times New Roman"/>
          <w:sz w:val="18"/>
          <w:szCs w:val="18"/>
          <w:color w:val="161616"/>
        </w:rPr>
        <w:t>including</w:t>
      </w:r>
      <w:r>
        <w:rPr>
          <w:rFonts w:ascii="Times New Roman" w:cs="Times New Roman" w:eastAsia="Times New Roman" w:hAnsi="Times New Roman"/>
          <w:sz w:val="18"/>
          <w:szCs w:val="18"/>
          <w:color w:val="010101"/>
        </w:rPr>
        <w:t xml:space="preserve"> use of NGSC stationary, secretarial assistance, or assigned office space</w:t>
      </w:r>
      <w:r>
        <w:rPr>
          <w:rFonts w:ascii="Times New Roman" w:cs="Times New Roman" w:eastAsia="Times New Roman" w:hAnsi="Times New Roman"/>
          <w:sz w:val="18"/>
          <w:szCs w:val="18"/>
          <w:color w:val="383838"/>
        </w:rPr>
        <w:t>.</w:t>
      </w:r>
    </w:p>
    <w:p>
      <w:pPr>
        <w:sectPr>
          <w:pgSz w:w="11900" w:h="16838" w:orient="portrait"/>
          <w:cols w:equalWidth="0" w:num="1">
            <w:col w:w="11240"/>
          </w:cols>
          <w:pgMar w:left="320" w:top="360" w:right="339" w:bottom="1440" w:gutter="0" w:footer="0" w:header="0"/>
        </w:sectPr>
      </w:pPr>
    </w:p>
    <w:bookmarkStart w:id="47" w:name="page48"/>
    <w:bookmarkEnd w:id="47"/>
    <w:p>
      <w:pPr>
        <w:ind w:left="10320"/>
        <w:spacing w:after="0"/>
        <w:rPr>
          <w:sz w:val="20"/>
          <w:szCs w:val="20"/>
          <w:color w:val="auto"/>
        </w:rPr>
      </w:pPr>
      <w:r>
        <w:rPr>
          <w:rFonts w:ascii="Times New Roman" w:cs="Times New Roman" w:eastAsia="Times New Roman" w:hAnsi="Times New Roman"/>
          <w:sz w:val="17"/>
          <w:szCs w:val="17"/>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0" w:hanging="352"/>
        <w:spacing w:after="0"/>
        <w:tabs>
          <w:tab w:leader="none" w:pos="360" w:val="left"/>
        </w:tabs>
        <w:numPr>
          <w:ilvl w:val="0"/>
          <w:numId w:val="32"/>
        </w:numPr>
        <w:rPr>
          <w:rFonts w:ascii="Times New Roman" w:cs="Times New Roman" w:eastAsia="Times New Roman" w:hAnsi="Times New Roman"/>
          <w:sz w:val="18"/>
          <w:szCs w:val="18"/>
          <w:b w:val="1"/>
          <w:bCs w:val="1"/>
          <w:color w:val="010101"/>
        </w:rPr>
      </w:pPr>
      <w:r>
        <w:rPr>
          <w:rFonts w:ascii="Times New Roman" w:cs="Times New Roman" w:eastAsia="Times New Roman" w:hAnsi="Times New Roman"/>
          <w:sz w:val="18"/>
          <w:szCs w:val="18"/>
          <w:b w:val="1"/>
          <w:bCs w:val="1"/>
          <w:u w:val="single" w:color="auto"/>
          <w:color w:val="010101"/>
        </w:rPr>
        <w:t>TAXES</w:t>
      </w:r>
    </w:p>
    <w:p>
      <w:pPr>
        <w:spacing w:after="0" w:line="283" w:lineRule="exact"/>
        <w:rPr>
          <w:sz w:val="20"/>
          <w:szCs w:val="20"/>
          <w:color w:val="auto"/>
        </w:rPr>
      </w:pPr>
    </w:p>
    <w:p>
      <w:pPr>
        <w:jc w:val="both"/>
        <w:ind w:firstLine="747"/>
        <w:spacing w:after="0" w:line="344" w:lineRule="auto"/>
        <w:rPr>
          <w:sz w:val="20"/>
          <w:szCs w:val="20"/>
          <w:color w:val="auto"/>
        </w:rPr>
      </w:pPr>
      <w:r>
        <w:rPr>
          <w:rFonts w:ascii="Times New Roman" w:cs="Times New Roman" w:eastAsia="Times New Roman" w:hAnsi="Times New Roman"/>
          <w:sz w:val="18"/>
          <w:szCs w:val="18"/>
          <w:color w:val="010101"/>
        </w:rPr>
        <w:t>Consultant shall pay all taxes due with respect to the compensation paid hereunder (including, without limitation, all taxes that may be due if the classification contemplated by the preceding paragraph is erroneous or if the Company is required to revise such classification)</w:t>
      </w:r>
      <w:r>
        <w:rPr>
          <w:rFonts w:ascii="Times New Roman" w:cs="Times New Roman" w:eastAsia="Times New Roman" w:hAnsi="Times New Roman"/>
          <w:sz w:val="18"/>
          <w:szCs w:val="18"/>
          <w:color w:val="5B5B5B"/>
        </w:rPr>
        <w:t>.</w:t>
      </w:r>
    </w:p>
    <w:p>
      <w:pPr>
        <w:spacing w:after="0" w:line="176" w:lineRule="exact"/>
        <w:rPr>
          <w:sz w:val="20"/>
          <w:szCs w:val="20"/>
          <w:color w:val="auto"/>
        </w:rPr>
      </w:pPr>
    </w:p>
    <w:p>
      <w:pPr>
        <w:jc w:val="both"/>
        <w:ind w:firstLine="748"/>
        <w:spacing w:after="0" w:line="319" w:lineRule="auto"/>
        <w:rPr>
          <w:sz w:val="20"/>
          <w:szCs w:val="20"/>
          <w:color w:val="auto"/>
        </w:rPr>
      </w:pPr>
      <w:r>
        <w:rPr>
          <w:rFonts w:ascii="Times New Roman" w:cs="Times New Roman" w:eastAsia="Times New Roman" w:hAnsi="Times New Roman"/>
          <w:sz w:val="18"/>
          <w:szCs w:val="18"/>
          <w:color w:val="010101"/>
        </w:rPr>
        <w:t>In accordance with California law, NGSC is required to withhold income tax at the rate of 7% from payments to non-resident independent contractors for services performed in California</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 xml:space="preserve"> All tax withheld will be paid to the California franchise tax board by NGSC on Consultant's behalf and Form 592-b will be mailed to Consultant in January of the following year summarizing total California earnings and withheld tax</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 xml:space="preserve"> Consultant must indicate on each invoice the amount of billing that is attributable to services performed in California or tax at 7% will be withheld on the entire payment. If Consultant believes it is exempt from this withholding requirement, please complete California Form 588 or 590, which can be found online at </w:t>
      </w:r>
      <w:r>
        <w:rPr>
          <w:rFonts w:ascii="Times New Roman" w:cs="Times New Roman" w:eastAsia="Times New Roman" w:hAnsi="Times New Roman"/>
          <w:sz w:val="18"/>
          <w:szCs w:val="18"/>
          <w:u w:val="single" w:color="auto"/>
          <w:color w:val="010101"/>
        </w:rPr>
        <w:t>http</w:t>
      </w:r>
      <w:r>
        <w:rPr>
          <w:rFonts w:ascii="Times New Roman" w:cs="Times New Roman" w:eastAsia="Times New Roman" w:hAnsi="Times New Roman"/>
          <w:sz w:val="18"/>
          <w:szCs w:val="18"/>
          <w:u w:val="single" w:color="auto"/>
          <w:color w:val="3B3B3B"/>
        </w:rPr>
        <w:t>:</w:t>
      </w:r>
      <w:r>
        <w:rPr>
          <w:rFonts w:ascii="Times New Roman" w:cs="Times New Roman" w:eastAsia="Times New Roman" w:hAnsi="Times New Roman"/>
          <w:sz w:val="18"/>
          <w:szCs w:val="18"/>
          <w:u w:val="single" w:color="auto"/>
          <w:color w:val="010101"/>
        </w:rPr>
        <w:t>//www.ftb</w:t>
      </w:r>
      <w:r>
        <w:rPr>
          <w:rFonts w:ascii="Times New Roman" w:cs="Times New Roman" w:eastAsia="Times New Roman" w:hAnsi="Times New Roman"/>
          <w:sz w:val="18"/>
          <w:szCs w:val="18"/>
          <w:u w:val="single" w:color="auto"/>
          <w:color w:val="3B3B3B"/>
        </w:rPr>
        <w:t>.</w:t>
      </w:r>
      <w:r>
        <w:rPr>
          <w:rFonts w:ascii="Times New Roman" w:cs="Times New Roman" w:eastAsia="Times New Roman" w:hAnsi="Times New Roman"/>
          <w:sz w:val="18"/>
          <w:szCs w:val="18"/>
          <w:u w:val="single" w:color="auto"/>
          <w:color w:val="010101"/>
        </w:rPr>
        <w:t>ca</w:t>
      </w:r>
      <w:r>
        <w:rPr>
          <w:rFonts w:ascii="Times New Roman" w:cs="Times New Roman" w:eastAsia="Times New Roman" w:hAnsi="Times New Roman"/>
          <w:sz w:val="18"/>
          <w:szCs w:val="18"/>
          <w:u w:val="single" w:color="auto"/>
          <w:color w:val="3B3B3B"/>
        </w:rPr>
        <w:t>.</w:t>
      </w:r>
      <w:r>
        <w:rPr>
          <w:rFonts w:ascii="Times New Roman" w:cs="Times New Roman" w:eastAsia="Times New Roman" w:hAnsi="Times New Roman"/>
          <w:sz w:val="18"/>
          <w:szCs w:val="18"/>
          <w:u w:val="single" w:color="auto"/>
          <w:color w:val="010101"/>
        </w:rPr>
        <w:t>gov</w:t>
      </w:r>
      <w:r>
        <w:rPr>
          <w:rFonts w:ascii="Times New Roman" w:cs="Times New Roman" w:eastAsia="Times New Roman" w:hAnsi="Times New Roman"/>
          <w:sz w:val="18"/>
          <w:szCs w:val="18"/>
          <w:color w:val="010101"/>
        </w:rPr>
        <w:t xml:space="preserve">, and follow the </w:t>
      </w:r>
      <w:r>
        <w:rPr>
          <w:rFonts w:ascii="Times New Roman" w:cs="Times New Roman" w:eastAsia="Times New Roman" w:hAnsi="Times New Roman"/>
          <w:sz w:val="18"/>
          <w:szCs w:val="18"/>
          <w:color w:val="181818"/>
        </w:rPr>
        <w:t>instructions</w:t>
      </w:r>
      <w:r>
        <w:rPr>
          <w:rFonts w:ascii="Times New Roman" w:cs="Times New Roman" w:eastAsia="Times New Roman" w:hAnsi="Times New Roman"/>
          <w:sz w:val="18"/>
          <w:szCs w:val="18"/>
          <w:color w:val="010101"/>
        </w:rPr>
        <w:t xml:space="preserve"> accompanying those forms</w:t>
      </w:r>
      <w:r>
        <w:rPr>
          <w:rFonts w:ascii="Times New Roman" w:cs="Times New Roman" w:eastAsia="Times New Roman" w:hAnsi="Times New Roman"/>
          <w:sz w:val="18"/>
          <w:szCs w:val="18"/>
          <w:color w:val="3B3B3B"/>
        </w:rPr>
        <w:t>.</w:t>
      </w:r>
    </w:p>
    <w:p>
      <w:pPr>
        <w:spacing w:after="0" w:line="16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010101"/>
        </w:rPr>
        <w:t>XI.</w:t>
      </w:r>
      <w:r>
        <w:rPr>
          <w:sz w:val="20"/>
          <w:szCs w:val="20"/>
          <w:color w:val="auto"/>
        </w:rPr>
        <w:tab/>
      </w:r>
      <w:r>
        <w:rPr>
          <w:rFonts w:ascii="Times New Roman" w:cs="Times New Roman" w:eastAsia="Times New Roman" w:hAnsi="Times New Roman"/>
          <w:sz w:val="18"/>
          <w:szCs w:val="18"/>
          <w:b w:val="1"/>
          <w:bCs w:val="1"/>
          <w:u w:val="single" w:color="auto"/>
          <w:color w:val="010101"/>
        </w:rPr>
        <w:t>OBSERVANCE OF APPLICABLE LAWS AND REGULATIONS</w:t>
      </w:r>
    </w:p>
    <w:p>
      <w:pPr>
        <w:spacing w:after="0" w:line="36" w:lineRule="exact"/>
        <w:rPr>
          <w:sz w:val="20"/>
          <w:szCs w:val="20"/>
          <w:color w:val="auto"/>
        </w:rPr>
      </w:pPr>
    </w:p>
    <w:p>
      <w:pPr>
        <w:jc w:val="both"/>
        <w:ind w:left="660"/>
        <w:spacing w:after="0" w:line="316" w:lineRule="auto"/>
        <w:rPr>
          <w:sz w:val="20"/>
          <w:szCs w:val="20"/>
          <w:color w:val="auto"/>
        </w:rPr>
      </w:pPr>
      <w:r>
        <w:rPr>
          <w:rFonts w:ascii="Times New Roman" w:cs="Times New Roman" w:eastAsia="Times New Roman" w:hAnsi="Times New Roman"/>
          <w:sz w:val="18"/>
          <w:szCs w:val="18"/>
          <w:b w:val="1"/>
          <w:bCs w:val="1"/>
          <w:color w:val="010101"/>
        </w:rPr>
        <w:t xml:space="preserve">A. </w:t>
      </w:r>
      <w:r>
        <w:rPr>
          <w:rFonts w:ascii="Times New Roman" w:cs="Times New Roman" w:eastAsia="Times New Roman" w:hAnsi="Times New Roman"/>
          <w:sz w:val="18"/>
          <w:szCs w:val="18"/>
          <w:b w:val="1"/>
          <w:bCs w:val="1"/>
          <w:u w:val="single" w:color="auto"/>
          <w:color w:val="010101"/>
        </w:rPr>
        <w:t>United States Laws.</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Consultant shall comply with and do all things necessary for NGSC to comply with United States laws and</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regulations and express policies of the United States Government, including but not limited to the requirements of the Foreign Corrupt Practices Act, 15 U</w:t>
      </w:r>
      <w:r>
        <w:rPr>
          <w:rFonts w:ascii="Times New Roman" w:cs="Times New Roman" w:eastAsia="Times New Roman" w:hAnsi="Times New Roman"/>
          <w:sz w:val="18"/>
          <w:szCs w:val="18"/>
          <w:color w:val="2A2A2A"/>
        </w:rPr>
        <w:t>.</w:t>
      </w:r>
      <w:r>
        <w:rPr>
          <w:rFonts w:ascii="Times New Roman" w:cs="Times New Roman" w:eastAsia="Times New Roman" w:hAnsi="Times New Roman"/>
          <w:sz w:val="18"/>
          <w:szCs w:val="18"/>
          <w:color w:val="010101"/>
        </w:rPr>
        <w:t>S</w:t>
      </w:r>
      <w:r>
        <w:rPr>
          <w:rFonts w:ascii="Times New Roman" w:cs="Times New Roman" w:eastAsia="Times New Roman" w:hAnsi="Times New Roman"/>
          <w:sz w:val="18"/>
          <w:szCs w:val="18"/>
          <w:color w:val="2A2A2A"/>
        </w:rPr>
        <w:t>.</w:t>
      </w:r>
      <w:r>
        <w:rPr>
          <w:rFonts w:ascii="Times New Roman" w:cs="Times New Roman" w:eastAsia="Times New Roman" w:hAnsi="Times New Roman"/>
          <w:sz w:val="18"/>
          <w:szCs w:val="18"/>
          <w:color w:val="010101"/>
        </w:rPr>
        <w:t xml:space="preserve">C. Section 78 dd-1 </w:t>
      </w:r>
      <w:r>
        <w:rPr>
          <w:rFonts w:ascii="Times New Roman" w:cs="Times New Roman" w:eastAsia="Times New Roman" w:hAnsi="Times New Roman"/>
          <w:sz w:val="18"/>
          <w:szCs w:val="18"/>
          <w:u w:val="single" w:color="auto"/>
          <w:color w:val="010101"/>
        </w:rPr>
        <w:t>et seq.,</w:t>
      </w:r>
      <w:r>
        <w:rPr>
          <w:rFonts w:ascii="Times New Roman" w:cs="Times New Roman" w:eastAsia="Times New Roman" w:hAnsi="Times New Roman"/>
          <w:sz w:val="18"/>
          <w:szCs w:val="18"/>
          <w:color w:val="010101"/>
        </w:rPr>
        <w:t xml:space="preserve"> the Federal Acquisition Regulations, 48 CFR section 1</w:t>
      </w:r>
      <w:r>
        <w:rPr>
          <w:rFonts w:ascii="Times New Roman" w:cs="Times New Roman" w:eastAsia="Times New Roman" w:hAnsi="Times New Roman"/>
          <w:sz w:val="18"/>
          <w:szCs w:val="18"/>
          <w:color w:val="2A2A2A"/>
        </w:rPr>
        <w:t>.</w:t>
      </w:r>
      <w:r>
        <w:rPr>
          <w:rFonts w:ascii="Times New Roman" w:cs="Times New Roman" w:eastAsia="Times New Roman" w:hAnsi="Times New Roman"/>
          <w:sz w:val="18"/>
          <w:szCs w:val="18"/>
          <w:color w:val="010101"/>
        </w:rPr>
        <w:t xml:space="preserve">101 </w:t>
      </w:r>
      <w:r>
        <w:rPr>
          <w:rFonts w:ascii="Times New Roman" w:cs="Times New Roman" w:eastAsia="Times New Roman" w:hAnsi="Times New Roman"/>
          <w:sz w:val="18"/>
          <w:szCs w:val="18"/>
          <w:u w:val="single" w:color="auto"/>
          <w:color w:val="010101"/>
        </w:rPr>
        <w:t>et seq.,</w:t>
      </w:r>
      <w:r>
        <w:rPr>
          <w:rFonts w:ascii="Times New Roman" w:cs="Times New Roman" w:eastAsia="Times New Roman" w:hAnsi="Times New Roman"/>
          <w:sz w:val="18"/>
          <w:szCs w:val="18"/>
          <w:color w:val="010101"/>
        </w:rPr>
        <w:t>("FAR"), the International Traffic In Arms Regulations, 22 CFR Parts 120 through 130 and applicable regulations</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 xml:space="preserve"> the Byrd Amendment (31 U</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S</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C</w:t>
      </w:r>
      <w:r>
        <w:rPr>
          <w:rFonts w:ascii="Times New Roman" w:cs="Times New Roman" w:eastAsia="Times New Roman" w:hAnsi="Times New Roman"/>
          <w:sz w:val="18"/>
          <w:szCs w:val="18"/>
          <w:color w:val="2A2A2A"/>
        </w:rPr>
        <w:t>.</w:t>
      </w:r>
      <w:r>
        <w:rPr>
          <w:rFonts w:ascii="Times New Roman" w:cs="Times New Roman" w:eastAsia="Times New Roman" w:hAnsi="Times New Roman"/>
          <w:sz w:val="18"/>
          <w:szCs w:val="18"/>
          <w:color w:val="010101"/>
        </w:rPr>
        <w:t xml:space="preserve"> Section 1352) and applicable regulations; the Office of Federal Procurement Policy Act (41 U</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S</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C</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 xml:space="preserve"> Section 423) and applicable regulations</w:t>
      </w:r>
      <w:r>
        <w:rPr>
          <w:rFonts w:ascii="Times New Roman" w:cs="Times New Roman" w:eastAsia="Times New Roman" w:hAnsi="Times New Roman"/>
          <w:sz w:val="18"/>
          <w:szCs w:val="18"/>
          <w:color w:val="2A2A2A"/>
        </w:rPr>
        <w:t>;</w:t>
      </w:r>
      <w:r>
        <w:rPr>
          <w:rFonts w:ascii="Times New Roman" w:cs="Times New Roman" w:eastAsia="Times New Roman" w:hAnsi="Times New Roman"/>
          <w:sz w:val="18"/>
          <w:szCs w:val="18"/>
          <w:color w:val="010101"/>
        </w:rPr>
        <w:t xml:space="preserve"> and DoD Directive 5500.7 and applicable regulations</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 xml:space="preserve"> No part of any compensation or fee paid by NGSC will be used directly or indirectly to make any kickbacks to any person or entity, or to make payments, gratuities, emoluments or to confer any other benefit to an official of any government or any political party</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 xml:space="preserve"> Consultant shall not seek, nor relay to NGSC, any classified, proprietary or source selection information not generally available to the public</w:t>
      </w:r>
      <w:r>
        <w:rPr>
          <w:rFonts w:ascii="Times New Roman" w:cs="Times New Roman" w:eastAsia="Times New Roman" w:hAnsi="Times New Roman"/>
          <w:sz w:val="18"/>
          <w:szCs w:val="18"/>
          <w:color w:val="2A2A2A"/>
        </w:rPr>
        <w:t>.</w:t>
      </w:r>
      <w:r>
        <w:rPr>
          <w:rFonts w:ascii="Times New Roman" w:cs="Times New Roman" w:eastAsia="Times New Roman" w:hAnsi="Times New Roman"/>
          <w:sz w:val="18"/>
          <w:szCs w:val="18"/>
          <w:color w:val="010101"/>
        </w:rPr>
        <w:t xml:space="preserve"> Consultant shall also comply with and do all things necessary for NGSC to comply with provisions of contracts between agencies of the United States Government or their contractors and NGSC which relate either to patent rights or the safeguarding of information pertaining to the security of the United States</w:t>
      </w:r>
      <w:r>
        <w:rPr>
          <w:rFonts w:ascii="Times New Roman" w:cs="Times New Roman" w:eastAsia="Times New Roman" w:hAnsi="Times New Roman"/>
          <w:sz w:val="18"/>
          <w:szCs w:val="18"/>
          <w:color w:val="525252"/>
        </w:rPr>
        <w:t>.</w:t>
      </w:r>
      <w:r>
        <w:rPr>
          <w:rFonts w:ascii="Times New Roman" w:cs="Times New Roman" w:eastAsia="Times New Roman" w:hAnsi="Times New Roman"/>
          <w:sz w:val="18"/>
          <w:szCs w:val="18"/>
          <w:color w:val="010101"/>
        </w:rPr>
        <w:t xml:space="preserve"> This entire Agreement and/or the contents thereof may be disclosed to the United States Government.</w:t>
      </w:r>
    </w:p>
    <w:p>
      <w:pPr>
        <w:spacing w:after="0" w:line="215" w:lineRule="exact"/>
        <w:rPr>
          <w:sz w:val="20"/>
          <w:szCs w:val="20"/>
          <w:color w:val="auto"/>
        </w:rPr>
      </w:pPr>
    </w:p>
    <w:p>
      <w:pPr>
        <w:ind w:left="660" w:right="220" w:hanging="328"/>
        <w:spacing w:after="0" w:line="320" w:lineRule="auto"/>
        <w:tabs>
          <w:tab w:leader="none" w:pos="649" w:val="left"/>
        </w:tabs>
        <w:numPr>
          <w:ilvl w:val="0"/>
          <w:numId w:val="33"/>
        </w:numPr>
        <w:rPr>
          <w:rFonts w:ascii="Times New Roman" w:cs="Times New Roman" w:eastAsia="Times New Roman" w:hAnsi="Times New Roman"/>
          <w:sz w:val="18"/>
          <w:szCs w:val="18"/>
          <w:b w:val="1"/>
          <w:bCs w:val="1"/>
          <w:color w:val="010101"/>
        </w:rPr>
      </w:pPr>
      <w:r>
        <w:rPr>
          <w:rFonts w:ascii="Times New Roman" w:cs="Times New Roman" w:eastAsia="Times New Roman" w:hAnsi="Times New Roman"/>
          <w:sz w:val="18"/>
          <w:szCs w:val="18"/>
          <w:b w:val="1"/>
          <w:bCs w:val="1"/>
          <w:u w:val="single" w:color="auto"/>
          <w:color w:val="010101"/>
        </w:rPr>
        <w:t>No Selling Agency Employed.</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Consultant further represents and warrants that no person or selling agency has been or will be employed or</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retained to solicit or secure any contract, including but not limited to a United States Government contract, upon an agreement or understanding for a commission, percentage, brokerage</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or contingent fee, excepting bona fide employees or bona fide established commercial or selling agencies maintained by the Consultant for the purpose of receiving business</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 xml:space="preserve"> In the event of a breach or violation of this warranty</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NGSC shall have the right to annul this Agreement without liability or in its discretion to deduct from the fee or consideration, or otherwise recover, the full amount of such commission, percentage, brokerage or contingent fee</w:t>
      </w:r>
      <w:r>
        <w:rPr>
          <w:rFonts w:ascii="Times New Roman" w:cs="Times New Roman" w:eastAsia="Times New Roman" w:hAnsi="Times New Roman"/>
          <w:sz w:val="18"/>
          <w:szCs w:val="18"/>
          <w:color w:val="3B3B3B"/>
        </w:rPr>
        <w:t>.</w:t>
      </w:r>
    </w:p>
    <w:p>
      <w:pPr>
        <w:spacing w:after="0" w:line="207" w:lineRule="exact"/>
        <w:rPr>
          <w:rFonts w:ascii="Times New Roman" w:cs="Times New Roman" w:eastAsia="Times New Roman" w:hAnsi="Times New Roman"/>
          <w:sz w:val="18"/>
          <w:szCs w:val="18"/>
          <w:b w:val="1"/>
          <w:bCs w:val="1"/>
          <w:color w:val="010101"/>
        </w:rPr>
      </w:pPr>
    </w:p>
    <w:p>
      <w:pPr>
        <w:jc w:val="both"/>
        <w:ind w:left="660" w:hanging="328"/>
        <w:spacing w:after="0" w:line="331" w:lineRule="auto"/>
        <w:tabs>
          <w:tab w:leader="none" w:pos="659"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010101"/>
        </w:rPr>
        <w:t>State and Local Laws And Regulations.</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Consultant shall comply with and do all things necessary for Consultant and NGSC and its affiliates</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each to comply with all laws and regulations of the Commonwealth of Virginia and any other state or locality</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in which services hereunder are or may be rendered</w:t>
      </w:r>
      <w:r>
        <w:rPr>
          <w:rFonts w:ascii="Times New Roman" w:cs="Times New Roman" w:eastAsia="Times New Roman" w:hAnsi="Times New Roman"/>
          <w:sz w:val="18"/>
          <w:szCs w:val="18"/>
          <w:color w:val="3B3B3B"/>
        </w:rPr>
        <w:t>.</w:t>
      </w:r>
    </w:p>
    <w:p>
      <w:pPr>
        <w:sectPr>
          <w:pgSz w:w="11900" w:h="16838" w:orient="portrait"/>
          <w:cols w:equalWidth="0" w:num="1">
            <w:col w:w="11240"/>
          </w:cols>
          <w:pgMar w:left="320" w:top="36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010101"/>
        </w:rPr>
        <w:t>Maintenance Of Time And Expense Records.</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Consultant shall maintain appropriate time and expense records pertaining to the services</w:t>
      </w:r>
    </w:p>
    <w:p>
      <w:pPr>
        <w:spacing w:after="0" w:line="67" w:lineRule="exact"/>
        <w:rPr>
          <w:rFonts w:ascii="Times New Roman" w:cs="Times New Roman" w:eastAsia="Times New Roman" w:hAnsi="Times New Roman"/>
          <w:sz w:val="18"/>
          <w:szCs w:val="18"/>
          <w:b w:val="1"/>
          <w:bCs w:val="1"/>
          <w:color w:val="auto"/>
        </w:rPr>
      </w:pPr>
    </w:p>
    <w:p>
      <w:pPr>
        <w:ind w:left="660" w:right="20"/>
        <w:spacing w:after="0" w:line="32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010101"/>
        </w:rPr>
        <w:t>performed under this Agreement. Said records shall be subject to examination and audit by NGSC and the United States Government until notified by NGSC in writing</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that the records no longer need to be maintained</w:t>
      </w:r>
      <w:r>
        <w:rPr>
          <w:rFonts w:ascii="Times New Roman" w:cs="Times New Roman" w:eastAsia="Times New Roman" w:hAnsi="Times New Roman"/>
          <w:sz w:val="18"/>
          <w:szCs w:val="18"/>
          <w:color w:val="3B3B3B"/>
        </w:rPr>
        <w:t>.</w:t>
      </w:r>
    </w:p>
    <w:p>
      <w:pPr>
        <w:spacing w:after="0" w:line="198" w:lineRule="exact"/>
        <w:rPr>
          <w:rFonts w:ascii="Times New Roman" w:cs="Times New Roman" w:eastAsia="Times New Roman" w:hAnsi="Times New Roman"/>
          <w:sz w:val="18"/>
          <w:szCs w:val="18"/>
          <w:b w:val="1"/>
          <w:bCs w:val="1"/>
          <w:color w:val="auto"/>
        </w:rPr>
      </w:pPr>
    </w:p>
    <w:p>
      <w:pPr>
        <w:ind w:left="660" w:right="100" w:hanging="328"/>
        <w:spacing w:after="0" w:line="325" w:lineRule="auto"/>
        <w:tabs>
          <w:tab w:leader="none" w:pos="649" w:val="left"/>
        </w:tabs>
        <w:numPr>
          <w:ilvl w:val="0"/>
          <w:numId w:val="34"/>
        </w:numPr>
        <w:rPr>
          <w:rFonts w:ascii="Times New Roman" w:cs="Times New Roman" w:eastAsia="Times New Roman" w:hAnsi="Times New Roman"/>
          <w:sz w:val="18"/>
          <w:szCs w:val="18"/>
          <w:b w:val="1"/>
          <w:bCs w:val="1"/>
          <w:color w:val="010101"/>
        </w:rPr>
      </w:pPr>
      <w:r>
        <w:rPr>
          <w:rFonts w:ascii="Times New Roman" w:cs="Times New Roman" w:eastAsia="Times New Roman" w:hAnsi="Times New Roman"/>
          <w:sz w:val="18"/>
          <w:szCs w:val="18"/>
          <w:b w:val="1"/>
          <w:bCs w:val="1"/>
          <w:u w:val="single" w:color="auto"/>
          <w:color w:val="010101"/>
        </w:rPr>
        <w:t>Certification.</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This Agreement is made in material reliance upon the representations and warranties made by Consultant. The effectiveness of this</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 xml:space="preserve">Agreement is contingent upon and will not commence until receipt by NGSC of the certifications set forth in </w:t>
      </w:r>
      <w:r>
        <w:rPr>
          <w:rFonts w:ascii="Times New Roman" w:cs="Times New Roman" w:eastAsia="Times New Roman" w:hAnsi="Times New Roman"/>
          <w:sz w:val="18"/>
          <w:szCs w:val="18"/>
          <w:b w:val="1"/>
          <w:bCs w:val="1"/>
          <w:color w:val="010101"/>
        </w:rPr>
        <w:t>Attachments A, C and D</w:t>
      </w:r>
      <w:r>
        <w:rPr>
          <w:rFonts w:ascii="Times New Roman" w:cs="Times New Roman" w:eastAsia="Times New Roman" w:hAnsi="Times New Roman"/>
          <w:sz w:val="18"/>
          <w:szCs w:val="18"/>
          <w:color w:val="010101"/>
        </w:rPr>
        <w:t xml:space="preserve"> hereto</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 xml:space="preserve"> In the event that NGSC has reason to believe that these certifications are incorrect</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NGSC may treat this Agreement as being null and void or may terminate this Agreement pursuant to Section XVI.</w:t>
      </w:r>
    </w:p>
    <w:p>
      <w:pPr>
        <w:spacing w:after="0" w:line="201" w:lineRule="exact"/>
        <w:rPr>
          <w:rFonts w:ascii="Times New Roman" w:cs="Times New Roman" w:eastAsia="Times New Roman" w:hAnsi="Times New Roman"/>
          <w:sz w:val="18"/>
          <w:szCs w:val="18"/>
          <w:b w:val="1"/>
          <w:bCs w:val="1"/>
          <w:color w:val="010101"/>
        </w:rPr>
      </w:pPr>
    </w:p>
    <w:p>
      <w:pPr>
        <w:jc w:val="both"/>
        <w:ind w:left="660" w:right="20" w:hanging="328"/>
        <w:spacing w:after="0" w:line="331" w:lineRule="auto"/>
        <w:tabs>
          <w:tab w:leader="none" w:pos="636"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010101"/>
        </w:rPr>
        <w:t>Standards of Business Conduct.</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Consultant hereby acknowledges that he has received a copy of the Standards of Business Conduct (or</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amendment thereof) and agrees to conduct his activities for or on behalf of NGSC in accordance with such principles as a condition of this Agreement.</w:t>
      </w:r>
    </w:p>
    <w:p>
      <w:pPr>
        <w:spacing w:after="0" w:line="14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010101"/>
        </w:rPr>
        <w:t>XII.</w:t>
      </w:r>
      <w:r>
        <w:rPr>
          <w:sz w:val="20"/>
          <w:szCs w:val="20"/>
          <w:color w:val="auto"/>
        </w:rPr>
        <w:tab/>
      </w:r>
      <w:r>
        <w:rPr>
          <w:rFonts w:ascii="Times New Roman" w:cs="Times New Roman" w:eastAsia="Times New Roman" w:hAnsi="Times New Roman"/>
          <w:sz w:val="18"/>
          <w:szCs w:val="18"/>
          <w:b w:val="1"/>
          <w:bCs w:val="1"/>
          <w:u w:val="single" w:color="auto"/>
          <w:color w:val="010101"/>
        </w:rPr>
        <w:t>ASSIGNMENT OF RIGHTS</w:t>
      </w:r>
    </w:p>
    <w:p>
      <w:pPr>
        <w:spacing w:after="0" w:line="270" w:lineRule="exact"/>
        <w:rPr>
          <w:sz w:val="20"/>
          <w:szCs w:val="20"/>
          <w:color w:val="auto"/>
        </w:rPr>
      </w:pPr>
    </w:p>
    <w:p>
      <w:pPr>
        <w:jc w:val="both"/>
        <w:ind w:firstLine="748"/>
        <w:spacing w:after="0" w:line="297" w:lineRule="auto"/>
        <w:rPr>
          <w:sz w:val="20"/>
          <w:szCs w:val="20"/>
          <w:color w:val="auto"/>
        </w:rPr>
      </w:pPr>
      <w:r>
        <w:rPr>
          <w:rFonts w:ascii="Times New Roman" w:cs="Times New Roman" w:eastAsia="Times New Roman" w:hAnsi="Times New Roman"/>
          <w:sz w:val="18"/>
          <w:szCs w:val="18"/>
          <w:color w:val="010101"/>
        </w:rPr>
        <w:t>This Agreement and the rights, benefits, duties and obligations contained herein may not be assigned or otherwise transferred in any manner to third parties without the express written approval of NGSC</w:t>
      </w:r>
      <w:r>
        <w:rPr>
          <w:rFonts w:ascii="Times New Roman" w:cs="Times New Roman" w:eastAsia="Times New Roman" w:hAnsi="Times New Roman"/>
          <w:sz w:val="18"/>
          <w:szCs w:val="18"/>
          <w:color w:val="4F4F4F"/>
        </w:rPr>
        <w:t>.</w:t>
      </w:r>
      <w:r>
        <w:rPr>
          <w:rFonts w:ascii="Times New Roman" w:cs="Times New Roman" w:eastAsia="Times New Roman" w:hAnsi="Times New Roman"/>
          <w:sz w:val="18"/>
          <w:szCs w:val="18"/>
          <w:color w:val="010101"/>
        </w:rPr>
        <w:t xml:space="preserve"> Any such assignment or transfer without prior approval of NGSC will be null</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void and without effect.</w:t>
      </w:r>
    </w:p>
    <w:p>
      <w:pPr>
        <w:spacing w:after="0" w:line="15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010101"/>
        </w:rPr>
        <w:t>XIII.</w:t>
      </w:r>
      <w:r>
        <w:rPr>
          <w:sz w:val="20"/>
          <w:szCs w:val="20"/>
          <w:color w:val="auto"/>
        </w:rPr>
        <w:tab/>
      </w:r>
      <w:r>
        <w:rPr>
          <w:rFonts w:ascii="Times New Roman" w:cs="Times New Roman" w:eastAsia="Times New Roman" w:hAnsi="Times New Roman"/>
          <w:sz w:val="17"/>
          <w:szCs w:val="17"/>
          <w:b w:val="1"/>
          <w:bCs w:val="1"/>
          <w:u w:val="single" w:color="auto"/>
          <w:color w:val="010101"/>
        </w:rPr>
        <w:t>MODIFICATION</w:t>
      </w:r>
    </w:p>
    <w:p>
      <w:pPr>
        <w:spacing w:after="0" w:line="270" w:lineRule="exact"/>
        <w:rPr>
          <w:sz w:val="20"/>
          <w:szCs w:val="20"/>
          <w:color w:val="auto"/>
        </w:rPr>
      </w:pPr>
    </w:p>
    <w:p>
      <w:pPr>
        <w:jc w:val="both"/>
        <w:ind w:right="20" w:firstLine="729"/>
        <w:spacing w:after="0" w:line="313" w:lineRule="auto"/>
        <w:rPr>
          <w:sz w:val="20"/>
          <w:szCs w:val="20"/>
          <w:color w:val="auto"/>
        </w:rPr>
      </w:pPr>
      <w:r>
        <w:rPr>
          <w:rFonts w:ascii="Times New Roman" w:cs="Times New Roman" w:eastAsia="Times New Roman" w:hAnsi="Times New Roman"/>
          <w:sz w:val="18"/>
          <w:szCs w:val="18"/>
          <w:color w:val="010101"/>
        </w:rPr>
        <w:t>No waiver or modification of this Agreement or of any covenant</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condition</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or limitation herein shall be valid and enforceable unless such waiver or modification is in writing and agreed by both parties</w:t>
      </w:r>
      <w:r>
        <w:rPr>
          <w:rFonts w:ascii="Times New Roman" w:cs="Times New Roman" w:eastAsia="Times New Roman" w:hAnsi="Times New Roman"/>
          <w:sz w:val="18"/>
          <w:szCs w:val="18"/>
          <w:color w:val="3A3A3A"/>
        </w:rPr>
        <w:t>.</w:t>
      </w:r>
    </w:p>
    <w:p>
      <w:pPr>
        <w:spacing w:after="0" w:line="15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010101"/>
        </w:rPr>
        <w:t>XIV.</w:t>
      </w:r>
      <w:r>
        <w:rPr>
          <w:sz w:val="20"/>
          <w:szCs w:val="20"/>
          <w:color w:val="auto"/>
        </w:rPr>
        <w:tab/>
      </w:r>
      <w:r>
        <w:rPr>
          <w:rFonts w:ascii="Times New Roman" w:cs="Times New Roman" w:eastAsia="Times New Roman" w:hAnsi="Times New Roman"/>
          <w:sz w:val="17"/>
          <w:szCs w:val="17"/>
          <w:b w:val="1"/>
          <w:bCs w:val="1"/>
          <w:u w:val="single" w:color="auto"/>
          <w:color w:val="010101"/>
        </w:rPr>
        <w:t>USE OR EMPLOYMENT OF THIRD PARTIES</w:t>
      </w:r>
    </w:p>
    <w:p>
      <w:pPr>
        <w:spacing w:after="0" w:line="270" w:lineRule="exact"/>
        <w:rPr>
          <w:sz w:val="20"/>
          <w:szCs w:val="20"/>
          <w:color w:val="auto"/>
        </w:rPr>
      </w:pPr>
    </w:p>
    <w:p>
      <w:pPr>
        <w:jc w:val="both"/>
        <w:ind w:firstLine="748"/>
        <w:spacing w:after="0" w:line="313" w:lineRule="auto"/>
        <w:rPr>
          <w:sz w:val="20"/>
          <w:szCs w:val="20"/>
          <w:color w:val="auto"/>
        </w:rPr>
      </w:pPr>
      <w:r>
        <w:rPr>
          <w:rFonts w:ascii="Times New Roman" w:cs="Times New Roman" w:eastAsia="Times New Roman" w:hAnsi="Times New Roman"/>
          <w:sz w:val="18"/>
          <w:szCs w:val="18"/>
          <w:color w:val="010101"/>
        </w:rPr>
        <w:t>Consultant shall not utilize or employ any third party, individual or entity, in connection with Consultant's performance of services under this Agreement without the express written approval of NGSC</w:t>
      </w:r>
      <w:r>
        <w:rPr>
          <w:rFonts w:ascii="Times New Roman" w:cs="Times New Roman" w:eastAsia="Times New Roman" w:hAnsi="Times New Roman"/>
          <w:sz w:val="18"/>
          <w:szCs w:val="18"/>
          <w:color w:val="3A3A3A"/>
        </w:rPr>
        <w:t>.</w:t>
      </w:r>
    </w:p>
    <w:p>
      <w:pPr>
        <w:spacing w:after="0" w:line="15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010101"/>
        </w:rPr>
        <w:t>XV.</w:t>
      </w:r>
      <w:r>
        <w:rPr>
          <w:sz w:val="20"/>
          <w:szCs w:val="20"/>
          <w:color w:val="auto"/>
        </w:rPr>
        <w:tab/>
      </w:r>
      <w:r>
        <w:rPr>
          <w:rFonts w:ascii="Times New Roman" w:cs="Times New Roman" w:eastAsia="Times New Roman" w:hAnsi="Times New Roman"/>
          <w:sz w:val="17"/>
          <w:szCs w:val="17"/>
          <w:b w:val="1"/>
          <w:bCs w:val="1"/>
          <w:u w:val="single" w:color="auto"/>
          <w:color w:val="010101"/>
        </w:rPr>
        <w:t>CONFLICTS OF INTEREST</w:t>
      </w:r>
    </w:p>
    <w:p>
      <w:pPr>
        <w:spacing w:after="0" w:line="270" w:lineRule="exact"/>
        <w:rPr>
          <w:sz w:val="20"/>
          <w:szCs w:val="20"/>
          <w:color w:val="auto"/>
        </w:rPr>
      </w:pPr>
    </w:p>
    <w:p>
      <w:pPr>
        <w:jc w:val="both"/>
        <w:ind w:firstLine="751"/>
        <w:spacing w:after="0" w:line="281" w:lineRule="auto"/>
        <w:rPr>
          <w:sz w:val="20"/>
          <w:szCs w:val="20"/>
          <w:color w:val="auto"/>
        </w:rPr>
      </w:pPr>
      <w:r>
        <w:rPr>
          <w:rFonts w:ascii="Times New Roman" w:cs="Times New Roman" w:eastAsia="Times New Roman" w:hAnsi="Times New Roman"/>
          <w:sz w:val="18"/>
          <w:szCs w:val="18"/>
          <w:color w:val="010101"/>
        </w:rPr>
        <w:t>No business or legal conflicts of interest shall exist between services performed or to be performed by Consultant on behalf of NGSC and by Consultant on behalf of any other client. The identity of Consultant's directorships</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other employment and clients shall be fully disclosed in the Certification, </w:t>
      </w:r>
      <w:r>
        <w:rPr>
          <w:rFonts w:ascii="Times New Roman" w:cs="Times New Roman" w:eastAsia="Times New Roman" w:hAnsi="Times New Roman"/>
          <w:sz w:val="18"/>
          <w:szCs w:val="18"/>
          <w:b w:val="1"/>
          <w:bCs w:val="1"/>
          <w:color w:val="010101"/>
        </w:rPr>
        <w:t>Attachment D</w:t>
      </w:r>
      <w:r>
        <w:rPr>
          <w:rFonts w:ascii="Times New Roman" w:cs="Times New Roman" w:eastAsia="Times New Roman" w:hAnsi="Times New Roman"/>
          <w:sz w:val="18"/>
          <w:szCs w:val="18"/>
          <w:b w:val="1"/>
          <w:bCs w:val="1"/>
          <w:color w:val="212121"/>
        </w:rPr>
        <w:t>.</w:t>
      </w:r>
      <w:r>
        <w:rPr>
          <w:rFonts w:ascii="Times New Roman" w:cs="Times New Roman" w:eastAsia="Times New Roman" w:hAnsi="Times New Roman"/>
          <w:sz w:val="18"/>
          <w:szCs w:val="18"/>
          <w:color w:val="010101"/>
        </w:rPr>
        <w:t xml:space="preserve"> Consultant will avoid entering into any business arrangement that presents an appearance of or a potential for any such conflict of interest. In the event there is a change to Consultant's directorships</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other employment and/or clients, Consultant is required to provide NGSC an updated copy of </w:t>
      </w:r>
      <w:r>
        <w:rPr>
          <w:rFonts w:ascii="Times New Roman" w:cs="Times New Roman" w:eastAsia="Times New Roman" w:hAnsi="Times New Roman"/>
          <w:sz w:val="18"/>
          <w:szCs w:val="18"/>
          <w:b w:val="1"/>
          <w:bCs w:val="1"/>
          <w:color w:val="010101"/>
        </w:rPr>
        <w:t>Attachment D</w:t>
      </w:r>
      <w:r>
        <w:rPr>
          <w:rFonts w:ascii="Times New Roman" w:cs="Times New Roman" w:eastAsia="Times New Roman" w:hAnsi="Times New Roman"/>
          <w:sz w:val="18"/>
          <w:szCs w:val="18"/>
          <w:color w:val="010101"/>
        </w:rPr>
        <w:t xml:space="preserve"> within five (5) days of such change</w:t>
      </w:r>
      <w:r>
        <w:rPr>
          <w:rFonts w:ascii="Times New Roman" w:cs="Times New Roman" w:eastAsia="Times New Roman" w:hAnsi="Times New Roman"/>
          <w:sz w:val="18"/>
          <w:szCs w:val="18"/>
          <w:color w:val="3A3A3A"/>
        </w:rPr>
        <w:t>.</w:t>
      </w:r>
    </w:p>
    <w:p>
      <w:pPr>
        <w:spacing w:after="0" w:line="18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b w:val="1"/>
          <w:bCs w:val="1"/>
          <w:color w:val="010101"/>
        </w:rPr>
        <w:t>XVI.</w:t>
      </w:r>
      <w:r>
        <w:rPr>
          <w:sz w:val="20"/>
          <w:szCs w:val="20"/>
          <w:color w:val="auto"/>
        </w:rPr>
        <w:tab/>
      </w:r>
      <w:r>
        <w:rPr>
          <w:rFonts w:ascii="Times New Roman" w:cs="Times New Roman" w:eastAsia="Times New Roman" w:hAnsi="Times New Roman"/>
          <w:sz w:val="17"/>
          <w:szCs w:val="17"/>
          <w:b w:val="1"/>
          <w:bCs w:val="1"/>
          <w:u w:val="single" w:color="auto"/>
          <w:color w:val="010101"/>
        </w:rPr>
        <w:t>TERMINATION</w:t>
      </w:r>
    </w:p>
    <w:p>
      <w:pPr>
        <w:spacing w:after="0" w:line="2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10101"/>
        </w:rPr>
        <w:t>Subject to any applicable ethical or legal constraint, either party may terminate this Agreement upon thirty days written notice to the other</w:t>
      </w:r>
      <w:r>
        <w:rPr>
          <w:rFonts w:ascii="Times New Roman" w:cs="Times New Roman" w:eastAsia="Times New Roman" w:hAnsi="Times New Roman"/>
          <w:sz w:val="18"/>
          <w:szCs w:val="18"/>
          <w:color w:val="212121"/>
        </w:rPr>
        <w:t>.</w:t>
      </w:r>
    </w:p>
    <w:p>
      <w:pPr>
        <w:spacing w:after="0" w:line="27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010101"/>
        </w:rPr>
        <w:t>In the event of a violation by Consultant of any term or condition, express or implied</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of this Agreement or of any federal, state or local law or regulation pertaining to or arising from Consultant's performance of services under this Agreement, NGSC may</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in its discretion, terminate this Agreement immediately</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without prior notice</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and in such event Consultant shall be entitled to compensation only up to the time of such violation</w:t>
      </w:r>
      <w:r>
        <w:rPr>
          <w:rFonts w:ascii="Times New Roman" w:cs="Times New Roman" w:eastAsia="Times New Roman" w:hAnsi="Times New Roman"/>
          <w:sz w:val="18"/>
          <w:szCs w:val="18"/>
          <w:color w:val="3A3A3A"/>
        </w:rPr>
        <w:t>.</w:t>
      </w:r>
    </w:p>
    <w:p>
      <w:pPr>
        <w:sectPr>
          <w:pgSz w:w="11900" w:h="16838" w:orient="portrait"/>
          <w:cols w:equalWidth="0" w:num="1">
            <w:col w:w="11240"/>
          </w:cols>
          <w:pgMar w:left="320" w:top="360"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010101"/>
        </w:rPr>
        <w:t>Notwithstanding the foregoing, in the event that Consultant is</w:t>
      </w:r>
      <w:r>
        <w:rPr>
          <w:rFonts w:ascii="Times New Roman" w:cs="Times New Roman" w:eastAsia="Times New Roman" w:hAnsi="Times New Roman"/>
          <w:sz w:val="18"/>
          <w:szCs w:val="18"/>
          <w:color w:val="4F4F4F"/>
        </w:rPr>
        <w:t>:</w:t>
      </w:r>
      <w:r>
        <w:rPr>
          <w:rFonts w:ascii="Times New Roman" w:cs="Times New Roman" w:eastAsia="Times New Roman" w:hAnsi="Times New Roman"/>
          <w:sz w:val="18"/>
          <w:szCs w:val="18"/>
          <w:color w:val="010101"/>
        </w:rPr>
        <w:t xml:space="preserve"> (1) adjudicated a bankrupt or petitions for relief under bankruptcy</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reorganization</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receivership</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liquidation</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10101"/>
        </w:rPr>
        <w:t xml:space="preserve"> compromise or other arrangement or attempts to make an assignment for the benefit of creditors, this Agreement shall be deemed terminated automatically, without requirement of notice, without further liability or obligation to NGSC; or (2) nominated to a politically appointed position, this Agreement shall be deemed terminated effective as of the day before any affirmative Senate Committee confirmation vote.</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010101"/>
        </w:rPr>
        <w:t>XVII.</w:t>
      </w:r>
      <w:r>
        <w:rPr>
          <w:sz w:val="20"/>
          <w:szCs w:val="20"/>
          <w:color w:val="auto"/>
        </w:rPr>
        <w:tab/>
      </w:r>
      <w:r>
        <w:rPr>
          <w:rFonts w:ascii="Times New Roman" w:cs="Times New Roman" w:eastAsia="Times New Roman" w:hAnsi="Times New Roman"/>
          <w:sz w:val="17"/>
          <w:szCs w:val="17"/>
          <w:b w:val="1"/>
          <w:bCs w:val="1"/>
          <w:u w:val="single" w:color="auto"/>
          <w:color w:val="010101"/>
        </w:rPr>
        <w:t>SEVERABILITY OF PROVISIONS</w:t>
      </w:r>
    </w:p>
    <w:p>
      <w:pPr>
        <w:spacing w:after="0" w:line="270" w:lineRule="exact"/>
        <w:rPr>
          <w:sz w:val="20"/>
          <w:szCs w:val="20"/>
          <w:color w:val="auto"/>
        </w:rPr>
      </w:pPr>
    </w:p>
    <w:p>
      <w:pPr>
        <w:jc w:val="both"/>
        <w:ind w:firstLine="753"/>
        <w:spacing w:after="0" w:line="313" w:lineRule="auto"/>
        <w:rPr>
          <w:sz w:val="20"/>
          <w:szCs w:val="20"/>
          <w:color w:val="auto"/>
        </w:rPr>
      </w:pPr>
      <w:r>
        <w:rPr>
          <w:rFonts w:ascii="Times New Roman" w:cs="Times New Roman" w:eastAsia="Times New Roman" w:hAnsi="Times New Roman"/>
          <w:sz w:val="18"/>
          <w:szCs w:val="18"/>
          <w:color w:val="010101"/>
        </w:rPr>
        <w:t>All provisions contained herein are severable and in the event any of them are held to be invalid by any competent court, this Agreement shall be interpreted as if such invalid provision was not contained herein</w:t>
      </w:r>
      <w:r>
        <w:rPr>
          <w:rFonts w:ascii="Times New Roman" w:cs="Times New Roman" w:eastAsia="Times New Roman" w:hAnsi="Times New Roman"/>
          <w:sz w:val="18"/>
          <w:szCs w:val="18"/>
          <w:color w:val="3B3B3B"/>
        </w:rPr>
        <w:t>.</w:t>
      </w:r>
    </w:p>
    <w:p>
      <w:pPr>
        <w:spacing w:after="0" w:line="14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010101"/>
        </w:rPr>
        <w:t>XVIII.</w:t>
      </w:r>
      <w:r>
        <w:rPr>
          <w:sz w:val="20"/>
          <w:szCs w:val="20"/>
          <w:color w:val="auto"/>
        </w:rPr>
        <w:tab/>
      </w:r>
      <w:r>
        <w:rPr>
          <w:rFonts w:ascii="Times New Roman" w:cs="Times New Roman" w:eastAsia="Times New Roman" w:hAnsi="Times New Roman"/>
          <w:sz w:val="17"/>
          <w:szCs w:val="17"/>
          <w:b w:val="1"/>
          <w:bCs w:val="1"/>
          <w:u w:val="single" w:color="auto"/>
          <w:color w:val="010101"/>
        </w:rPr>
        <w:t>AVAILABILITY OF EQUITABLE REMEDIES</w:t>
      </w:r>
    </w:p>
    <w:p>
      <w:pPr>
        <w:spacing w:after="0" w:line="270" w:lineRule="exact"/>
        <w:rPr>
          <w:sz w:val="20"/>
          <w:szCs w:val="20"/>
          <w:color w:val="auto"/>
        </w:rPr>
      </w:pPr>
    </w:p>
    <w:p>
      <w:pPr>
        <w:jc w:val="both"/>
        <w:ind w:firstLine="748"/>
        <w:spacing w:after="0" w:line="313" w:lineRule="auto"/>
        <w:rPr>
          <w:sz w:val="20"/>
          <w:szCs w:val="20"/>
          <w:color w:val="auto"/>
        </w:rPr>
      </w:pPr>
      <w:r>
        <w:rPr>
          <w:rFonts w:ascii="Times New Roman" w:cs="Times New Roman" w:eastAsia="Times New Roman" w:hAnsi="Times New Roman"/>
          <w:sz w:val="18"/>
          <w:szCs w:val="18"/>
          <w:color w:val="010101"/>
        </w:rPr>
        <w:t xml:space="preserve">Consultant understands and agrees that any breach or evasion of any of the terms of this Agreement will result in immediate and irreparable </w:t>
      </w:r>
      <w:r>
        <w:rPr>
          <w:rFonts w:ascii="Times New Roman" w:cs="Times New Roman" w:eastAsia="Times New Roman" w:hAnsi="Times New Roman"/>
          <w:sz w:val="18"/>
          <w:szCs w:val="18"/>
          <w:color w:val="181818"/>
        </w:rPr>
        <w:t xml:space="preserve">injury </w:t>
      </w:r>
      <w:r>
        <w:rPr>
          <w:rFonts w:ascii="Times New Roman" w:cs="Times New Roman" w:eastAsia="Times New Roman" w:hAnsi="Times New Roman"/>
          <w:sz w:val="18"/>
          <w:szCs w:val="18"/>
          <w:color w:val="010101"/>
        </w:rPr>
        <w:t>to NGSC and will entitle NGSC to all legal and equitable remedies including, without limitation, injunction or specific performance</w:t>
      </w:r>
      <w:r>
        <w:rPr>
          <w:rFonts w:ascii="Times New Roman" w:cs="Times New Roman" w:eastAsia="Times New Roman" w:hAnsi="Times New Roman"/>
          <w:sz w:val="18"/>
          <w:szCs w:val="18"/>
          <w:color w:val="3B3B3B"/>
        </w:rPr>
        <w:t>.</w:t>
      </w:r>
    </w:p>
    <w:p>
      <w:pPr>
        <w:spacing w:after="0" w:line="15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b w:val="1"/>
          <w:bCs w:val="1"/>
          <w:color w:val="010101"/>
        </w:rPr>
        <w:t>XIX.</w:t>
      </w:r>
      <w:r>
        <w:rPr>
          <w:sz w:val="20"/>
          <w:szCs w:val="20"/>
          <w:color w:val="auto"/>
        </w:rPr>
        <w:tab/>
      </w:r>
      <w:r>
        <w:rPr>
          <w:rFonts w:ascii="Times New Roman" w:cs="Times New Roman" w:eastAsia="Times New Roman" w:hAnsi="Times New Roman"/>
          <w:sz w:val="17"/>
          <w:szCs w:val="17"/>
          <w:b w:val="1"/>
          <w:bCs w:val="1"/>
          <w:u w:val="single" w:color="auto"/>
          <w:color w:val="010101"/>
        </w:rPr>
        <w:t>GOVERNING LAW</w:t>
      </w:r>
    </w:p>
    <w:p>
      <w:pPr>
        <w:spacing w:after="0" w:line="270" w:lineRule="exact"/>
        <w:rPr>
          <w:sz w:val="20"/>
          <w:szCs w:val="20"/>
          <w:color w:val="auto"/>
        </w:rPr>
      </w:pPr>
    </w:p>
    <w:p>
      <w:pPr>
        <w:jc w:val="both"/>
        <w:ind w:firstLine="748"/>
        <w:spacing w:after="0" w:line="287" w:lineRule="auto"/>
        <w:rPr>
          <w:sz w:val="20"/>
          <w:szCs w:val="20"/>
          <w:color w:val="auto"/>
        </w:rPr>
      </w:pPr>
      <w:r>
        <w:rPr>
          <w:rFonts w:ascii="Times New Roman" w:cs="Times New Roman" w:eastAsia="Times New Roman" w:hAnsi="Times New Roman"/>
          <w:sz w:val="18"/>
          <w:szCs w:val="18"/>
          <w:color w:val="010101"/>
        </w:rPr>
        <w:t>This Agreement and the performance hereunder shall be governed by and construed in accordance with the laws of the Commonwealth of Virginia (excluding any conflicts of laws provisions), which shall be the exclusive applicable law</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 xml:space="preserve"> Consultant shall submit to the jurisdiction of the courts within the Commonwealth of Virginia for any claim, demand or suit that may arise in connection with this Agreement and Consultant specifically waives any objection or defense to venue and jurisdiction</w:t>
      </w:r>
      <w:r>
        <w:rPr>
          <w:rFonts w:ascii="Times New Roman" w:cs="Times New Roman" w:eastAsia="Times New Roman" w:hAnsi="Times New Roman"/>
          <w:sz w:val="18"/>
          <w:szCs w:val="18"/>
          <w:color w:val="3B3B3B"/>
        </w:rPr>
        <w:t>.</w:t>
      </w:r>
    </w:p>
    <w:p>
      <w:pPr>
        <w:spacing w:after="0" w:line="167"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b w:val="1"/>
          <w:bCs w:val="1"/>
          <w:color w:val="010101"/>
        </w:rPr>
      </w:pPr>
      <w:r>
        <w:rPr>
          <w:rFonts w:ascii="Times New Roman" w:cs="Times New Roman" w:eastAsia="Times New Roman" w:hAnsi="Times New Roman"/>
          <w:sz w:val="18"/>
          <w:szCs w:val="18"/>
          <w:b w:val="1"/>
          <w:bCs w:val="1"/>
          <w:u w:val="single" w:color="auto"/>
          <w:color w:val="010101"/>
        </w:rPr>
        <w:t>SETTLEMENT OF DISPUTES</w:t>
      </w:r>
    </w:p>
    <w:p>
      <w:pPr>
        <w:spacing w:after="0" w:line="270" w:lineRule="exact"/>
        <w:rPr>
          <w:sz w:val="20"/>
          <w:szCs w:val="20"/>
          <w:color w:val="auto"/>
        </w:rPr>
      </w:pPr>
    </w:p>
    <w:p>
      <w:pPr>
        <w:jc w:val="both"/>
        <w:ind w:firstLine="751"/>
        <w:spacing w:after="0" w:line="281" w:lineRule="auto"/>
        <w:rPr>
          <w:sz w:val="20"/>
          <w:szCs w:val="20"/>
          <w:color w:val="auto"/>
        </w:rPr>
      </w:pPr>
      <w:r>
        <w:rPr>
          <w:rFonts w:ascii="Times New Roman" w:cs="Times New Roman" w:eastAsia="Times New Roman" w:hAnsi="Times New Roman"/>
          <w:sz w:val="18"/>
          <w:szCs w:val="18"/>
          <w:color w:val="010101"/>
        </w:rPr>
        <w:t>NGSC and Consultant hereby consent to the resolution by arbitration of all disputes, issues, claims or controversies arising out of or in connection with this Agreement, that NGSC may have against Consultant, or that Consultant may have against NGSC, or against its officers, directors, employees or agents acting in their capacity as such; provided however, that in order to comply with the requirements of section 8116 of P</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L.111-118 (the "Franken Amendment") and its implementing regulations, Consultant is not required to arbitrate any claim under Title VII of the Civil Rights Act of 1964 or any tort related to or arising out of sexual assault or harassment, including assault and battery, intentional infliction of emotional distress, false imprisonment, or negligent hiring, supervision, or retention, regardless of when that claim arises or has arisen</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 xml:space="preserve"> Consultant may, but is not required to, request arbitration of such claims</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 xml:space="preserve"> Each party's promise to resolve all such claims, issues, or disputes by arbitration, except as noted above, in accordance with this Agreement rather than through the courts, is consideration for the other party's like promise</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 xml:space="preserve"> It is further agreed that the decision of an arbitrator on any </w:t>
      </w:r>
      <w:r>
        <w:rPr>
          <w:rFonts w:ascii="Times New Roman" w:cs="Times New Roman" w:eastAsia="Times New Roman" w:hAnsi="Times New Roman"/>
          <w:sz w:val="18"/>
          <w:szCs w:val="18"/>
          <w:color w:val="161616"/>
        </w:rPr>
        <w:t>issue,</w:t>
      </w:r>
      <w:r>
        <w:rPr>
          <w:rFonts w:ascii="Times New Roman" w:cs="Times New Roman" w:eastAsia="Times New Roman" w:hAnsi="Times New Roman"/>
          <w:sz w:val="18"/>
          <w:szCs w:val="18"/>
          <w:color w:val="010101"/>
        </w:rPr>
        <w:t xml:space="preserve"> dispute, claim or controversy submitted for arbitration, shall be final and binding upon the NGSC and Consultant and that judgment may be entered on the award of the arbitrator in any court having proper jurisdiction.</w:t>
      </w:r>
    </w:p>
    <w:p>
      <w:pPr>
        <w:spacing w:after="0" w:line="22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010101"/>
        </w:rPr>
        <w:t xml:space="preserve">Except as otherwise provided herein or by mutual agreement of the parties, any arbitration shall be administered in accordance with the then-current Model Arbitration Procedures of the American Arbitration Association (AAA) before an arbitrator who is licensed to practice law in the state </w:t>
      </w:r>
      <w:r>
        <w:rPr>
          <w:rFonts w:ascii="Times New Roman" w:cs="Times New Roman" w:eastAsia="Times New Roman" w:hAnsi="Times New Roman"/>
          <w:sz w:val="18"/>
          <w:szCs w:val="18"/>
          <w:color w:val="161616"/>
        </w:rPr>
        <w:t>in</w:t>
      </w:r>
      <w:r>
        <w:rPr>
          <w:rFonts w:ascii="Times New Roman" w:cs="Times New Roman" w:eastAsia="Times New Roman" w:hAnsi="Times New Roman"/>
          <w:sz w:val="18"/>
          <w:szCs w:val="18"/>
          <w:color w:val="010101"/>
        </w:rPr>
        <w:t xml:space="preserve"> which the arbitration </w:t>
      </w:r>
      <w:r>
        <w:rPr>
          <w:rFonts w:ascii="Times New Roman" w:cs="Times New Roman" w:eastAsia="Times New Roman" w:hAnsi="Times New Roman"/>
          <w:sz w:val="18"/>
          <w:szCs w:val="18"/>
          <w:color w:val="161616"/>
        </w:rPr>
        <w:t>is</w:t>
      </w:r>
      <w:r>
        <w:rPr>
          <w:rFonts w:ascii="Times New Roman" w:cs="Times New Roman" w:eastAsia="Times New Roman" w:hAnsi="Times New Roman"/>
          <w:sz w:val="18"/>
          <w:szCs w:val="18"/>
          <w:color w:val="010101"/>
        </w:rPr>
        <w:t xml:space="preserve"> convened</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 xml:space="preserve"> The arbitration shall be held in Fairfax County, VA or at any other location mutually agreed upon by the parties.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 xml:space="preserve">The parties shall act reasonably and in good faith to agree upon the arbitrator </w:t>
      </w:r>
      <w:r>
        <w:rPr>
          <w:rFonts w:ascii="Times New Roman" w:cs="Times New Roman" w:eastAsia="Times New Roman" w:hAnsi="Times New Roman"/>
          <w:sz w:val="18"/>
          <w:szCs w:val="18"/>
          <w:color w:val="3B3B3B"/>
        </w:rPr>
        <w:t>.</w:t>
      </w:r>
    </w:p>
    <w:p>
      <w:pPr>
        <w:spacing w:after="0" w:line="26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010101"/>
        </w:rPr>
        <w:t>In reaching his or her decision, the arbitrator shall have no authority to change or modify any lawful NGSC or affiliate policy, rule or regulation or this Agreement.</w:t>
      </w:r>
    </w:p>
    <w:p>
      <w:pPr>
        <w:sectPr>
          <w:pgSz w:w="11900" w:h="16838" w:orient="portrait"/>
          <w:cols w:equalWidth="0" w:num="1">
            <w:col w:w="11240"/>
          </w:cols>
          <w:pgMar w:left="320" w:top="360"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b w:val="1"/>
          <w:bCs w:val="1"/>
          <w:color w:val="010101"/>
        </w:rPr>
        <w:t>XXI.</w:t>
      </w:r>
      <w:r>
        <w:rPr>
          <w:sz w:val="20"/>
          <w:szCs w:val="20"/>
          <w:color w:val="auto"/>
        </w:rPr>
        <w:tab/>
      </w:r>
      <w:r>
        <w:rPr>
          <w:rFonts w:ascii="Times New Roman" w:cs="Times New Roman" w:eastAsia="Times New Roman" w:hAnsi="Times New Roman"/>
          <w:sz w:val="18"/>
          <w:szCs w:val="18"/>
          <w:b w:val="1"/>
          <w:bCs w:val="1"/>
          <w:u w:val="single" w:color="auto"/>
          <w:color w:val="010101"/>
        </w:rPr>
        <w:t>NOTICE</w:t>
      </w:r>
    </w:p>
    <w:p>
      <w:pPr>
        <w:spacing w:after="0" w:line="2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010101"/>
        </w:rPr>
        <w:t>Any notice to be given hereunder shall be in writing, mailed by certified or registered mail with return receipt requested addressed to NGSC</w:t>
      </w:r>
      <w:r>
        <w:rPr>
          <w:rFonts w:ascii="Times New Roman" w:cs="Times New Roman" w:eastAsia="Times New Roman" w:hAnsi="Times New Roman"/>
          <w:sz w:val="18"/>
          <w:szCs w:val="18"/>
          <w:color w:val="3B3B3B"/>
        </w:rPr>
        <w:t>:</w:t>
      </w:r>
    </w:p>
    <w:p>
      <w:pPr>
        <w:spacing w:after="0" w:line="24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010101"/>
        </w:rPr>
        <w:t>Northrop Grumman Systems Corporation</w:t>
      </w:r>
    </w:p>
    <w:p>
      <w:pPr>
        <w:ind w:left="1980"/>
        <w:spacing w:after="0" w:line="203" w:lineRule="auto"/>
        <w:rPr>
          <w:sz w:val="20"/>
          <w:szCs w:val="20"/>
          <w:color w:val="auto"/>
        </w:rPr>
      </w:pPr>
      <w:r>
        <w:rPr>
          <w:rFonts w:ascii="Times New Roman" w:cs="Times New Roman" w:eastAsia="Times New Roman" w:hAnsi="Times New Roman"/>
          <w:sz w:val="18"/>
          <w:szCs w:val="18"/>
          <w:color w:val="010101"/>
        </w:rPr>
        <w:t>45101 Warp Drive, Building 1</w:t>
      </w:r>
    </w:p>
    <w:p>
      <w:pPr>
        <w:ind w:left="1980"/>
        <w:spacing w:after="0" w:line="235" w:lineRule="auto"/>
        <w:rPr>
          <w:sz w:val="20"/>
          <w:szCs w:val="20"/>
          <w:color w:val="auto"/>
        </w:rPr>
      </w:pPr>
      <w:r>
        <w:rPr>
          <w:rFonts w:ascii="Times New Roman" w:cs="Times New Roman" w:eastAsia="Times New Roman" w:hAnsi="Times New Roman"/>
          <w:sz w:val="18"/>
          <w:szCs w:val="18"/>
          <w:color w:val="010101"/>
        </w:rPr>
        <w:t>Dulles, VA 20166-6874</w:t>
      </w:r>
    </w:p>
    <w:p>
      <w:pPr>
        <w:ind w:left="1980"/>
        <w:spacing w:after="0"/>
        <w:rPr>
          <w:sz w:val="20"/>
          <w:szCs w:val="20"/>
          <w:color w:val="auto"/>
        </w:rPr>
      </w:pPr>
      <w:r>
        <w:rPr>
          <w:rFonts w:ascii="Times New Roman" w:cs="Times New Roman" w:eastAsia="Times New Roman" w:hAnsi="Times New Roman"/>
          <w:sz w:val="18"/>
          <w:szCs w:val="18"/>
          <w:color w:val="010101"/>
        </w:rPr>
        <w:t>Attn</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 xml:space="preserve"> General Counsel</w:t>
      </w:r>
    </w:p>
    <w:p>
      <w:pPr>
        <w:spacing w:after="0" w:line="21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010101"/>
        </w:rPr>
        <w:t>or to Consultant at their residential or business address, or to such other address as may have been furnished at the date of mailing either by NGSC or Consultant in writing</w:t>
      </w:r>
      <w:r>
        <w:rPr>
          <w:rFonts w:ascii="Times New Roman" w:cs="Times New Roman" w:eastAsia="Times New Roman" w:hAnsi="Times New Roman"/>
          <w:sz w:val="18"/>
          <w:szCs w:val="18"/>
          <w:color w:val="525252"/>
        </w:rPr>
        <w:t>.</w:t>
      </w:r>
    </w:p>
    <w:p>
      <w:pPr>
        <w:spacing w:after="0" w:line="19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010101"/>
        </w:rPr>
        <w:t>XXII.</w:t>
      </w:r>
      <w:r>
        <w:rPr>
          <w:sz w:val="20"/>
          <w:szCs w:val="20"/>
          <w:color w:val="auto"/>
        </w:rPr>
        <w:tab/>
      </w:r>
      <w:r>
        <w:rPr>
          <w:rFonts w:ascii="Times New Roman" w:cs="Times New Roman" w:eastAsia="Times New Roman" w:hAnsi="Times New Roman"/>
          <w:sz w:val="17"/>
          <w:szCs w:val="17"/>
          <w:b w:val="1"/>
          <w:bCs w:val="1"/>
          <w:u w:val="single" w:color="auto"/>
          <w:color w:val="010101"/>
        </w:rPr>
        <w:t>SECURITY REQUIREMENTS</w:t>
      </w:r>
    </w:p>
    <w:p>
      <w:pPr>
        <w:spacing w:after="0" w:line="256" w:lineRule="exact"/>
        <w:rPr>
          <w:sz w:val="20"/>
          <w:szCs w:val="20"/>
          <w:color w:val="auto"/>
        </w:rPr>
      </w:pPr>
    </w:p>
    <w:p>
      <w:pPr>
        <w:jc w:val="both"/>
        <w:ind w:right="20" w:firstLine="747"/>
        <w:spacing w:after="0" w:line="297" w:lineRule="auto"/>
        <w:rPr>
          <w:sz w:val="20"/>
          <w:szCs w:val="20"/>
          <w:color w:val="auto"/>
        </w:rPr>
      </w:pPr>
      <w:r>
        <w:rPr>
          <w:rFonts w:ascii="Times New Roman" w:cs="Times New Roman" w:eastAsia="Times New Roman" w:hAnsi="Times New Roman"/>
          <w:sz w:val="18"/>
          <w:szCs w:val="18"/>
          <w:color w:val="010101"/>
        </w:rPr>
        <w:t xml:space="preserve">Consultant shall comply with all security requirements of the United States Government affecting NGSC and shall not engage </w:t>
      </w:r>
      <w:r>
        <w:rPr>
          <w:rFonts w:ascii="Times New Roman" w:cs="Times New Roman" w:eastAsia="Times New Roman" w:hAnsi="Times New Roman"/>
          <w:sz w:val="18"/>
          <w:szCs w:val="18"/>
          <w:color w:val="161616"/>
        </w:rPr>
        <w:t>in</w:t>
      </w:r>
      <w:r>
        <w:rPr>
          <w:rFonts w:ascii="Times New Roman" w:cs="Times New Roman" w:eastAsia="Times New Roman" w:hAnsi="Times New Roman"/>
          <w:sz w:val="18"/>
          <w:szCs w:val="18"/>
          <w:color w:val="010101"/>
        </w:rPr>
        <w:t xml:space="preserve"> any services for which Consultant does not have a proper security clearance. Further, Consultant shall comply with all United States Government and NGSC requirements applicable to Special Access Required ("SAR") Programs in which NGSC is involved.</w:t>
      </w:r>
    </w:p>
    <w:p>
      <w:pPr>
        <w:spacing w:after="0" w:line="1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010101"/>
        </w:rPr>
        <w:t>Consultant shall not possess classified material except at NGSC's cleared facility or the U</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S</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 xml:space="preserve"> Government's cleared facility</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10101"/>
        </w:rPr>
        <w:t xml:space="preserve"> If Consultant performs services under this Agreement in connection with any program in SAR status, prior to any foreign travel Consultant shall obtain the approval of NGSC's Division Security</w:t>
      </w:r>
      <w:r>
        <w:rPr>
          <w:rFonts w:ascii="Times New Roman" w:cs="Times New Roman" w:eastAsia="Times New Roman" w:hAnsi="Times New Roman"/>
          <w:sz w:val="18"/>
          <w:szCs w:val="18"/>
          <w:color w:val="262626"/>
        </w:rPr>
        <w:t>.</w:t>
      </w:r>
    </w:p>
    <w:p>
      <w:pPr>
        <w:spacing w:after="0" w:line="20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010101"/>
        </w:rPr>
        <w:t>XXIII.</w:t>
      </w:r>
      <w:r>
        <w:rPr>
          <w:sz w:val="20"/>
          <w:szCs w:val="20"/>
          <w:color w:val="auto"/>
        </w:rPr>
        <w:tab/>
      </w:r>
      <w:r>
        <w:rPr>
          <w:rFonts w:ascii="Times New Roman" w:cs="Times New Roman" w:eastAsia="Times New Roman" w:hAnsi="Times New Roman"/>
          <w:sz w:val="17"/>
          <w:szCs w:val="17"/>
          <w:b w:val="1"/>
          <w:bCs w:val="1"/>
          <w:u w:val="single" w:color="auto"/>
          <w:color w:val="010101"/>
        </w:rPr>
        <w:t>INFORMATION SECURITY</w:t>
      </w:r>
    </w:p>
    <w:p>
      <w:pPr>
        <w:spacing w:after="0" w:line="270" w:lineRule="exact"/>
        <w:rPr>
          <w:sz w:val="20"/>
          <w:szCs w:val="20"/>
          <w:color w:val="auto"/>
        </w:rPr>
      </w:pPr>
    </w:p>
    <w:p>
      <w:pPr>
        <w:jc w:val="both"/>
        <w:ind w:firstLine="751"/>
        <w:spacing w:after="0" w:line="297" w:lineRule="auto"/>
        <w:rPr>
          <w:sz w:val="20"/>
          <w:szCs w:val="20"/>
          <w:color w:val="auto"/>
        </w:rPr>
      </w:pPr>
      <w:r>
        <w:rPr>
          <w:rFonts w:ascii="Times New Roman" w:cs="Times New Roman" w:eastAsia="Times New Roman" w:hAnsi="Times New Roman"/>
          <w:sz w:val="18"/>
          <w:szCs w:val="18"/>
          <w:color w:val="010101"/>
        </w:rPr>
        <w:t>Consultant will comply with all applicable laws</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statutes and regulations in the handling</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transmitting and safeguarding of information provided by Northrop Grumman including</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but not limited to, data protection</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privacy</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data transfer</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and export laws</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010101"/>
        </w:rPr>
        <w:t xml:space="preserve"> Information provided by Northrop Grumman in connection with this matter shall not be stored or transmitted outside of the U.S. without Northrop Grumman's express permission</w:t>
      </w:r>
      <w:r>
        <w:rPr>
          <w:rFonts w:ascii="Times New Roman" w:cs="Times New Roman" w:eastAsia="Times New Roman" w:hAnsi="Times New Roman"/>
          <w:sz w:val="18"/>
          <w:szCs w:val="18"/>
          <w:color w:val="3F3F3F"/>
        </w:rPr>
        <w:t>.</w:t>
      </w:r>
    </w:p>
    <w:p>
      <w:pPr>
        <w:spacing w:after="0" w:line="19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010101"/>
        </w:rPr>
        <w:t>Consultant further agrees that it will take reasonable measures to safeguard and protect all information provided by Northrop Grumman, including all company sensitive, third party and personally identifiable information, from inadvertent disclosure, unauthorized disclosure</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or unauthorized access</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regardless of whether such information is in paper</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electronic or other form</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Consultant represents that it has a comprehensive information security program that is comparable to</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meets</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or exceeds the requirements in </w:t>
      </w:r>
      <w:r>
        <w:rPr>
          <w:rFonts w:ascii="Times New Roman" w:cs="Times New Roman" w:eastAsia="Times New Roman" w:hAnsi="Times New Roman"/>
          <w:sz w:val="18"/>
          <w:szCs w:val="18"/>
          <w:b w:val="1"/>
          <w:bCs w:val="1"/>
          <w:color w:val="010101"/>
        </w:rPr>
        <w:t>Appendix A</w:t>
      </w:r>
      <w:r>
        <w:rPr>
          <w:rFonts w:ascii="Times New Roman" w:cs="Times New Roman" w:eastAsia="Times New Roman" w:hAnsi="Times New Roman"/>
          <w:sz w:val="18"/>
          <w:szCs w:val="18"/>
          <w:b w:val="1"/>
          <w:bCs w:val="1"/>
          <w:color w:val="262626"/>
        </w:rPr>
        <w:t>.</w:t>
      </w:r>
    </w:p>
    <w:p>
      <w:pPr>
        <w:spacing w:after="0" w:line="190"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10101"/>
        </w:rPr>
        <w:t xml:space="preserve">Consultant agrees that it will flow down the data security and compliance requirements in </w:t>
      </w:r>
      <w:r>
        <w:rPr>
          <w:rFonts w:ascii="Times New Roman" w:cs="Times New Roman" w:eastAsia="Times New Roman" w:hAnsi="Times New Roman"/>
          <w:sz w:val="18"/>
          <w:szCs w:val="18"/>
          <w:b w:val="1"/>
          <w:bCs w:val="1"/>
          <w:color w:val="010101"/>
        </w:rPr>
        <w:t>Appendix A</w:t>
      </w:r>
      <w:r>
        <w:rPr>
          <w:rFonts w:ascii="Times New Roman" w:cs="Times New Roman" w:eastAsia="Times New Roman" w:hAnsi="Times New Roman"/>
          <w:sz w:val="18"/>
          <w:szCs w:val="18"/>
          <w:color w:val="010101"/>
        </w:rPr>
        <w:t xml:space="preserve"> in any agreement with a third-party supplier, retained in connection with this matter that will receive Sensitive Information.</w:t>
      </w:r>
    </w:p>
    <w:p>
      <w:pPr>
        <w:spacing w:after="0" w:line="18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010101"/>
        </w:rPr>
        <w:t>The terms of this section shall remain in full force and effect after the termination or expiration of this Agreement. Sensitive information exchanged pursuant to this Agreement should be returned to Northrop Grumman within 30 days of termination, unless otherwise agreed to by the parties</w:t>
      </w:r>
      <w:r>
        <w:rPr>
          <w:rFonts w:ascii="Times New Roman" w:cs="Times New Roman" w:eastAsia="Times New Roman" w:hAnsi="Times New Roman"/>
          <w:sz w:val="18"/>
          <w:szCs w:val="18"/>
          <w:color w:val="3F3F3F"/>
        </w:rPr>
        <w: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010101"/>
        </w:rPr>
        <w:t>XXIV.</w:t>
      </w:r>
      <w:r>
        <w:rPr>
          <w:sz w:val="20"/>
          <w:szCs w:val="20"/>
          <w:color w:val="auto"/>
        </w:rPr>
        <w:tab/>
      </w:r>
      <w:r>
        <w:rPr>
          <w:rFonts w:ascii="Times New Roman" w:cs="Times New Roman" w:eastAsia="Times New Roman" w:hAnsi="Times New Roman"/>
          <w:sz w:val="18"/>
          <w:szCs w:val="18"/>
          <w:b w:val="1"/>
          <w:bCs w:val="1"/>
          <w:u w:val="single" w:color="auto"/>
          <w:color w:val="010101"/>
        </w:rPr>
        <w:t>COMPLETE AGREEMENT</w:t>
      </w:r>
    </w:p>
    <w:p>
      <w:pPr>
        <w:spacing w:after="0" w:line="270" w:lineRule="exact"/>
        <w:rPr>
          <w:sz w:val="20"/>
          <w:szCs w:val="20"/>
          <w:color w:val="auto"/>
        </w:rPr>
      </w:pPr>
    </w:p>
    <w:p>
      <w:pPr>
        <w:jc w:val="both"/>
        <w:ind w:firstLine="748"/>
        <w:spacing w:after="0" w:line="287" w:lineRule="auto"/>
        <w:rPr>
          <w:sz w:val="20"/>
          <w:szCs w:val="20"/>
          <w:color w:val="auto"/>
        </w:rPr>
      </w:pPr>
      <w:r>
        <w:rPr>
          <w:rFonts w:ascii="Times New Roman" w:cs="Times New Roman" w:eastAsia="Times New Roman" w:hAnsi="Times New Roman"/>
          <w:sz w:val="18"/>
          <w:szCs w:val="18"/>
          <w:color w:val="010101"/>
        </w:rPr>
        <w:t>This Agreement constitutes the entire agreement of the parties with respect to the engagement of Consultant by NGSC</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010101"/>
        </w:rPr>
        <w:t xml:space="preserve"> The parties stipulate and agree that neither of them has made any representation with respect to this Agreement except that such representations are specifically set forth herein</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10101"/>
        </w:rPr>
        <w:t xml:space="preserve"> The parties acknowledge that any other payments or representations that may have been made are of no effect and that neither party has relied on such payments or representations </w:t>
      </w:r>
      <w:r>
        <w:rPr>
          <w:rFonts w:ascii="Times New Roman" w:cs="Times New Roman" w:eastAsia="Times New Roman" w:hAnsi="Times New Roman"/>
          <w:sz w:val="18"/>
          <w:szCs w:val="18"/>
          <w:color w:val="151515"/>
        </w:rPr>
        <w:t>in</w:t>
      </w:r>
      <w:r>
        <w:rPr>
          <w:rFonts w:ascii="Times New Roman" w:cs="Times New Roman" w:eastAsia="Times New Roman" w:hAnsi="Times New Roman"/>
          <w:sz w:val="18"/>
          <w:szCs w:val="18"/>
          <w:color w:val="010101"/>
        </w:rPr>
        <w:t xml:space="preserve"> connection with this Agreement or the performance of services contemplated herein.</w:t>
      </w:r>
    </w:p>
    <w:p>
      <w:pPr>
        <w:sectPr>
          <w:pgSz w:w="11900" w:h="16838" w:orient="portrait"/>
          <w:cols w:equalWidth="0" w:num="1">
            <w:col w:w="11240"/>
          </w:cols>
          <w:pgMar w:left="320" w:top="360"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IN WITNESS WHEREOF, the parties hereto have caused this Agreement to be entered into and executed as set forth below.</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101"/>
        </w:rPr>
        <w:t>NORTHROP GRUMMAN SYSTEMS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8"/>
          <w:szCs w:val="18"/>
          <w:color w:val="auto"/>
        </w:rPr>
        <w:t>/s/ Bobby Lentz</w:t>
      </w:r>
      <w:r>
        <w:rPr>
          <w:sz w:val="20"/>
          <w:szCs w:val="20"/>
          <w:color w:val="auto"/>
        </w:rPr>
        <w:tab/>
      </w:r>
      <w:r>
        <w:rPr>
          <w:rFonts w:ascii="Times New Roman" w:cs="Times New Roman" w:eastAsia="Times New Roman" w:hAnsi="Times New Roman"/>
          <w:sz w:val="18"/>
          <w:szCs w:val="18"/>
          <w:color w:val="auto"/>
        </w:rPr>
        <w:t>April 8, 2022</w:t>
      </w:r>
    </w:p>
    <w:p>
      <w:pPr>
        <w:spacing w:after="0" w:line="11"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18"/>
          <w:szCs w:val="18"/>
          <w:color w:val="auto"/>
        </w:rPr>
        <w:t>_____________________________</w:t>
      </w:r>
      <w:r>
        <w:rPr>
          <w:sz w:val="20"/>
          <w:szCs w:val="20"/>
          <w:color w:val="auto"/>
        </w:rPr>
        <w:tab/>
      </w:r>
      <w:r>
        <w:rPr>
          <w:rFonts w:ascii="Times New Roman" w:cs="Times New Roman" w:eastAsia="Times New Roman" w:hAnsi="Times New Roman"/>
          <w:sz w:val="18"/>
          <w:szCs w:val="18"/>
          <w:color w:val="auto"/>
        </w:rPr>
        <w:t>_____________________________</w:t>
      </w:r>
    </w:p>
    <w:p>
      <w:pPr>
        <w:ind w:left="454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CONSULTANT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18"/>
          <w:szCs w:val="18"/>
          <w:color w:val="auto"/>
        </w:rPr>
        <w:t>/s/ Blake Larson</w:t>
      </w:r>
      <w:r>
        <w:rPr>
          <w:sz w:val="20"/>
          <w:szCs w:val="20"/>
          <w:color w:val="auto"/>
        </w:rPr>
        <w:tab/>
      </w:r>
      <w:r>
        <w:rPr>
          <w:rFonts w:ascii="Times New Roman" w:cs="Times New Roman" w:eastAsia="Times New Roman" w:hAnsi="Times New Roman"/>
          <w:sz w:val="17"/>
          <w:szCs w:val="17"/>
          <w:color w:val="auto"/>
        </w:rPr>
        <w:t>April 11, 2022</w:t>
      </w:r>
    </w:p>
    <w:p>
      <w:pPr>
        <w:spacing w:after="0" w:line="11"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18"/>
          <w:szCs w:val="18"/>
          <w:color w:val="auto"/>
        </w:rPr>
        <w:t>_____________________________</w:t>
      </w:r>
      <w:r>
        <w:rPr>
          <w:sz w:val="20"/>
          <w:szCs w:val="20"/>
          <w:color w:val="auto"/>
        </w:rPr>
        <w:tab/>
      </w:r>
      <w:r>
        <w:rPr>
          <w:rFonts w:ascii="Times New Roman" w:cs="Times New Roman" w:eastAsia="Times New Roman" w:hAnsi="Times New Roman"/>
          <w:sz w:val="18"/>
          <w:szCs w:val="18"/>
          <w:color w:val="auto"/>
        </w:rPr>
        <w:t>_____________________________</w:t>
      </w:r>
    </w:p>
    <w:p>
      <w:pPr>
        <w:ind w:left="454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36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FROM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27,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2980 Fairview Park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 22042</w:t>
      </w:r>
    </w:p>
    <w:p>
      <w:pPr>
        <w:spacing w:after="0" w:line="39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We are aware that our report dated July 27, 2022, on our review of the interim financial information of Northrop Grumman Corporation and subsidiaries appearing in this Quarterly Report on Form 10-Q for the quarter ended June 30, 2022, is incorporated by reference in Registration Statement Nos. 033-59815, 033-59853, 333-67266, 333-100179, 333-107734, 333-121104, 333-125120, 333-127317, 333-175798 on Form S-8, 333-237504 on Form S-3, and 333-264549 on Form S-4.</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ectPr>
          <w:pgSz w:w="11900" w:h="16838" w:orient="portrait"/>
          <w:cols w:equalWidth="0" w:num="1">
            <w:col w:w="11240"/>
          </w:cols>
          <w:pgMar w:left="320" w:top="88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80" w:hanging="644"/>
        <w:spacing w:after="0" w:line="266" w:lineRule="auto"/>
        <w:tabs>
          <w:tab w:leader="none" w:pos="12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27, 2022</w:t>
      </w:r>
    </w:p>
    <w:p>
      <w:pPr>
        <w:spacing w:after="0" w:line="200" w:lineRule="exact"/>
        <w:rPr>
          <w:sz w:val="20"/>
          <w:szCs w:val="20"/>
          <w:color w:val="auto"/>
        </w:rPr>
      </w:pPr>
    </w:p>
    <w:p>
      <w:pPr>
        <w:spacing w:after="0" w:line="27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F. Keffer, certify that:</w:t>
      </w:r>
    </w:p>
    <w:p>
      <w:pPr>
        <w:spacing w:after="0" w:line="90"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80" w:hanging="644"/>
        <w:spacing w:after="0" w:line="266" w:lineRule="auto"/>
        <w:tabs>
          <w:tab w:leader="none" w:pos="128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27, 2022</w:t>
      </w:r>
    </w:p>
    <w:p>
      <w:pPr>
        <w:spacing w:after="0" w:line="200" w:lineRule="exact"/>
        <w:rPr>
          <w:sz w:val="20"/>
          <w:szCs w:val="20"/>
          <w:color w:val="auto"/>
        </w:rPr>
      </w:pPr>
    </w:p>
    <w:p>
      <w:pPr>
        <w:spacing w:after="0" w:line="22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David F. Keffer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ectPr>
          <w:pgSz w:w="11900" w:h="16838" w:orient="portrait"/>
          <w:cols w:equalWidth="0" w:num="1">
            <w:col w:w="11240"/>
          </w:cols>
          <w:pgMar w:left="320" w:top="88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Northrop Grumman Corporation (the “company”) on Form 10-Q for the period ended June 30, 2022, as filed with the Securities and Exchange Commission on the date hereof (the “Report”), I, Kathy J. Warden, Chair, Chief Executive Officer and President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27, 2022</w:t>
      </w:r>
    </w:p>
    <w:p>
      <w:pPr>
        <w:spacing w:after="0" w:line="200" w:lineRule="exact"/>
        <w:rPr>
          <w:sz w:val="20"/>
          <w:szCs w:val="20"/>
          <w:color w:val="auto"/>
        </w:rPr>
      </w:pPr>
    </w:p>
    <w:p>
      <w:pPr>
        <w:spacing w:after="0" w:line="26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Northrop Grumman Corporation (the “company”) on Form 10-Q for the period ended June 30, 2022, as filed with the Securities and Exchange Commission on the date hereof (the “Report”), I, David F. Keffer, Corporate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27, 2022</w:t>
      </w:r>
    </w:p>
    <w:p>
      <w:pPr>
        <w:spacing w:after="0" w:line="200" w:lineRule="exact"/>
        <w:rPr>
          <w:sz w:val="20"/>
          <w:szCs w:val="20"/>
          <w:color w:val="auto"/>
        </w:rPr>
      </w:pPr>
    </w:p>
    <w:p>
      <w:pPr>
        <w:spacing w:after="0" w:line="26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David F. Keffer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2"/>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upperLetter"/>
      <w:start w:val="9"/>
    </w:lvl>
  </w:abstractNum>
  <w:abstractNum w:abstractNumId="23">
    <w:nsid w:val="737B8DDC"/>
    <w:multiLevelType w:val="hybridMultilevel"/>
    <w:lvl w:ilvl="0">
      <w:lvlJc w:val="left"/>
      <w:lvlText w:val="%1."/>
      <w:numFmt w:val="upperLetter"/>
      <w:start w:val="35"/>
    </w:lvl>
  </w:abstractNum>
  <w:abstractNum w:abstractNumId="24">
    <w:nsid w:val="6CEAF087"/>
    <w:multiLevelType w:val="hybridMultilevel"/>
    <w:lvl w:ilvl="0">
      <w:lvlJc w:val="left"/>
      <w:lvlText w:val="%1."/>
      <w:numFmt w:val="upperLetter"/>
      <w:start w:val="1"/>
    </w:lvl>
  </w:abstractNum>
  <w:abstractNum w:abstractNumId="25">
    <w:nsid w:val="22221A70"/>
    <w:multiLevelType w:val="hybridMultilevel"/>
    <w:lvl w:ilvl="0">
      <w:lvlJc w:val="left"/>
      <w:lvlText w:val="%1."/>
      <w:numFmt w:val="upperLetter"/>
      <w:start w:val="3"/>
    </w:lvl>
  </w:abstractNum>
  <w:abstractNum w:abstractNumId="26">
    <w:nsid w:val="4516DDE9"/>
    <w:multiLevelType w:val="hybridMultilevel"/>
    <w:lvl w:ilvl="0">
      <w:lvlJc w:val="left"/>
      <w:lvlText w:val="%1"/>
      <w:numFmt w:val="upperLetter"/>
      <w:start w:val="1"/>
    </w:lvl>
    <w:lvl w:ilvl="1">
      <w:lvlJc w:val="left"/>
      <w:lvlText w:val="%2."/>
      <w:numFmt w:val="upperLetter"/>
      <w:start w:val="7"/>
    </w:lvl>
  </w:abstractNum>
  <w:abstractNum w:abstractNumId="27">
    <w:nsid w:val="3006C83E"/>
    <w:multiLevelType w:val="hybridMultilevel"/>
    <w:lvl w:ilvl="0">
      <w:lvlJc w:val="left"/>
      <w:lvlText w:val="%1."/>
      <w:numFmt w:val="upperLetter"/>
      <w:start w:val="22"/>
    </w:lvl>
    <w:lvl w:ilvl="1">
      <w:lvlJc w:val="left"/>
      <w:lvlText w:val="%2."/>
      <w:numFmt w:val="upperLetter"/>
      <w:start w:val="1"/>
    </w:lvl>
  </w:abstractNum>
  <w:abstractNum w:abstractNumId="28">
    <w:nsid w:val="614FD4A1"/>
    <w:multiLevelType w:val="hybridMultilevel"/>
    <w:lvl w:ilvl="0">
      <w:lvlJc w:val="left"/>
      <w:lvlText w:val="%1."/>
      <w:numFmt w:val="upperLetter"/>
      <w:start w:val="3"/>
    </w:lvl>
    <w:lvl w:ilvl="1">
      <w:lvlJc w:val="left"/>
      <w:lvlText w:val="%2."/>
      <w:numFmt w:val="lowerRoman"/>
      <w:start w:val="3"/>
    </w:lvl>
    <w:lvl w:ilvl="2">
      <w:lvlJc w:val="left"/>
      <w:lvlText w:val="%3."/>
      <w:numFmt w:val="lowerRoman"/>
      <w:start w:val="1"/>
    </w:lvl>
  </w:abstractNum>
  <w:abstractNum w:abstractNumId="29">
    <w:nsid w:val="419AC241"/>
    <w:multiLevelType w:val="hybridMultilevel"/>
    <w:lvl w:ilvl="0">
      <w:lvlJc w:val="left"/>
      <w:lvlText w:val="%1"/>
      <w:numFmt w:val="upperLetter"/>
      <w:start w:val="1"/>
    </w:lvl>
    <w:lvl w:ilvl="1">
      <w:lvlJc w:val="left"/>
      <w:lvlText w:val="%2."/>
      <w:numFmt w:val="lowerRoman"/>
      <w:start w:val="6"/>
    </w:lvl>
  </w:abstractNum>
  <w:abstractNum w:abstractNumId="30">
    <w:nsid w:val="5577F8E1"/>
    <w:multiLevelType w:val="hybridMultilevel"/>
    <w:lvl w:ilvl="0">
      <w:lvlJc w:val="left"/>
      <w:lvlText w:val="%1."/>
      <w:numFmt w:val="upperLetter"/>
      <w:start w:val="5"/>
    </w:lvl>
    <w:lvl w:ilvl="1">
      <w:lvlJc w:val="left"/>
      <w:lvlText w:val="%2"/>
      <w:numFmt w:val="lowerRoman"/>
      <w:start w:val="1"/>
    </w:lvl>
  </w:abstractNum>
  <w:abstractNum w:abstractNumId="31">
    <w:nsid w:val="440BADFC"/>
    <w:multiLevelType w:val="hybridMultilevel"/>
    <w:lvl w:ilvl="0">
      <w:lvlJc w:val="left"/>
      <w:lvlText w:val="%1."/>
      <w:numFmt w:val="upperLetter"/>
      <w:start w:val="24"/>
    </w:lvl>
  </w:abstractNum>
  <w:abstractNum w:abstractNumId="32">
    <w:nsid w:val="5072367"/>
    <w:multiLevelType w:val="hybridMultilevel"/>
    <w:lvl w:ilvl="0">
      <w:lvlJc w:val="left"/>
      <w:lvlText w:val="%1."/>
      <w:numFmt w:val="upperLetter"/>
      <w:start w:val="2"/>
    </w:lvl>
  </w:abstractNum>
  <w:abstractNum w:abstractNumId="33">
    <w:nsid w:val="3804823E"/>
    <w:multiLevelType w:val="hybridMultilevel"/>
    <w:lvl w:ilvl="0">
      <w:lvlJc w:val="left"/>
      <w:lvlText w:val="%1."/>
      <w:numFmt w:val="upperLetter"/>
      <w:start w:val="4"/>
    </w:lvl>
  </w:abstractNum>
  <w:abstractNum w:abstractNumId="34">
    <w:nsid w:val="77465F01"/>
    <w:multiLevelType w:val="hybridMultilevel"/>
    <w:lvl w:ilvl="0">
      <w:lvlJc w:val="left"/>
      <w:lvlText w:val="%1."/>
      <w:numFmt w:val="upperLetter"/>
      <w:start w:val="50"/>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2022-07-28T05:50:04Z</dcterms:created>
  <dcterms:modified xsi:type="dcterms:W3CDTF">2022-07-28T05:50:04Z</dcterms:modified>
</cp:coreProperties>
</file>