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80010</wp:posOffset>
            </wp:positionV>
            <wp:extent cx="2314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19685</wp:posOffset>
            </wp:positionV>
            <wp:extent cx="2314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87" w:lineRule="exact"/>
        <w:rPr>
          <w:sz w:val="24"/>
          <w:szCs w:val="24"/>
          <w:color w:val="auto"/>
        </w:rPr>
      </w:pPr>
    </w:p>
    <w:p>
      <w:pPr>
        <w:ind w:left="2260" w:hanging="781"/>
        <w:spacing w:after="0"/>
        <w:tabs>
          <w:tab w:leader="none" w:pos="22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For the fiscal year ended December 31, 2024</w:t>
      </w: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42" w:lineRule="exact"/>
        <w:rPr>
          <w:sz w:val="24"/>
          <w:szCs w:val="24"/>
          <w:color w:val="auto"/>
        </w:rPr>
      </w:pPr>
    </w:p>
    <w:p>
      <w:pPr>
        <w:ind w:left="2260" w:hanging="781"/>
        <w:spacing w:after="0"/>
        <w:tabs>
          <w:tab w:leader="none" w:pos="2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90"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For the transition period from _____ to _____</w:t>
      </w:r>
    </w:p>
    <w:p>
      <w:pPr>
        <w:jc w:val="center"/>
        <w:ind w:right="-59"/>
        <w:spacing w:after="0"/>
        <w:rPr>
          <w:sz w:val="20"/>
          <w:szCs w:val="20"/>
          <w:color w:val="auto"/>
        </w:rPr>
      </w:pPr>
      <w:r>
        <w:rPr>
          <w:rFonts w:ascii="Times New Roman" w:cs="Times New Roman" w:eastAsia="Times New Roman" w:hAnsi="Times New Roman"/>
          <w:sz w:val="16"/>
          <w:szCs w:val="16"/>
          <w:color w:val="auto"/>
        </w:rPr>
        <w:t>Commission file number 1-16411</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NORTHROP GRUMMAN CORPORATION</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00" w:type="dxa"/>
            <w:vAlign w:val="bottom"/>
          </w:tcPr>
          <w:p>
            <w:pPr>
              <w:jc w:val="right"/>
              <w:ind w:right="2059"/>
              <w:spacing w:after="0"/>
              <w:rPr>
                <w:sz w:val="20"/>
                <w:szCs w:val="20"/>
                <w:color w:val="auto"/>
              </w:rPr>
            </w:pPr>
            <w:r>
              <w:rPr>
                <w:rFonts w:ascii="Times New Roman" w:cs="Times New Roman" w:eastAsia="Times New Roman" w:hAnsi="Times New Roman"/>
                <w:sz w:val="16"/>
                <w:szCs w:val="16"/>
                <w:b w:val="1"/>
                <w:bCs w:val="1"/>
                <w:color w:val="auto"/>
              </w:rPr>
              <w:t>80-0640649</w:t>
            </w:r>
          </w:p>
        </w:tc>
      </w:tr>
      <w:tr>
        <w:trPr>
          <w:trHeight w:val="168"/>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360" w:type="dxa"/>
            <w:vAlign w:val="bottom"/>
            <w:gridSpan w:val="2"/>
          </w:tcPr>
          <w:p>
            <w:pPr>
              <w:jc w:val="center"/>
              <w:ind w:right="271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800" w:type="dxa"/>
            <w:vAlign w:val="bottom"/>
          </w:tcPr>
          <w:p>
            <w:pPr>
              <w:jc w:val="center"/>
              <w:ind w:right="123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800" w:type="dxa"/>
            <w:vAlign w:val="bottom"/>
          </w:tcPr>
          <w:p>
            <w:pPr>
              <w:jc w:val="center"/>
              <w:ind w:right="1179"/>
              <w:spacing w:after="0"/>
              <w:rPr>
                <w:sz w:val="20"/>
                <w:szCs w:val="20"/>
                <w:color w:val="auto"/>
              </w:rPr>
            </w:pPr>
            <w:r>
              <w:rPr>
                <w:rFonts w:ascii="Times New Roman" w:cs="Times New Roman" w:eastAsia="Times New Roman" w:hAnsi="Times New Roman"/>
                <w:sz w:val="16"/>
                <w:szCs w:val="16"/>
                <w:color w:val="auto"/>
              </w:rPr>
              <w:t>Identification Number)</w:t>
            </w:r>
          </w:p>
        </w:tc>
      </w:tr>
      <w:tr>
        <w:trPr>
          <w:trHeight w:val="270"/>
        </w:trPr>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360" w:type="dxa"/>
            <w:vAlign w:val="bottom"/>
            <w:gridSpan w:val="2"/>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2980 Fairview Park Drive</w:t>
            </w:r>
          </w:p>
        </w:tc>
        <w:tc>
          <w:tcPr>
            <w:tcW w:w="3800" w:type="dxa"/>
            <w:vAlign w:val="bottom"/>
          </w:tcPr>
          <w:p>
            <w:pPr>
              <w:spacing w:after="0"/>
              <w:rPr>
                <w:sz w:val="23"/>
                <w:szCs w:val="23"/>
                <w:color w:val="auto"/>
              </w:rPr>
            </w:pP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79"/>
              <w:spacing w:after="0"/>
              <w:rPr>
                <w:sz w:val="20"/>
                <w:szCs w:val="20"/>
                <w:color w:val="auto"/>
              </w:rPr>
            </w:pPr>
            <w:r>
              <w:rPr>
                <w:rFonts w:ascii="Times New Roman" w:cs="Times New Roman" w:eastAsia="Times New Roman" w:hAnsi="Times New Roman"/>
                <w:sz w:val="16"/>
                <w:szCs w:val="16"/>
                <w:b w:val="1"/>
                <w:bCs w:val="1"/>
                <w:color w:val="auto"/>
              </w:rPr>
              <w:t>Falls Church, Virginia</w:t>
            </w:r>
          </w:p>
        </w:tc>
        <w:tc>
          <w:tcPr>
            <w:tcW w:w="3800" w:type="dxa"/>
            <w:vAlign w:val="bottom"/>
          </w:tcPr>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22042</w:t>
            </w: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80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(Zip code)</w:t>
            </w:r>
          </w:p>
        </w:tc>
      </w:tr>
      <w:tr>
        <w:trPr>
          <w:trHeight w:val="222"/>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36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(703) 280-2900</w:t>
            </w:r>
          </w:p>
        </w:tc>
        <w:tc>
          <w:tcPr>
            <w:tcW w:w="3800" w:type="dxa"/>
            <w:vAlign w:val="bottom"/>
          </w:tcPr>
          <w:p>
            <w:pPr>
              <w:spacing w:after="0"/>
              <w:rPr>
                <w:sz w:val="19"/>
                <w:szCs w:val="19"/>
                <w:color w:val="auto"/>
              </w:rPr>
            </w:pPr>
          </w:p>
        </w:tc>
      </w:tr>
      <w:tr>
        <w:trPr>
          <w:trHeight w:val="139"/>
        </w:trPr>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160" w:type="dxa"/>
            <w:vAlign w:val="bottom"/>
            <w:gridSpan w:val="3"/>
          </w:tcPr>
          <w:p>
            <w:pPr>
              <w:jc w:val="center"/>
              <w:ind w:right="1159"/>
              <w:spacing w:after="0" w:line="139" w:lineRule="exact"/>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188"/>
        </w:trPr>
        <w:tc>
          <w:tcPr>
            <w:tcW w:w="7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00" w:type="dxa"/>
            <w:vAlign w:val="bottom"/>
          </w:tcPr>
          <w:p>
            <w:pPr>
              <w:spacing w:after="0"/>
              <w:rPr>
                <w:sz w:val="16"/>
                <w:szCs w:val="16"/>
                <w:color w:val="auto"/>
              </w:rPr>
            </w:pPr>
          </w:p>
        </w:tc>
      </w:tr>
      <w:tr>
        <w:trPr>
          <w:trHeight w:val="104"/>
        </w:trPr>
        <w:tc>
          <w:tcPr>
            <w:tcW w:w="46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r>
      <w:tr>
        <w:trPr>
          <w:trHeight w:val="207"/>
        </w:trPr>
        <w:tc>
          <w:tcPr>
            <w:tcW w:w="46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0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Trading Symbol(s)</w:t>
            </w:r>
          </w:p>
        </w:tc>
        <w:tc>
          <w:tcPr>
            <w:tcW w:w="3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460" w:type="dxa"/>
            <w:vAlign w:val="bottom"/>
            <w:tcBorders>
              <w:right w:val="single" w:sz="8" w:color="auto"/>
            </w:tcBorders>
          </w:tcPr>
          <w:p>
            <w:pPr>
              <w:spacing w:after="0"/>
              <w:rPr>
                <w:sz w:val="18"/>
                <w:szCs w:val="18"/>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60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NOC</w:t>
            </w:r>
          </w:p>
        </w:tc>
        <w:tc>
          <w:tcPr>
            <w:tcW w:w="3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u w:val="single" w:color="auto"/>
          <w:color w:val="auto"/>
        </w:rPr>
        <w:t>None</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7"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r>
    </w:p>
    <w:p>
      <w:pPr>
        <w:spacing w:after="0" w:line="43"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highlight w:val="black"/>
        </w:rPr>
        <w:t>☒</w:t>
      </w:r>
    </w:p>
    <w:p>
      <w:pPr>
        <w:spacing w:after="0" w:line="81" w:lineRule="exact"/>
        <w:rPr>
          <w:sz w:val="24"/>
          <w:szCs w:val="24"/>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9" w:lineRule="exact"/>
        <w:rPr>
          <w:sz w:val="24"/>
          <w:szCs w:val="24"/>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9" w:lineRule="exact"/>
        <w:rPr>
          <w:sz w:val="24"/>
          <w:szCs w:val="24"/>
          <w:color w:val="auto"/>
        </w:rPr>
      </w:pPr>
    </w:p>
    <w:p>
      <w:pPr>
        <w:ind w:right="40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968" w:right="399" w:bottom="1440" w:gutter="0" w:footer="0" w:header="0"/>
        </w:sectPr>
      </w:pPr>
    </w:p>
    <w:p>
      <w:pPr>
        <w:spacing w:after="0" w:line="1"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tabs>
          <w:tab w:leader="none" w:pos="1280" w:val="left"/>
        </w:tabs>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Smaller Reporting Company </w:t>
      </w:r>
      <w:r>
        <w:rPr>
          <w:rFonts w:ascii="MS PGothic" w:cs="MS PGothic" w:eastAsia="MS PGothic" w:hAnsi="MS PGothic"/>
          <w:sz w:val="14"/>
          <w:szCs w:val="14"/>
          <w:color w:val="auto"/>
        </w:rPr>
        <w:t>☐</w:t>
      </w:r>
    </w:p>
    <w:p>
      <w:pPr>
        <w:spacing w:after="0" w:line="4"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2">
            <w:col w:w="1540" w:space="140"/>
            <w:col w:w="9500"/>
          </w:cols>
          <w:pgMar w:left="320" w:top="968" w:right="399" w:bottom="1440" w:gutter="0" w:footer="0" w:header="0"/>
          <w:type w:val="continuous"/>
        </w:sectPr>
      </w:pPr>
    </w:p>
    <w:p>
      <w:pPr>
        <w:ind w:right="50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highlight w:val="black"/>
        </w:rPr>
        <w:t>☒</w:t>
      </w:r>
    </w:p>
    <w:p>
      <w:pPr>
        <w:spacing w:after="0" w:line="33" w:lineRule="exact"/>
        <w:rPr>
          <w:sz w:val="24"/>
          <w:szCs w:val="24"/>
          <w:color w:val="auto"/>
        </w:rPr>
      </w:pPr>
    </w:p>
    <w:p>
      <w:pPr>
        <w:ind w:right="60"/>
        <w:spacing w:after="0" w:line="17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ind w:right="22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pacing w:after="0" w:line="29"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highlight w:val="black"/>
        </w:rPr>
        <w:t>☒</w:t>
      </w:r>
    </w:p>
    <w:p>
      <w:pPr>
        <w:spacing w:after="0" w:line="81" w:lineRule="exact"/>
        <w:rPr>
          <w:sz w:val="24"/>
          <w:szCs w:val="24"/>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As of June 30, 2024, the aggregate market value of the common stock (based upon the closing price of the stock on the New York Stock Exchange) of the registrant held by non-affiliates was approximately $63.7 billion.</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January 27, 2025, 144,755,659 shares of common stock were outstanding.</w:t>
      </w:r>
    </w:p>
    <w:p>
      <w:pPr>
        <w:spacing w:after="0" w:line="1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4" w:lineRule="exact"/>
        <w:rPr>
          <w:sz w:val="24"/>
          <w:szCs w:val="24"/>
          <w:color w:val="auto"/>
        </w:rPr>
      </w:pPr>
    </w:p>
    <w:p>
      <w:pPr>
        <w:ind w:right="700"/>
        <w:spacing w:after="0" w:line="278" w:lineRule="auto"/>
        <w:rPr>
          <w:sz w:val="20"/>
          <w:szCs w:val="20"/>
          <w:color w:val="auto"/>
        </w:rPr>
      </w:pPr>
      <w:r>
        <w:rPr>
          <w:rFonts w:ascii="Times New Roman" w:cs="Times New Roman" w:eastAsia="Times New Roman" w:hAnsi="Times New Roman"/>
          <w:sz w:val="14"/>
          <w:szCs w:val="14"/>
          <w:color w:val="auto"/>
        </w:rPr>
        <w:t>Portions of Northrop Grumman Corporation’s Proxy Statement to be filed with the Securities and Exchange Commission pursuant to Regulation 14A for the 2025 Annual Meeting of Shareholders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8"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500" w:type="dxa"/>
            <w:vAlign w:val="bottom"/>
            <w:gridSpan w:val="18"/>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NORTHROP GRUMMAN CORPORATION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11"/>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4"/>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59"/>
        </w:trPr>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7"/>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3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880" w:type="dxa"/>
            <w:vAlign w:val="bottom"/>
            <w:gridSpan w:val="2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8860" w:type="dxa"/>
            <w:vAlign w:val="bottom"/>
            <w:gridSpan w:val="2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9200" w:type="dxa"/>
            <w:vAlign w:val="bottom"/>
            <w:gridSpan w:val="3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00" w:type="dxa"/>
            <w:vAlign w:val="bottom"/>
            <w:gridSpan w:val="2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461"/>
        </w:trPr>
        <w:tc>
          <w:tcPr>
            <w:tcW w:w="9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7"/>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38"/>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26</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9140" w:type="dxa"/>
            <w:vAlign w:val="bottom"/>
            <w:gridSpan w:val="3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10"/>
        </w:trPr>
        <w:tc>
          <w:tcPr>
            <w:tcW w:w="96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Overview</w:t>
            </w:r>
          </w:p>
        </w:tc>
        <w:tc>
          <w:tcPr>
            <w:tcW w:w="5620" w:type="dxa"/>
            <w:vAlign w:val="bottom"/>
            <w:tcBorders>
              <w:top w:val="single" w:sz="8" w:color="0000FF"/>
            </w:tcBorders>
            <w:gridSpan w:val="29"/>
          </w:tcPr>
          <w:p>
            <w:pPr>
              <w:spacing w:after="0"/>
              <w:rPr>
                <w:sz w:val="18"/>
                <w:szCs w:val="18"/>
                <w:color w:val="auto"/>
              </w:rPr>
            </w:pPr>
          </w:p>
        </w:tc>
        <w:tc>
          <w:tcPr>
            <w:tcW w:w="34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Consolidated Operating Results</w:t>
            </w:r>
          </w:p>
        </w:tc>
        <w:tc>
          <w:tcPr>
            <w:tcW w:w="7500" w:type="dxa"/>
            <w:vAlign w:val="bottom"/>
            <w:gridSpan w:val="1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Segment Operating Results</w:t>
            </w:r>
          </w:p>
        </w:tc>
        <w:tc>
          <w:tcPr>
            <w:tcW w:w="784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Backlog</w:t>
            </w:r>
          </w:p>
        </w:tc>
        <w:tc>
          <w:tcPr>
            <w:tcW w:w="770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Critical Accounting Policies and Estimates</w:t>
            </w:r>
          </w:p>
        </w:tc>
        <w:tc>
          <w:tcPr>
            <w:tcW w:w="672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5"/>
          </w:tcPr>
          <w:p>
            <w:pPr>
              <w:spacing w:after="0"/>
              <w:rPr>
                <w:sz w:val="18"/>
                <w:szCs w:val="18"/>
                <w:color w:val="auto"/>
              </w:rPr>
            </w:pPr>
          </w:p>
        </w:tc>
        <w:tc>
          <w:tcPr>
            <w:tcW w:w="558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Consolidated Statements of Earnings and Comprehensive Income</w:t>
            </w:r>
          </w:p>
        </w:tc>
        <w:tc>
          <w:tcPr>
            <w:tcW w:w="508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Consolidated Statements of Financial Position</w:t>
            </w:r>
          </w:p>
        </w:tc>
        <w:tc>
          <w:tcPr>
            <w:tcW w:w="648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94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240" w:type="dxa"/>
            <w:vAlign w:val="bottom"/>
            <w:tcBorders>
              <w:top w:val="single" w:sz="8" w:color="0000FF"/>
            </w:tcBorders>
            <w:gridSpan w:val="7"/>
          </w:tcPr>
          <w:p>
            <w:pPr>
              <w:spacing w:after="0"/>
              <w:rPr>
                <w:sz w:val="18"/>
                <w:szCs w:val="18"/>
                <w:color w:val="auto"/>
              </w:rPr>
            </w:pPr>
          </w:p>
        </w:tc>
        <w:tc>
          <w:tcPr>
            <w:tcW w:w="542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10"/>
        </w:trPr>
        <w:tc>
          <w:tcPr>
            <w:tcW w:w="9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w:t>
            </w:r>
          </w:p>
        </w:tc>
        <w:tc>
          <w:tcPr>
            <w:tcW w:w="3260" w:type="dxa"/>
            <w:vAlign w:val="bottom"/>
            <w:tcBorders>
              <w:bottom w:val="single" w:sz="8" w:color="0000FF"/>
            </w:tcBorders>
            <w:gridSpan w:val="26"/>
          </w:tcPr>
          <w:p>
            <w:pPr>
              <w:ind w:left="20"/>
              <w:spacing w:after="0"/>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620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10"/>
        </w:trPr>
        <w:tc>
          <w:tcPr>
            <w:tcW w:w="9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946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rPr>
              <w:t>Earnings Per Share, Share Repurchases and Dividends on Common Stock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r>
      <w:tr>
        <w:trPr>
          <w:trHeight w:val="209"/>
        </w:trPr>
        <w:tc>
          <w:tcPr>
            <w:tcW w:w="9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3.</w:t>
            </w:r>
          </w:p>
        </w:tc>
        <w:tc>
          <w:tcPr>
            <w:tcW w:w="5340" w:type="dxa"/>
            <w:vAlign w:val="bottom"/>
            <w:tcBorders>
              <w:top w:val="single" w:sz="8" w:color="0000FF"/>
            </w:tcBorders>
            <w:gridSpan w:val="33"/>
          </w:tcPr>
          <w:p>
            <w:pPr>
              <w:ind w:left="20"/>
              <w:spacing w:after="0"/>
              <w:rPr>
                <w:sz w:val="20"/>
                <w:szCs w:val="20"/>
                <w:color w:val="auto"/>
              </w:rPr>
            </w:pPr>
            <w:r>
              <w:rPr>
                <w:rFonts w:ascii="Times New Roman" w:cs="Times New Roman" w:eastAsia="Times New Roman" w:hAnsi="Times New Roman"/>
                <w:sz w:val="18"/>
                <w:szCs w:val="18"/>
                <w:color w:val="0000FF"/>
              </w:rPr>
              <w:t>Accounts Receivable, Net</w:t>
            </w:r>
          </w:p>
        </w:tc>
        <w:tc>
          <w:tcPr>
            <w:tcW w:w="41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946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rPr>
              <w:t>Unbilled Receivables, Net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r>
      <w:tr>
        <w:trPr>
          <w:trHeight w:val="210"/>
        </w:trPr>
        <w:tc>
          <w:tcPr>
            <w:tcW w:w="9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5.</w:t>
            </w:r>
          </w:p>
        </w:tc>
        <w:tc>
          <w:tcPr>
            <w:tcW w:w="1660" w:type="dxa"/>
            <w:vAlign w:val="bottom"/>
            <w:tcBorders>
              <w:top w:val="single" w:sz="8" w:color="0000FF"/>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Inventoried Costs, Net</w:t>
            </w:r>
          </w:p>
        </w:tc>
        <w:tc>
          <w:tcPr>
            <w:tcW w:w="260" w:type="dxa"/>
            <w:vAlign w:val="bottom"/>
            <w:tcBorders>
              <w:top w:val="single" w:sz="8" w:color="0000FF"/>
            </w:tcBorders>
            <w:gridSpan w:val="3"/>
          </w:tcPr>
          <w:p>
            <w:pPr>
              <w:spacing w:after="0"/>
              <w:rPr>
                <w:sz w:val="18"/>
                <w:szCs w:val="18"/>
                <w:color w:val="auto"/>
              </w:rPr>
            </w:pPr>
          </w:p>
        </w:tc>
        <w:tc>
          <w:tcPr>
            <w:tcW w:w="7540" w:type="dxa"/>
            <w:vAlign w:val="bottom"/>
            <w:gridSpan w:val="1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r>
      <w:tr>
        <w:trPr>
          <w:trHeight w:val="210"/>
        </w:trPr>
        <w:tc>
          <w:tcPr>
            <w:tcW w:w="9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946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r>
      <w:tr>
        <w:trPr>
          <w:trHeight w:val="20"/>
        </w:trPr>
        <w:tc>
          <w:tcPr>
            <w:tcW w:w="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7.</w:t>
            </w:r>
          </w:p>
        </w:tc>
        <w:tc>
          <w:tcPr>
            <w:tcW w:w="946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rPr>
              <w:t>Goodwill and Other Purchased Intangible Assets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67</w:t>
            </w:r>
          </w:p>
        </w:tc>
      </w:tr>
      <w:tr>
        <w:trPr>
          <w:trHeight w:val="210"/>
        </w:trPr>
        <w:tc>
          <w:tcPr>
            <w:tcW w:w="9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8.</w:t>
            </w:r>
          </w:p>
        </w:tc>
        <w:tc>
          <w:tcPr>
            <w:tcW w:w="2580" w:type="dxa"/>
            <w:vAlign w:val="bottom"/>
            <w:tcBorders>
              <w:top w:val="single" w:sz="8" w:color="0000FF"/>
              <w:bottom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0000FF"/>
                <w:w w:val="98"/>
              </w:rPr>
              <w:t>Fair Value of Financial Instruments</w:t>
            </w:r>
          </w:p>
        </w:tc>
        <w:tc>
          <w:tcPr>
            <w:tcW w:w="960" w:type="dxa"/>
            <w:vAlign w:val="bottom"/>
            <w:tcBorders>
              <w:top w:val="single" w:sz="8" w:color="0000FF"/>
            </w:tcBorders>
            <w:gridSpan w:val="7"/>
          </w:tcPr>
          <w:p>
            <w:pPr>
              <w:spacing w:after="0"/>
              <w:rPr>
                <w:sz w:val="18"/>
                <w:szCs w:val="18"/>
                <w:color w:val="auto"/>
              </w:rPr>
            </w:pPr>
          </w:p>
        </w:tc>
        <w:tc>
          <w:tcPr>
            <w:tcW w:w="592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r>
      <w:tr>
        <w:trPr>
          <w:trHeight w:val="210"/>
        </w:trPr>
        <w:tc>
          <w:tcPr>
            <w:tcW w:w="9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9.</w:t>
            </w:r>
          </w:p>
        </w:tc>
        <w:tc>
          <w:tcPr>
            <w:tcW w:w="4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Debt</w:t>
            </w:r>
          </w:p>
        </w:tc>
        <w:tc>
          <w:tcPr>
            <w:tcW w:w="9040" w:type="dxa"/>
            <w:vAlign w:val="bottom"/>
            <w:gridSpan w:val="3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10. 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11. Commitments and Contingencies</w:t>
            </w:r>
          </w:p>
        </w:tc>
        <w:tc>
          <w:tcPr>
            <w:tcW w:w="260" w:type="dxa"/>
            <w:vAlign w:val="bottom"/>
            <w:tcBorders>
              <w:top w:val="single" w:sz="8" w:color="0000FF"/>
            </w:tcBorders>
            <w:gridSpan w:val="3"/>
          </w:tcPr>
          <w:p>
            <w:pPr>
              <w:spacing w:after="0"/>
              <w:rPr>
                <w:sz w:val="18"/>
                <w:szCs w:val="18"/>
                <w:color w:val="auto"/>
              </w:rPr>
            </w:pPr>
          </w:p>
        </w:tc>
        <w:tc>
          <w:tcPr>
            <w:tcW w:w="668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12. 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72</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right w:val="single" w:sz="8" w:color="0000FF"/>
            </w:tcBorders>
            <w:gridSpan w:val="8"/>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400" w:type="dxa"/>
            <w:vAlign w:val="bottom"/>
            <w:gridSpan w:val="21"/>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13. Stock Compensation Plans and Other Compensation Arrangements</w:t>
            </w:r>
          </w:p>
        </w:tc>
        <w:tc>
          <w:tcPr>
            <w:tcW w:w="450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14. Leases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79</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15. Segment Information</w:t>
            </w:r>
          </w:p>
        </w:tc>
        <w:tc>
          <w:tcPr>
            <w:tcW w:w="7780" w:type="dxa"/>
            <w:vAlign w:val="bottom"/>
            <w:gridSpan w:val="9"/>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16. Subsequent Event</w:t>
            </w:r>
          </w:p>
        </w:tc>
        <w:tc>
          <w:tcPr>
            <w:tcW w:w="8040" w:type="dxa"/>
            <w:vAlign w:val="bottom"/>
            <w:gridSpan w:val="10"/>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87</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88</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8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80" w:type="dxa"/>
            <w:vAlign w:val="bottom"/>
            <w:tcBorders>
              <w:top w:val="single" w:sz="8" w:color="0000FF"/>
            </w:tcBorders>
            <w:gridSpan w:val="8"/>
          </w:tcPr>
          <w:p>
            <w:pPr>
              <w:spacing w:after="0"/>
              <w:rPr>
                <w:sz w:val="18"/>
                <w:szCs w:val="18"/>
                <w:color w:val="auto"/>
              </w:rPr>
            </w:pPr>
          </w:p>
        </w:tc>
        <w:tc>
          <w:tcPr>
            <w:tcW w:w="3460" w:type="dxa"/>
            <w:vAlign w:val="bottom"/>
            <w:gridSpan w:val="3"/>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620" w:type="dxa"/>
            <w:vAlign w:val="bottom"/>
            <w:gridSpan w:val="13"/>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88</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Internal Control over Financial Reporting</w:t>
            </w:r>
          </w:p>
        </w:tc>
        <w:tc>
          <w:tcPr>
            <w:tcW w:w="23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Certain Trading Agreements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461"/>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840" w:type="dxa"/>
            <w:vAlign w:val="bottom"/>
            <w:gridSpan w:val="7"/>
          </w:tcPr>
          <w:p>
            <w:pPr>
              <w:spacing w:after="0"/>
              <w:rPr>
                <w:sz w:val="16"/>
                <w:szCs w:val="16"/>
                <w:color w:val="auto"/>
              </w:rPr>
            </w:pPr>
          </w:p>
        </w:tc>
        <w:tc>
          <w:tcPr>
            <w:tcW w:w="120" w:type="dxa"/>
            <w:vAlign w:val="bottom"/>
            <w:gridSpan w:val="2"/>
          </w:tcPr>
          <w:p>
            <w:pPr>
              <w:spacing w:after="0"/>
              <w:rPr>
                <w:sz w:val="16"/>
                <w:szCs w:val="16"/>
                <w:color w:val="auto"/>
              </w:rPr>
            </w:pP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91</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92</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64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480" w:type="dxa"/>
            <w:vAlign w:val="bottom"/>
            <w:gridSpan w:val="4"/>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92</w:t>
            </w:r>
          </w:p>
        </w:tc>
      </w:tr>
      <w:tr>
        <w:trPr>
          <w:trHeight w:val="461"/>
        </w:trPr>
        <w:tc>
          <w:tcPr>
            <w:tcW w:w="9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9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3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93</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gridSpan w:val="4"/>
          </w:tcPr>
          <w:p>
            <w:pPr>
              <w:spacing w:after="0"/>
              <w:rPr>
                <w:sz w:val="18"/>
                <w:szCs w:val="18"/>
                <w:color w:val="auto"/>
              </w:rPr>
            </w:pPr>
          </w:p>
        </w:tc>
        <w:tc>
          <w:tcPr>
            <w:tcW w:w="7040" w:type="dxa"/>
            <w:vAlign w:val="bottom"/>
            <w:gridSpan w:val="8"/>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100</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380" w:type="dxa"/>
            <w:vAlign w:val="bottom"/>
            <w:gridSpan w:val="1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101</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ORGANIZATION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technology company. We deliver a broad range of products, services and solutions to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 For a discussion of risks associated with our operations, see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The company originally was formed in 1939 in Hawthorne, California as Northrop Aircraft Incorporated and was reincorporated in Delaware in 1985, as Northrop Corporation. Northrop Corporation was a principal developer of flying wing technology, including the B-2 Spirit stealth aircraft. We developed into one of the largest defense technology companies in the world through a series of acquisitions, as well as organic growth, including the following:</w:t>
      </w:r>
    </w:p>
    <w:p>
      <w:pPr>
        <w:spacing w:after="0" w:line="36" w:lineRule="exact"/>
        <w:rPr>
          <w:sz w:val="20"/>
          <w:szCs w:val="20"/>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1994 - Acquired Grumman Corporation, a premier military aircraft systems integrator. The combined company was renamed Northrop Grumman Corporation;</w:t>
      </w:r>
    </w:p>
    <w:p>
      <w:pPr>
        <w:spacing w:after="0" w:line="26"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1996 - Acquired the defense and electronics businesses of Westinghouse Electric Corporation, developer of sophisticated radar and other electronics systems;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2001 - Acquired Litton Industries, Inc., a global electronics and information technology company and full service shipbuilder;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2001 - Acquired Newport News Shipbuilding Inc., designer and builder of nuclear-powered aircraft carriers and submarines;</w:t>
      </w:r>
    </w:p>
    <w:p>
      <w:pPr>
        <w:spacing w:after="0" w:line="9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2002 - Acquired TRW Inc., developer of military and civil space systems and payloads, and integrator of complex, mission-enabling systems and services;</w:t>
      </w:r>
    </w:p>
    <w:p>
      <w:pPr>
        <w:spacing w:after="0" w:line="4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2011 - Completed the spin-off of Huntington Ingalls Industries, Inc., operator of our former shipbuilding business, comprised largely of a part of Litton Industries and Newport News Shipbuilding;</w:t>
      </w:r>
    </w:p>
    <w:p>
      <w:pPr>
        <w:spacing w:after="0" w:line="2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 Acquired Orbital ATK, Inc. (OATK), developer and producer of satellites and other space systems, launch vehicles and missile products;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 Completed the sale of our IT and mission support services business (the “IT services divestiture”) to Veritas Capital.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time to time, we acquire or dispose of businesses and realign contracts, programs or businesses among and within our operating segments. Internal realignments are typically designed to leverage existing capabilities more fully and to enhance efficient development and delivery of products and services. At December 31, 2024, the company was aligned in four operating sectors, which also comprise our reportable segments: Aeronautics Systems, Defense Systems, Mission Systems and Space Systems.</w:t>
      </w:r>
    </w:p>
    <w:p>
      <w:pPr>
        <w:spacing w:after="0" w:line="54"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Effective July 1, 2024, the company realigned the Strategic Deterrent Systems (SDS) division, which includes the Ground-Based Strategic Deterrent (“Sentinel”) program, from Space Systems to Defense Systems. This realignment is reflected in the financial information contained in this report.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Subsequent Realignment </w:t>
      </w:r>
      <w:r>
        <w:rPr>
          <w:rFonts w:ascii="Times New Roman" w:cs="Times New Roman" w:eastAsia="Times New Roman" w:hAnsi="Times New Roman"/>
          <w:sz w:val="18"/>
          <w:szCs w:val="18"/>
          <w:color w:val="auto"/>
        </w:rPr>
        <w:t>- Effective January 1, 2025, the company realigned the Strike and Surveillance Aircraft Solutions (SSAS) business unit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Defense Systems to Aeronautics Systems. This realignment is not reflected in the financial information contained in this report; it will be reflected in the company’s operating results beginning in the first quarter of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8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Aeronautics Systems is a leader in the design, development, production, integration, sustainment and modernization of military aircraft systems for the U.S. Air Force, the U.S. Navy, other U.S. government agencies, and international customers. Major products include strategic long-range strike aircraft; tactical fighter and air dominance aircraft; airborne battle management and command and control systems; and unmanned autonomous aircraft systems, including high-altitude long-endurance (HALE) strategic intelligence, surveillance and reconnaissance (ISR) systems. Approximately 45 percent of this business is performed through restricted programs. Key programs include:</w:t>
      </w:r>
    </w:p>
    <w:p>
      <w:pPr>
        <w:spacing w:after="0" w:line="7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production of the U.S. Air Force B-21 Raider long-range strike aircraft that defines sixth-generation technologies;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and sustainment services for the B-2 Spirit stealth aircraft;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Fuselage production for the F-35 Lighting II Joint Strike Fighter and F/A-18 Super Hornet for use by U.S. and international forces;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E-2D Advanced Hawkeye battle management aircraft production for the U.S. Navy, Japan, and France;</w:t>
      </w:r>
    </w:p>
    <w:p>
      <w:pPr>
        <w:spacing w:after="0" w:line="9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MQ-4C Triton, which provides wide area strategic ISR over vast ocean and coastal regions for maritime domain awareness to the U.S. Navy and Australia;</w:t>
      </w:r>
    </w:p>
    <w:p>
      <w:pPr>
        <w:spacing w:after="0" w:line="4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RQ-4 Global Hawk, which provides high resolution imagery of land masses for theater awareness and strategic ISR to the U.S. Air Force, Japan, and the Republic of Korea; and</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Atlantic Treaty Organization (NATO) Alliance Ground Surveillance (AGS), a Global Hawk variant, for strategic ISR missions conducted in multinational theater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SYSTEMS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Defense Systems is a leader in the design, engineering, development, integration and production of strategic deterrent systems, advanced tactical weapons, and missile defense solutions, and a provider of sustainment, modernization and training services for manned and unmanned aircraft and electronics systems for the U.S. military and a broad range of international customers. Major products and services include strategic missiles; integrated, all-domain command and control (C2) systems; precision strike weapons; advanced propulsion, including tactical solid rocket motors and high speed air-breathing and hypersonic systems; high-performance gun systems, ammunition, precision munitions and advanced fuzes; and aircraft and mission systems logistics support, sustainment, operations and modernization. Less than 5 percent of this business is performed through restricted programs. Key programs include:</w:t>
      </w:r>
    </w:p>
    <w:p>
      <w:pPr>
        <w:spacing w:after="0" w:line="52" w:lineRule="exact"/>
        <w:rPr>
          <w:sz w:val="20"/>
          <w:szCs w:val="20"/>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Sentinel Engineering &amp; Manufacturing Development (EMD) program, initial phase of the modernization of the intercontinental ballistic missile (ICBM) system that will serve as the ground-based strategic deterrent for the U.S. nuclear triad;</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Battle Command System (IBCS) for the U.S. Army and Poland, which is an open architecture system that seamlessly integrates sensors and effectors to deliver among the most advanced C2 systems for joint and coalition forces;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(30mm and 20mm) and Large (120mm) caliber tactical and training ammunition production;</w:t>
      </w:r>
    </w:p>
    <w:p>
      <w:pPr>
        <w:spacing w:after="0" w:line="9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Guided Multiple Launch Rocket System (GMLRS) propulsion and warhead subsystems for a surface-to-surface system used to defeat targets using indirect precision fires;</w:t>
      </w:r>
    </w:p>
    <w:p>
      <w:pPr>
        <w:spacing w:after="0" w:line="40"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Navy’s Advanced Anti-Radiation Guided Missile (AARGM), a medium-range, air-to-surface missile, and its extended range variant, AARGM-ER;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Air Force’s Stand-In Attack Weapon (SiAW), an advanced capability air-to-surface tactical missile for the F-35;</w:t>
      </w:r>
    </w:p>
    <w:p>
      <w:pPr>
        <w:spacing w:after="0" w:line="9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Hypersonic Attack Cruise Missile (HACM) air-breathing, scramjet propulsion subsystem for the hypersonic air-launched cruise missile to travel at speeds of Mach 5 or greater;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system sustainment and operations support for the F-35, B-2, P-3 Orion, E-6B Mercury, KC-30A multi-role tanker, C-27J transport, NATO AGS, Triton and restricted programs;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Guidance Kit (PGK), replaces conventional fuzes for artillery and mortar munitions and transforms them into Global Positioning System enabled precision guided weapons;</w:t>
      </w:r>
    </w:p>
    <w:p>
      <w:pPr>
        <w:spacing w:after="0" w:line="26"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Area Air Defense Command and Control (FAAD C2), the Army’s long-standing program of record for short range air defense and Counter Rocket, Artillery and Mortar (C-RAM), as well as the interim C2 for Counter Unmanned Aircraft Systems (C-UAS);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AAQ-24 sensor sustainment and repair for U.S. military customers;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Electronics Mission Aircraft (SEMA) ISR support.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9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Mission Systems is a leader in advanced mission solutions and multifunction systems, primarily for the U.S. defense and intelligence community, and international customers. Major products and services include command, control, communications and computers, intelligence, surveillance and reconnaissance (C4ISR) systems; radar, electro-optical/infrared (EO/IR) and acoustic sensors; electronic warfare systems; advanced communications and network systems; advanced microelectronics; navigation and positioning sensors; maritime power, propulsion and payload launch systems; full spectrum cyber solutions; and intelligence processing systems. Approximately 30 percent of this business is performed through restricted programs. Key unrestricted programs include:</w:t>
      </w:r>
    </w:p>
    <w:p>
      <w:pPr>
        <w:spacing w:after="0" w:line="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Agile Beam Radar (SABR), an active electronically scanned array fire control radar system for F-16 aircraft;</w:t>
      </w:r>
    </w:p>
    <w:p>
      <w:pPr>
        <w:spacing w:after="0" w:line="10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F-35 fire control radar and Distributed Aperture System (DAS), which provides 360 degree field of view tracking, identifying, missile warning and night vision capabilities;</w:t>
      </w:r>
    </w:p>
    <w:p>
      <w:pPr>
        <w:spacing w:after="0" w:line="26" w:lineRule="exact"/>
        <w:rPr>
          <w:rFonts w:ascii="Times New Roman" w:cs="Times New Roman" w:eastAsia="Times New Roman" w:hAnsi="Times New Roman"/>
          <w:sz w:val="18"/>
          <w:szCs w:val="18"/>
          <w:color w:val="auto"/>
        </w:rPr>
      </w:pPr>
    </w:p>
    <w:p>
      <w:pPr>
        <w:ind w:left="660" w:right="10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F-35 Communications, Navigation and Identification (CNI) integrated avionics system, which provides secure communications and interoperability capabilities;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Ground/Air Task Oriented Radar (G/ATOR), a mobile multi-mode active electronically scanned array;</w:t>
      </w:r>
    </w:p>
    <w:p>
      <w:pPr>
        <w:spacing w:after="0" w:line="103"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Surface Electronic Warfare Improvement Program (SEWIP) Block III, which protects surface ships from anti-ship missiles, provides early detection, signal analysis and threat warning;</w:t>
      </w:r>
    </w:p>
    <w:p>
      <w:pPr>
        <w:spacing w:after="0" w:line="2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Airborne Early Warning &amp; Control (AEW&amp;C). The centerpiece of the E-7 AEW&amp;C aircraft is the Multi-role Electronically Scanned Array (MESA) radar which enables 360 degree long range advanced air moving target indicator (AMTI) capabilities for Battle Management, Command and Control, and Maritime Surveillance;</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Aircraft and Common Infrared Countermeasures (LAIRCM, DoN LAIRCM, CIRCM) systems, which protect large aircraft as well as rotary wing and medium fixed wing aircraft from infrared missiles using advanced laser technology;</w:t>
      </w:r>
    </w:p>
    <w:p>
      <w:pPr>
        <w:spacing w:after="0" w:line="40"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Battlefield Airborne Communications Node (BACN), one of the first airborne gateway systems that allows platforms to communicate and securely share data;</w:t>
      </w:r>
    </w:p>
    <w:p>
      <w:pPr>
        <w:spacing w:after="0" w:line="26"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DDG Modernization, which is comprised of several subsystems to support modernization of Arleigh Burke-class guided missile destroyers including Integrated Bridge and Navigation Systems (IBNS) and ship control systems;</w:t>
      </w:r>
    </w:p>
    <w:p>
      <w:pPr>
        <w:spacing w:after="0" w:line="40"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LITENING Advanced Targeting Pod, an electro-optical infrared sensor system for targeting and surveillance that enables aircrews to detect, acquire, identify and track targets at long ranges;</w:t>
      </w:r>
    </w:p>
    <w:p>
      <w:pPr>
        <w:spacing w:after="0" w:line="40"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APR-39 DV(2) and EV(2) Radar Warning Receiver programs, which provide a digital radar warning receiver for the U.S. Army, Navy and Marines;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Exploitation and cyber programs, which provide cyber and intelligence domain support through unique intelligence and cyber capabilities;</w:t>
      </w:r>
    </w:p>
    <w:p>
      <w:pPr>
        <w:spacing w:after="0" w:line="10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AC/MC 130J Radio Frequency Countermeasures system, which provides superior situational awareness and better enables aircraft survivability in operationally relevant environments; and</w:t>
      </w:r>
    </w:p>
    <w:p>
      <w:pPr>
        <w:spacing w:after="0" w:line="4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Global Positioning System (GPS) / Inertial Navigation Systems-Modernization (EGI-M) program, which provides state-of-the-art airborne navigation capabilities with an open architecture that enables rapid responses to future threats.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Space Systems is a leader in delivering end-to-end mission solutions through the design, development, integration, production and operation of space, missile defense, and launch systems for national security, civil government, commercial and international customers. Major products include satellites and spacecraft systems, subsystems, sensors and payloads; ground systems; missile defense systems and interceptors; and launch vehicles and related propulsion systems. Approximately 40 percent of this business is performed through restricted programs. Key unrestricted programs include:</w:t>
      </w:r>
    </w:p>
    <w:p>
      <w:pPr>
        <w:spacing w:after="0" w:line="45" w:lineRule="exact"/>
        <w:rPr>
          <w:sz w:val="20"/>
          <w:szCs w:val="20"/>
          <w:color w:val="auto"/>
        </w:rPr>
      </w:pPr>
    </w:p>
    <w:p>
      <w:pPr>
        <w:ind w:left="660" w:right="5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Evolved Strategic SATCOM (ESS) satellites and payloads providing assured, no-fail, and survivable Nuclear Command and Control (NC3) communications capabilities;</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Next-Generation Overhead Persistent Infrared (Next-Gen OPIR) program satellites and payloads providing resilient and enhanced missile warning over the critical northern polar region;</w:t>
      </w:r>
    </w:p>
    <w:p>
      <w:pPr>
        <w:spacing w:after="0" w:line="40"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Development Agency Tracking and Transport layers providing missile warning/tracking and resilient, low-latency, high-volume data transport communication systems;</w:t>
      </w:r>
    </w:p>
    <w:p>
      <w:pPr>
        <w:spacing w:after="0" w:line="2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Missile defense systems, interceptors, targets, mission processing and boosters for the Missile Defense Agency's (MDA) Ground-based Midcourse Defense Weapon Systems (GWS);</w:t>
      </w:r>
    </w:p>
    <w:p>
      <w:pPr>
        <w:spacing w:after="0" w:line="40"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Cygnus spacecraft, used in the execution of our Commercial Resupply Services (CRS) contracts with NASA to resupply and re-boost the International Space Station;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production of solid rocket motors for NASA’s Space Launch System (SLS) heavy lift vehicle;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Habitation and Logistics Outpost (HALO) module in support of NASA’s Lunar Gateway;</w:t>
      </w:r>
    </w:p>
    <w:p>
      <w:pPr>
        <w:spacing w:after="0" w:line="10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63-inch diameter Graphite Epoxy Motor (GEM 63) and the extended length variation (GEM 63XL) solid rocket boosters used to provide lift capability for the ATLAS V and Vulcan launch vehicles;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Medium-class solid rocket motors for the U.S. Navy's Trident II Fleet Ballistic Missile program;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Glide Phase Interceptor (GPI) Cooperative Development producing interceptor capability to defeat hypersonic threats;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Protected Tactical SATCOM (PTS) satellites and payloads providing resilient, protected tactical communications to U.S. forces; and</w:t>
      </w:r>
    </w:p>
    <w:p>
      <w:pPr>
        <w:spacing w:after="0" w:line="10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Arctic Satellite Broadband Mission (ASBM) satellites and payloads expanding both commercial as well as military broadband communications for an international partner.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largest customer is the U.S. government. Sales to the U.S. government accounted for 87 percent, 86 percent and 86 percent of sales during the years ended December 31, 2024, 2023 and 2022, respectively. For further information on sales by customer type, contract type and geographic region, see Note 15 to the consolidated financial statements. See “Risk Factors” for further discussion regarding risks related to customer concentration.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compete with many companies in the defense, intelligence and federal civil markets. The Boeing Company, General Dynamics, L3Harris Technologies, Lockheed Martin, and RTX are some of our primary competitors. Key characteristics of our industry include long operating cycles and intense competition, which is evident through the number of competitors bidding on program opportunities and the number of competitor protests of U.S. government procurement awards.</w:t>
      </w:r>
    </w:p>
    <w:p>
      <w:pPr>
        <w:spacing w:after="0" w:line="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It is common in the defense industry for work on major programs to be shared among a number of companies. A company competing to be a prime contractor may, upon ultimate award of the contract to another competitor, serve as a subcontractor to the ultimate prime contracting company. It is not unusual to compete for a contract award with a peer company and, simultaneously, perform as a supplier to or a customer of that same competitor on other contracts, or vice versa.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portion of our business is seasonal.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December 31, 2024, total backlog, which is equivalent to the company’s remaining performance obligations, was $91.5 billion as compared with $84.2 billion at December 31, 2023. For further information, see “Backlog” in “Management’s Discussion and Analysis of Financial Condition and Results of Operations” (MD&amp;A) and Note 1 to the consolidated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protect our technological innovations using a combination of trade secrets, patents, trademarks, and copyrights. We routinely apply for patents related to the technologies we develop in the U.S. and in certain foreign jurisdictions. We license some intellectual property rights to third parties and we also license or otherwise obtain access to intellectual property from third parties. The U.S. government typically holds licenses to patents developed in the performance of U.S. government contracts and may use or authorize others to use the inventions covered by these patents for certain purposes. See “Risk Factors” for further discussion regarding risks related to intellectual property.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experienced challenges with access to certain raw materials due to macroeconomic factors and several global events such as inflation, geopolitical conflicts and microelectronics shortages. In some cases, these challenges have significantly increased the cost and/or lead time required to obtain certain raw materials. Nonetheless, these challenges have not, to date, materially impacted our ability to perform on our contracts. See “Risk Factors” for further discussion regarding risks related to raw materials.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Underpinned by our values and culture, we hire, promote, and pay based on merit and performance to ensure we have the best team to deliver for our customers. Our focus on technology, innovation and career growth enables us to attract qualified talent, particularly those with security clearances and requisite skills in multiple areas, including science, technology, engineering and math. Our differentiated culture and workforce was a factor in our ability to hire approximately 7,400 new employees in 2024, and as of December 31, 2024, we have approximately 97,000 employees.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Values and Culture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values reflect our priorities and form the bedrock of our culture:</w:t>
      </w:r>
    </w:p>
    <w:p>
      <w:pPr>
        <w:spacing w:after="0" w:line="104" w:lineRule="exact"/>
        <w:rPr>
          <w:sz w:val="20"/>
          <w:szCs w:val="20"/>
          <w:color w:val="auto"/>
        </w:rPr>
      </w:pPr>
    </w:p>
    <w:p>
      <w:pPr>
        <w:ind w:left="660" w:right="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the right thing – we earn trust, act with ethics, integrity and transparency, treat everyone with respect, value diverse perspectives and foster safe and inclusive environments.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what we promise – we own the delivery of results, focused on quality.</w:t>
      </w:r>
    </w:p>
    <w:p>
      <w:pPr>
        <w:spacing w:after="0" w:line="103"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commit to shared success – we work together to focus on the mission and take accountability for the sustainable success of our people, customers, shareholders, suppliers and communities.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pioneer – with fierce curiosity, dedication and innovation, we seek to solve the world’s most challenging problems.</w:t>
      </w:r>
    </w:p>
    <w:p>
      <w:pPr>
        <w:spacing w:after="0" w:line="9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Among other programs through which the company lives its values, the company maintains a Standards of Business Conduct program through which our employees are empowered to raise concerns through multiple channels without fear of reprisal. In addition to full-time ethics professionals, we also have over 150 business conduct advisors who promote values and an ethical culture within the company. Additionally, our annual Employee Experience Survey gives employees a voice and a mechanism to provide feedback on our culture and empower our leaders to enhance the employee experience. This anonymous survey encourages employee candor on key engagement and inclusion drivers, including belonging, respect, a sense of personal work accomplishment and recommending the company to others. In 2024, 80 percent of employees responded to the survey, an indication that our employees believe their feedback matters. Our performance on the annual survey is compared to the Qualtrics Global Benchmark and our survey results exceeded many of their global norms for both engagement and inclusion. Our leaders review the survey responses and work collaboratively with their teams to take meaningful actions based on survey results.</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culture and values serve as an enabling force that helps us pioneer, perform and deliver on quality, which results in value for our shareholders, customers, and employees. We actively seek candidates for employment from a wide range of backgrounds and experiences to tap into the full spectrum of talent available now and in the future to create a culture of belonging for everyone.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Management</w:t>
      </w:r>
    </w:p>
    <w:p>
      <w:pPr>
        <w:spacing w:after="0" w:line="29"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Northrop Grumman’s talent strategy is focused on four key pillars: broadening talent pools; enhancing the employee experience; building leaders of the future; and fostering employee growth. Our strategy addresses the external and internal landscape and ensures that we can attract, retain and develop the workforce necessary to support the continued success of the business.</w:t>
      </w:r>
    </w:p>
    <w:p>
      <w:pPr>
        <w:spacing w:after="0" w:line="6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hold regular talent review discussions to ensure line of sight to talent at various levels of the organization. We refresh and review succession plans to ensure a robust pipeline of talent and business continuity with a tight linkage to development. We focus on accelerating learning and development of our leaders by providing a combination of experiences, exposure and education.</w:t>
      </w:r>
    </w:p>
    <w:p>
      <w:pPr>
        <w:spacing w:after="0" w:line="4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employee development programs strengthen employee skills aligned to our current and future business needs through on-the-job development, knowledge sharing and tools to support career growth. Employees utilize curated, career-specific resources such as My Learning Experience, a machine learning enabled content aggregator that creates a personalized learning experience for each employee. Our Education Assistance Program subsidizes tuition and other educational institution fees to support development through job-related degrees and certificates. Our early-in-career rotation program, Pathways, develops talent pipelines with both depth of critical skills and breadth of experiences. Our technical cohort programs cultivate technical, domain expertise and collaborative thought leadership for early through advanced career levels.</w:t>
      </w:r>
    </w:p>
    <w:p>
      <w:pPr>
        <w:spacing w:after="0" w:line="6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 a rapidly changing world, we maintain focus on keeping our team and our company prepared for the evolving future of work. In addition to offering our employees flexible work arrangements, caregiver support and mental health services that help our employees make their careers work within their lives, we also help our employees build the careers that will serve them into the future. We ensure that our employees have the tools and resources to develop their knowledge base and skill sets, so they can continue to thrive at Northrop Grumman even in the midst of change. When our employees succeed and grow at work, our business succeeds and grows. Through a focus on our employees, we remain agile and innovative, adapting to the future as it unfolds before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Safety</w:t>
      </w:r>
    </w:p>
    <w:p>
      <w:pPr>
        <w:spacing w:after="0" w:line="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Health and safety are foundational to our success. People are our most valuable resource and we prioritize occupational health and safety to position the company for long-term success.</w:t>
      </w:r>
    </w:p>
    <w:p>
      <w:pPr>
        <w:spacing w:after="0" w:line="4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Training and risk and hazard identification, mitigation and prevention are key components of Northrop Grumman’s safety program. Everyone has a responsibility to identify workplace hazards, and employees may raise concerns without fear of reprisal. We evaluate the effectiveness of our health and safety programs by conducting trend analyses of our past performance and externally through benchmarking with industry peers and the U.S. Bureau of Labor Statistics.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Collective Agreements</w:t>
      </w:r>
    </w:p>
    <w:p>
      <w:pPr>
        <w:spacing w:after="0" w:line="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Approximately 4,100 employees are covered by 15 collective agreements in the U.S., of which we negotiated five renewals in 2024 and expect to negotiate seven renewals in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for further discussion regarding risks related to our workforce and employee relations.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 Security Restrictions</w:t>
      </w:r>
    </w:p>
    <w:p>
      <w:pPr>
        <w:spacing w:after="0" w:line="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prohibited by the U.S. government from publicly discussing the details of classified programs. These programs are generally referred to as “restricted” in this Annual Report. The consolidated financial statements and financial information in this Annual Report reflect the operating results of our entire company, including restricted programs.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generate the majority of our business from long-term contracts with the U.S. government for development, production and support activities. Unless otherwise specified in a contract, allowable and allocable costs are billed to contracts with the U.S. government pursuant to the Federal Acquisition Regulation (FAR) and U.S. government Cost Accounting Standards (CAS), which are regulations that govern cost accounting requirements for government contracts. Examples of costs incurred by us and not billed to the U.S. government in accordance with applicable FAR and CAS requirements include, but are not limited to, unallowable employee compensation, charitable donations, interest expense, advertising, and certain legal and travel costs.</w:t>
      </w:r>
    </w:p>
    <w:p>
      <w:pPr>
        <w:spacing w:after="0" w:line="6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monitor our contracts on a regular basis for compliance with our policies and procedures and applicable government laws and regulations. In addition, costs incurred and allocated to contracts with the U.S. government are routinely audited by the Defense Contract Audit Agency (DCAA).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contracts typically fall into one of two contract types:</w:t>
      </w:r>
    </w:p>
    <w:p>
      <w:pPr>
        <w:spacing w:after="0" w:line="1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Cost-type contracts include cost plus fixed fee, cost plus award fee and cost plus incentive fee contracts. Cost-type contracts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reimbursement of a contractor’s allowable costs incurred plus fee. As a result, cost-type contracts have less financial risk associated with unanticipated cost growth but generally provide lower profit margins than fixed-price contracts. Cost-type contracts typically require that the contractor use its best efforts to accomplish the scope of work within some specified time and stated dollar limitation. Fees on cost-type contracts can be fixed in terms of dollar value or can be variable due to award and incentive fees, which are generally based on performance criteria such as cost, schedule, quality and/or technical performance. Award fees are determined and earned based on customer evaluation of the company’s performance against contractual criteria. Incentive fees are generally based on cost or schedule and provide for an initially negotiated fee to be adjusted later, based on the relationship of total allowable costs to total target costs or as schedule milestones are met. Award and incentive fees are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Firm fixed-price contracts include a specified scope of work for a price that is a pre-determined, negotiated amount and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subject to adjustment regardless of costs incurred by the contractor, absent changes by the customer. As a result, fixed-price contracts typically have more financial risk associated with unanticipated cost growth, but provide the opportunity for higher profit margins. Certain fixed-price incentive fee contracts provide for reimbursement of the contractor’s allowable costs plus a fee up to a cost ceiling amount, typically through a cost-sharing ratio that affects profitability. These contracts effectively become firm fixed-price contracts once the cost-share ceiling is reached. Time-and-materials contracts are considered fixed-price contracts as they specify a fixed hourly rate for each labor hour charged.</w:t>
      </w:r>
    </w:p>
    <w:p>
      <w:pPr>
        <w:spacing w:after="0" w:line="63"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Profit margins on our contracts may vary materially depending on, among other things, the contract type, contract phase (e.g., development, low-rate production or mature production), negotiated fee arrangements, achievement of performance objectives, unexpected macroeconomic factors or other circumstances, and cost, schedule and technical performance.</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1 to the consolidated financial statements and “Risk Factors” for further information regarding our contracts and Note 15 to the consolidated financial statements for sales by contract type.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sales for the year ended December 31, 2024, recognized by contract type and customer category: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100" w:type="dxa"/>
            <w:vAlign w:val="bottom"/>
          </w:tcPr>
          <w:p>
            <w:pPr>
              <w:spacing w:after="0"/>
              <w:rPr>
                <w:sz w:val="18"/>
                <w:szCs w:val="18"/>
                <w:color w:val="auto"/>
              </w:rPr>
            </w:pPr>
          </w:p>
        </w:tc>
        <w:tc>
          <w:tcPr>
            <w:tcW w:w="14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8"/>
                <w:szCs w:val="18"/>
                <w:color w:val="auto"/>
              </w:rPr>
            </w:pPr>
          </w:p>
        </w:tc>
        <w:tc>
          <w:tcPr>
            <w:tcW w:w="14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30"/>
              <w:spacing w:after="0" w:line="243" w:lineRule="exact"/>
              <w:rPr>
                <w:sz w:val="20"/>
                <w:szCs w:val="20"/>
                <w:color w:val="auto"/>
              </w:rPr>
            </w:pPr>
            <w:r>
              <w:rPr>
                <w:rFonts w:ascii="Times New Roman" w:cs="Times New Roman" w:eastAsia="Times New Roman" w:hAnsi="Times New Roman"/>
                <w:sz w:val="18"/>
                <w:szCs w:val="18"/>
                <w:color w:val="auto"/>
              </w:rPr>
              <w:t>Government</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Other Customers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of Total Sales</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Cost-type contracts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20,256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20,964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15,180</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4,316</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20,069</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35,436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41,033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520" w:hanging="172"/>
        <w:spacing w:after="0" w:line="238" w:lineRule="auto"/>
        <w:tabs>
          <w:tab w:leader="none" w:pos="16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a substantial percentage of its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220" w:hanging="172"/>
        <w:spacing w:after="0" w:line="232" w:lineRule="auto"/>
        <w:tabs>
          <w:tab w:leader="none" w:pos="181"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operations are subject to and affected by federal, state, local and foreign laws, regulations and enforcement actions relating to protection of human health and the environment. We have incurred and expect to continue to incur capital and operating costs to comply with applicable environmental laws and regulations and to achieve our environmental sustainability goals. See “Risk Factors” and Notes 1 and 11 to the consolidated financial statements for further information regarding environmental matters.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environmental sustainability goals focus on Northrop Grumman’s facilities in addition to supply chain partners and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zero greenhouse gas emissions (GHG) in operations (Scopes 1 and 2) by 2035. Interim target of 50% GHG emissions reduction by 2030;</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50 percent of total electricity from renewable sources by 2030;</w:t>
      </w:r>
    </w:p>
    <w:p>
      <w:pPr>
        <w:spacing w:after="0" w:line="9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10% of absolute water withdrawals, reuse 10% of water withdrawals and replenish 10% of water withdrawals, focusing in water-stressed regions — all by 2030;</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solid waste sent to landfill and incineration by 10% by 2030;</w:t>
      </w:r>
    </w:p>
    <w:p>
      <w:pPr>
        <w:spacing w:after="0" w:line="90"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collaboration with key customers, work to develop a pioneering product stewardship program focused on material efficiency, product design and life cycle assessment;</w:t>
      </w:r>
    </w:p>
    <w:p>
      <w:pPr>
        <w:spacing w:after="0" w:line="40"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Technology for Conservation initiatives in proximity to Northrop Grumman's U.S. locations by 2030, in collaboration with external partners.</w:t>
      </w:r>
    </w:p>
    <w:p>
      <w:pPr>
        <w:spacing w:after="0" w:line="4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environmental sustainability goals is available in our Sustainability Report, which can be found on our company website.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“Directors, Executive Officers and Corporate Governance” for information about our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2980 Fairview Park Drive, Falls Church, Virginia 22042. Our telephone number is (703) 280-2900 and our home page is www.northropgrumman.com.</w:t>
      </w:r>
    </w:p>
    <w:p>
      <w:pPr>
        <w:spacing w:after="0" w:line="4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Our annual reports on Form 10-K, quarterly reports on Form 10-Q, current reports on Form 8-K and proxy statement for the annual shareholders’ meeting, as well as any amendments to those reports, are available free of charge through our website as soon as reasonably practicable after we file them with the U.S. Securities and Exchange Commission (SEC). You can learn more about us by reviewing our SEC filings on the investor relations page of our website.</w:t>
      </w:r>
    </w:p>
    <w:p>
      <w:pPr>
        <w:spacing w:after="0" w:line="2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at www.sec.gov that contains reports, proxy statements and other information about SEC registrants, including Northrop Grumman Corporation.</w:t>
      </w:r>
    </w:p>
    <w:p>
      <w:pPr>
        <w:spacing w:after="0" w:line="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consolidated financial position, results of operations and cash flows are subject to various risks, many of which are not exclusively within our control, that may cause actual performance to differ materially from historical or projected future performance. We encourage you to consider carefully the risk factors described below in evaluating the information contained in this report as the outcome of one or more of these risks could have a material adverse effect on our financial position, results of operations and/or cash flows.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Economic Risks</w:t>
      </w:r>
    </w:p>
    <w:p>
      <w:pPr>
        <w:spacing w:after="0" w:line="104" w:lineRule="exact"/>
        <w:rPr>
          <w:sz w:val="20"/>
          <w:szCs w:val="20"/>
          <w:color w:val="auto"/>
        </w:rPr>
      </w:pPr>
    </w:p>
    <w:p>
      <w:pPr>
        <w:ind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a single customer, the U.S. government, for a substantial portion of our business. Changes in this customer’s strategies, priorities and spending could have a material adverse effect on our financial position, results of operations and/or cash flows.</w:t>
      </w:r>
    </w:p>
    <w:p>
      <w:pPr>
        <w:spacing w:after="0" w:line="3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primary customer is the U.S. government, from which we derived 87 percent of our sales in 2024; we have a number of large programs with the U.S. Department of the Air Force, in particular. The U.S. government has the ability to delay, modify or cancel ongoing competitions, procurements and programs, as well as to change its future acquisition strategy. We cannot predict the impact on existing, follow-on, replacement or future programs from potential changes in the threat and global security environment, defense spending levels, government and budgetary priorities, political leadership, procurement practices and strategy, inflation and other macroeconomic trends, military strategy; or broader changes in social, economic, security or political demands and priorities.</w:t>
      </w:r>
    </w:p>
    <w:p>
      <w:pPr>
        <w:spacing w:after="0" w:line="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U.S. government has the ability to terminate contracts, in whole or in part, for its convenience or for default based on performance. In the event of termination for convenience, contractors are generally protected by provisions covering reimbursement for costs incurred and profit on those costs up to the amount authorized under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but not the anticipated profit that would have been earned. However, to the extent insufficient funds have been appropriated by the U.S. government to cover such costs, the U.S. government may assert that it is not required to provide additional funding for such costs. In the event of termination due to default, contractors may be required to pay for re-procurement costs in excess of the original contract price, net of the value of work accepted from the original contract, as well as other damages. Termination due to our default (or that of a teammate) could have a material adverse effect on our reputation, our ability to compete for other contracts and our financial position, results of operations and/or cash flows.</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Where program cost estimates exceed certain thresholds, our customer has been, and may in the future be, required to provide congressional notification of significant or critical cost increases (or breaches) under the Nunn-McCurdy Act, which, in some circumstances, could result in program restructure or termination. For example, in January 2024 the customer provided congressional notification that the Sentinel program (formerly called the Ground Based Strategic Deterrent program) was under a Nunn-McCurdy breach review, which was completed in July 2024, resulting in the certification for continuance of the program.</w:t>
      </w:r>
    </w:p>
    <w:p>
      <w:pPr>
        <w:spacing w:after="0" w:line="4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U.S. government also has the ability to stop work under a contract for a limited period of time for its convenience. The U.S. government has invoked and could invoke this ability across a limited or broad number of contracts. In the event of a stop work order, contractors are typically protected by provisions covering reimbursement for costs incurred to date and for costs associated with the temporary stoppage of work plus a reasonable fee. However, such temporary stoppages often introduce inefficiencies and result in financial and other damages for which contractors may not be able to negotiate full recovery. In some cases, they have also ultimately resulted and could result in termination of a contract for convenience or reduced future orders.</w:t>
      </w:r>
    </w:p>
    <w:p>
      <w:pPr>
        <w:spacing w:after="0" w:line="42" w:lineRule="exact"/>
        <w:rPr>
          <w:sz w:val="20"/>
          <w:szCs w:val="20"/>
          <w:color w:val="auto"/>
        </w:rPr>
      </w:pPr>
    </w:p>
    <w:p>
      <w:pPr>
        <w:jc w:val="both"/>
        <w:ind w:right="48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delays or reductions in appropriations for our programs or U.S. government funding more broadly, including a prolonged continuing resolution, government shutdown or breach of the debt ceiling, and future budget and program decisions can negatively impact our business and programs and could have a material adverse effect on our financial position, results of operations and/or cash flows.</w:t>
      </w:r>
    </w:p>
    <w:p>
      <w:pPr>
        <w:spacing w:after="0" w:line="5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U.S. government programs are subject to annual congressional budget authorization and appropriation processes. For many programs, Congress appropriates funds annually even though the program performance period may extend over several years. Programs are often partially funded initially, with additional funds committed only as Congress makes further appropriations. When we or our subcontractors incur costs in excess of funds obligated on a contract, we are generally at risk for reimbursement unless and until additional funds are obligated to the contract. We cannot predict what funding will ultimately be approved for individual programs. In addition, pressures on, as well as laws and plans relating to the federal budget, potential changes in priorities and defense spending, the timing and substance of the appropriations process, use of continuing resolutions (with restrictions, e.g., on new contract and program starts) and the federal debt limit (including a breach of the federal debt ceiling), have adversely affected and could adversely affect the amount and timing of funding for individual programs and delay purchasing or payments by our customers. In the event government funding for our significant programs is reduced, delayed or unavailable, or orders are reduced, our contracts or subcontracts, or competitions for such programs have at times been, and in the future may be, terminated or changed.</w:t>
      </w:r>
    </w:p>
    <w:p>
      <w:pPr>
        <w:spacing w:after="0" w:line="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 continues to face a changing geopolitical environment, along with substantial fiscal, economic and security challenges, which affect funding and budgetary priorities. The budget and macroeconomic environment, global security environment, political instability, and uncertainty surrounding the appropriations processes and the debt ceiling, remain significant short and long-term risks. See “Overview” in MD&amp;A. In addition, high deficit levels and high debt servicing costs could drive cuts to federal spending. Considerable uncertainty exists regarding how future budget and program decisions will unfold. If annual appropriations bills are not timely enacted, the U.S. government may continue to operate under a continuing resolution (potentially of extended duration), restricting new contract or program starts, presenting resource allocation challenges and placing limitations on budgets. We also may face a prolonged government shutdown that could lead to program cancellations, disruptions and/or stop work orders and could limit the U.S. government’s ability to progress programs and make timely payments. A prolonged shutdown could limit our ability to perform on our contracts and successfully compete for new work. If the statutory debt limit is not increased adequately, we could be obligated to work without receiving timely payments, and a prolonged breach could have far-reaching adverse consequences. If the macroeconomic environment deteriorates, including due to rising inflation or other causes, we could experience labor and supply chain challenges and increased costs and existing or anticipated appropriated and contracted funds may not be sufficient to cover costs incurred on existing or future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Future funding for certain programs in which we participate may be reduced, delayed or cancelled. Budget cuts globally could adversely affect the viability of our subcontractors and suppliers. While we believe that our business is well-positioned in areas for future defense spending, changing priorities, budget pressures, defense spending cuts, challenges in the appropriations process, the possibility of a long-term continuing resolution (or series of continuing resolutions) and breach of the debt ceiling, ongoing fiscal debates and the global economic and security environment increase uncertainties and risk.</w:t>
      </w:r>
    </w:p>
    <w:p>
      <w:pPr>
        <w:spacing w:after="0" w:line="54" w:lineRule="exact"/>
        <w:rPr>
          <w:sz w:val="20"/>
          <w:szCs w:val="20"/>
          <w:color w:val="auto"/>
        </w:rPr>
      </w:pPr>
    </w:p>
    <w:p>
      <w:pPr>
        <w:ind w:right="14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when accounting for contracts. Contract cost growth or changes in estimated contract revenues and costs can affect our profitability and could have a material adverse effect on our financial position, results of operations and/or cash flows.</w:t>
      </w:r>
    </w:p>
    <w:p>
      <w:pPr>
        <w:spacing w:after="0" w:line="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accounting requires judgment, including in assessing risks, estimating contract revenues and costs, and predicting future performance. Given the size and nature of our many contracts, estimating total revenues and costs at completion is complex and subject to many variables. When there is sufficient information to assess expected future performance, we consider performance related incentives, awards and penalties in estimating revenue and profit rates. Suppliers’ expected performance, and the availability and costs of labor, materials and components, are also considered.</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operating income can be adversely affected when estimated contract costs increase, especially without comparable increases in revenue. There are many reasons estimated contract costs can increase, including inflation, labor challenges, supply chain challenges, and market and exchange rate volatility; delays or limitations in customer funding; design or other development challenges; production challenges (including from technical or quality issues and other performance concerns); inability to realize learning curves or other cost savings; changes in laws or regulations; actions necessary for long-term customer satisfaction; and natural disasters or environmental matters.</w:t>
      </w:r>
    </w:p>
    <w:p>
      <w:pPr>
        <w:spacing w:after="0" w:line="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aim to mitigate this risk through contract terms, and we have submitted and may submit requests for equitable adjustment (REAs), engineering change proposals or other claims to seek recovery in whole or in part for our increased costs. We have also sought, and will seek, other avenues, as appropriate, to compensate the company for certain unexpected cost increases. However, our contracts may not enable full recovery, and/or customers may disagree with our requests or may not have funding to cover them.</w:t>
      </w:r>
    </w:p>
    <w:p>
      <w:pPr>
        <w:spacing w:after="0" w:line="4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risk varies with the type of contract. Fixed-price contracts inherently tend to have more financial risk than cost-type contracts, including as a result of inflationary pressures, labor rates and shortages, challenges in estimating contract revenues and costs and supplier challenges. In 2024, approximately half of our sales were derived from fixed-price contracts. We have more often entered into fixed-price contracts where costs can be more reasonably estimated based on actual experience, such as for mature production programs. However, our customers have sought, and may in the future seek, fixed-price contracts for development programs, combined development and production programs, or low-rate initial production programs, where the risks are greater. For example, such contracts can create performance and financial risks, whether due to the estimates of costs required to complete such contracts being subject to potentially significant variability or because of the challenge of starting and stabilizing manufacturing production and test lines while concurrently validating final design and managing changes in requirements or capabilities requested by the customer. In addition, our contracts contain provisions relating to cost controls and audit rights. If we do not achieve our estimates or meet terms in our contracts, our profitability has at times been and may be reduced, and we have incurred and may incur losses.</w:t>
      </w:r>
    </w:p>
    <w:p>
      <w:pPr>
        <w:spacing w:after="0" w:line="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our fixed-price contracts include or may include fixed-price development work. This work is inherently more uncertain, and, as a result, there is typically more variability in estimates of the costs to complete the development stage. As work progresses into production, the risks associated with estimating total costs are typically reduced as compared to fixed-price development work. While management uses its best judgment to estimate costs associated with fixed-price contracts, future events can result in significant adjustments. In addition, from time to time, we may begin performing on a contract prior to completing contract negotiations. Uncertainties in final contract terms, quantity and pricing, or loss of negotiating leverage associated with long delays could negatively affect our profitability. Certain of our contracts also include options exercisable at the customer’s discretion. The customer may decline to exercise an option, or the customer may exercise an option for which we may incur a loss or perform at a low margin, either of which could adversely affect our results of operations.</w:t>
      </w:r>
    </w:p>
    <w:p>
      <w:pPr>
        <w:spacing w:after="0" w:line="7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cost-type contracts, allowable costs are generally subject to reimbursement plus a fee. We often enter into cost-type contracts for development programs with complex design and technical challenges. These cost-type programs may have award or incentive fees that are uncertain and may be earned over extended periods or towards the end of the contract. In these cases, the financial risks are typically in recognizing profit, which ultimately may not be earned, or program cancellation if cost, schedule, or technical performance issues arise. We also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 financial risk when solicitations require us to bid on cost-type development work and fixed-price production lots and/or options in one submission, where we must estimate the cost of production before a product has been developed and tested, or cost-type development work requiring us to provide certain items at our expense or with little or no fee. Macroeconomic challenges increase these risks.</w:t>
      </w:r>
    </w:p>
    <w:p>
      <w:pPr>
        <w:spacing w:after="0" w:line="4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Because of the significance of management’s judgments and the estimation processes, and the difficulties inherent in estimating future costs, particularly in a challenging macroeconomic environment, it is possible that we could see materially different results. Changes in underlying assumptions, circumstances or estimates, and the failure to recover on requests for equitable adjustments, engineering change proposals or other claims could have a material adverse effect on the profitability of one or more of our contracts and on our overall financial position, results of operations and/or cash flows. See “Critical Accounting Policies and Estimates” in MD&amp;A and Note 11 to the consolidated financial statements.</w:t>
      </w:r>
    </w:p>
    <w:p>
      <w:pPr>
        <w:spacing w:after="0" w:line="72" w:lineRule="exact"/>
        <w:rPr>
          <w:sz w:val="20"/>
          <w:szCs w:val="20"/>
          <w:color w:val="auto"/>
        </w:rPr>
      </w:pPr>
    </w:p>
    <w:p>
      <w:pPr>
        <w:ind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Competition within our markets and bid protests, or other attempts to interfere with our ability to obtain and retain awards, may affect our ability to win new contracts and result in reduced revenues, which could have a material adverse effect on our financial position, results of operations and/or cash flows.</w:t>
      </w:r>
    </w:p>
    <w:p>
      <w:pPr>
        <w:spacing w:after="0" w:line="4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operate in highly competitive markets and our competitors may have more financial capacity or more extensive or specialized engineering, technical, manufacturing, marketing or servicing capabilities. They may be willing to accept more risk or lower profitability in competing for contracts. We have seen, and anticipate we will continue to see, increased competition in some of our core markets, especially as a result of our customers’ budget pressures, their focus on affordability and competition, and our own success in winning business. We are facing increasing competition in the U.S. and outside the U.S. from U.S., foreign and multinational firms, including new entrants, and anticipate that mergers or acquisitions within our industry could further increase competition or could limit our access to certain suppliers without appropriate remedies to protect our interests. We are also facing increasing competition for, and more limited access to various critical products, services and other supplies. In some instances, foreign companies may receive loans, subsidies and other assistance from their governments that may not be available to U.S. companies and foreign companies may be subject to fewer restrictions on technology transfer. For some products and services, some customers, including the DoD, are turning to commercial contractors, newer entrants to markets and non-traditional defense contractors, which may have lower cost or more agile operating structures and the ability to leverage changes in customer acquisition strategies (e.g., multiple awardees, short lifecycles). In addition, some customers continue to utilize small business contractors or determine to source work internally. Our success in competing depends, in part, on our ability to remain cost-competitive, respond to changes in customer acquisition strategies, accurately anticipate our customers’ needs and successfully effect our digital transformation strategy and adopt and integrate new digital technologies into our manufacturing, operations, and products and services.</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U.S. government procurement laws permit certain legal challenges to the terms of a contract solicitation or award, referred to as a bid protest. Bid protests can result in award decisions being reversed and loss of the contract award. Even where a bid protest does not result in such a loss, it can result in significant expenses and delay the start of contract activities and revenue or result in contract modifications. We are also subject to risks associated with our ability to challenge Other Transaction Authority (OTA) agreements, which the U.S. government can award for certain research, prototype and production projects. OTA awards are not subject to all of the procurement requirements that typically apply to DoD contracts and rights to protest such awards may be more limited than for other contracts.</w:t>
      </w:r>
    </w:p>
    <w:p>
      <w:pPr>
        <w:spacing w:after="0" w:line="62" w:lineRule="exact"/>
        <w:rPr>
          <w:sz w:val="20"/>
          <w:szCs w:val="20"/>
          <w:color w:val="auto"/>
        </w:rPr>
      </w:pPr>
    </w:p>
    <w:p>
      <w:pPr>
        <w:ind w:right="56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macroeconomic environment has negatively impacted and could in the future negatively impact our business, and if we are unable to mitigate such challenges, it could have a material adverse effect on our financial position, results of operations and/or cash flows.</w:t>
      </w:r>
    </w:p>
    <w:p>
      <w:pPr>
        <w:spacing w:after="0" w:line="2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business, financial position, results of operations and/or cash flows have been and may in the future be adversely impacted by the global macroeconomic environment, which impacts have included and may in the future include high rates of inflation; increased interest rates; tight credit in financial markets; widespread disruptions in supply chains; workforce challenges, including labor shortages; and market volatility, including exchange rate volatility. These and other macroeconomic challenges have led and can lead to increased costs, labor and supply shortages, and delays and disruption in performance, as well as competing demands for scarce resources, which in turn have adversely impacted and may continue to adversely impact our customers, our industry, our company, our suppliers and others with whom we do business. We continue to work proactively to mitigate the challenges caused by the macroeconomic environment, including, in some cases, seeking the inclusion of economic price adjustment clauses or seeking to recover on requests for equitable adjustments, engineering change proposals or other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04" w:lineRule="exact"/>
        <w:rPr>
          <w:sz w:val="20"/>
          <w:szCs w:val="20"/>
          <w:color w:val="auto"/>
        </w:rPr>
      </w:pPr>
    </w:p>
    <w:p>
      <w:pPr>
        <w:ind w:right="12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investigations, claims, disputes, enforcement actions, litigation, and other legal proceedings that could ultimately be resolved against us and could have a material adverse effect on our financial position, results of operations and/or cash flows.</w:t>
      </w:r>
    </w:p>
    <w:p>
      <w:pPr>
        <w:spacing w:after="0" w:line="2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size, nature and complexity of our business make us particularly susceptible to investigations, claims, disputes, enforcement actions, prosecutions, litigation and other legal proceedings (collectively “legal proceedings”), particularly those involving governments, which may continue to increase. We are or may become subject to legal proceedings globally (including criminal, civil and administrative) and across a broad array of matters, including, but not limited to, government contracts, cost accounting, financial accounting and reporting, false statements or claims, cybersecurity and pension accounting and other employee benefit plan matters. These matters can divert resources; result in administrative, civil or criminal fines, penalties or other sanctions (including judgments, convictions, consent or other voluntary decrees or agreements), compensatory, treble or other damages, non-monetary relief, or other liabilities; and otherwise harm our business and our ability to obtain and retain awards. Certain outcomes may lead to suspension or debarment from government contracts or suspension of export/import privileges for the company or one or more of its components. Suspension or debarment or criminal resolutions in particular could have a material adverse effect on the company because of our reliance on government contracts and export authorizations. Legal proceedings, even if pending or not ultimately resulting in adverse action, or if fully indemnified or insured, can negatively impact our reputation among our customers and the public, and make it substantially more difficult for us to compete effectively for business, obtain and retain awards, ensure adequate funding for our programs or obtain adequate insurance in the future. See Note 10 to the consolidated financial statements for information regarding the company’s investigations, claims and litigation.</w:t>
      </w:r>
    </w:p>
    <w:p>
      <w:pPr>
        <w:spacing w:after="0" w:line="62" w:lineRule="exact"/>
        <w:rPr>
          <w:sz w:val="20"/>
          <w:szCs w:val="20"/>
          <w:color w:val="auto"/>
        </w:rPr>
      </w:pPr>
    </w:p>
    <w:p>
      <w:pPr>
        <w:ind w:right="120" w:hanging="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U.S. government contractor, we and our partners are subject to various procurement and other laws, regulations and contract terms applicable to our industry, as well as those more broadly applicable to industry, and changes in such laws, regulations or terms, any negative findings by the U.S. government as to our or our partners’ compliance with them, and changes in our customers’ business practices globally could affect our ability to compete and have a material adverse effect on our financial position, results of operations and/or cash flows.</w:t>
      </w:r>
    </w:p>
    <w:p>
      <w:pPr>
        <w:spacing w:after="0" w:line="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U.S. government contractors (including their subcontractors and others with whom they do business) must comply with various specific procurement laws, regulations, rules and other legal requirements, as well as ones more broadly applicable. These various legal requirements, although sometimes customary in government contracting, increase costs and risks. They have been and are evolving at a significant pace. The costs are not always fully recoverable. New laws or other requirements, or changes to existing ones (including, for example, related to cybersecurity, information and data protection, cost accounting, environment, sustainability, securities, competition, compensation costs, taxes, counterfeit parts, pensions, and use of certain non-US equipment) or more expansive interpretations or other changes in how government agencies construe existing ones, can significantly increase our costs and risks and reduce our profitability.</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operate in a highly regulated environment and are routinely audited and reviewed by the U.S. government and its agencies, such as the DCAA, Defense Contract Management Agency (DCMA) and the DoD Inspector General. These agencies review performance under our contracts, our cost structure and accounting, our compliance, and the adequacy of our systems in meeting government requirements. Costs ultimately found to be unallowable or improperly allocated are generally not reimbursed or require us to refund the customer. When an audit uncovers improper or illegal activities, we are subject to possible civil and criminal penalties, sanctions, or suspension or debarment. Whether or not illegal activities are alleged, the U.S. government has the ability to decrease or withhold certain payments when it deems systems to be inadequate, with significant financial impact, regardless of the ultimate outcome. In addition, we risk serious reputational harm in situations involving allegations of impropriety made against us or our business partners.</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industry has experienced, and we expect it will continue to experience, significant changes to business practices globally, in part as a result of changes in the global security and threat environment and an increased focus on affordability, efficiencies, business systems, recovery of costs and a reprioritization of available defense funds. We have experienced and may continue to experience an increased number of audits and challenges to our claims and our business systems for current and past years, as well as longer periods to close audits, broader requests for information and an increased risk of withholdings of payments. The U.S. government has been pursuing and may continue to pursue policies that could negatively impact our profitability, including those that shift additional responsibility and performance risks to the contractor. Changes in procurement practices, including those favoring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incentive-based fee arrangements; fixed price development or long-term production programs; different award criteria; and non-traditional contract provisions have affected and may in the future affect our profitability and predictability.</w:t>
      </w:r>
    </w:p>
    <w:p>
      <w:pPr>
        <w:spacing w:after="0" w:line="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(including our subcontractors and others with whom we do business) also are subject to, and expected to perform in compliance with, a vast array of federal, state and local laws, regulations, contract terms and requirements related to our industry, our products and the businesses we operate, as well as those more broadly applicable to industry, such as securities laws and regulations. These requirements, whether specific to our industry or broadly applicable, can limit our ability to achieve our goals. If we are found to have violated any such requirements, or are found not to have acted responsibly, we may be subject to a wide array of actions, including contract modifications or termination; payment withholds; the loss of export/import privileges; administrative, civil or criminal judgments or penalties (including convictions, agreements, fines, damages and non-monetary relief); or suspension or debarment.</w:t>
      </w:r>
    </w:p>
    <w:p>
      <w:pPr>
        <w:spacing w:after="0" w:line="50" w:lineRule="exact"/>
        <w:rPr>
          <w:sz w:val="20"/>
          <w:szCs w:val="20"/>
          <w:color w:val="auto"/>
        </w:rPr>
      </w:pPr>
    </w:p>
    <w:p>
      <w:pPr>
        <w:ind w:right="8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improper conduct of employees, agents, subcontractors, suppliers, business partners or joint ventures in which we participate can impact our reputation and our ability to do business, which could have a material adverse effect on our financial position, results of operations and/or cash flows.</w:t>
      </w:r>
    </w:p>
    <w:p>
      <w:pPr>
        <w:spacing w:after="0" w:line="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face potential liability based on misconduct by employees, agents or others working with us or on our behalf that could violate the applicable laws of the jurisdictions in which we operate, including laws governing improper payments to government officials, the protection of export controlled or classified information, false claims, procurement integrity, cost accounting and billing, competition, information security and data privacy, intellectual property and contract terms. Improper actions by our employees, agents or others working with us or on our behalf also subject us to risk of administrative, civil or criminal investigations and enforcement actions; monetary and non-monetary penalties; liabilities; and the loss of privileges and other sanctions, including suspension and debarment. We have in the past experienced and may in the future experience misconduct committed by our employees, agents, suppliers, partners or others working with us or on our behalf. This risk of improper conduct increases as we continue to expand globally, with greater opportunities and demands to do more business with local and new partners, and in new environments. At the same time, law enforcement agencies are continuing to focus collaboratively on combating global corruption and other misconduct. In the ordinary course we form and are members of joint ventures or other business arrangements and/or invest in third parties with whom we do business. We may be unable to prevent misconduct or violations of applicable laws by these joint ventures or our partners, including, in each case, their respective officers, directors and employees.</w:t>
      </w:r>
    </w:p>
    <w:p>
      <w:pPr>
        <w:spacing w:after="0" w:line="66" w:lineRule="exact"/>
        <w:rPr>
          <w:sz w:val="20"/>
          <w:szCs w:val="20"/>
          <w:color w:val="auto"/>
        </w:rPr>
      </w:pPr>
    </w:p>
    <w:p>
      <w:pPr>
        <w:ind w:right="28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matters, including climate change, unforeseen costs associated with compliance and remediation efforts, and government and third-party claims, could have a material adverse effect on our reputation and our financial position, results of operations and/or cash flows.</w:t>
      </w:r>
    </w:p>
    <w:p>
      <w:pPr>
        <w:spacing w:after="0" w:line="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operations are subject to and affected by a variety of federal, state, local and foreign environmental laws and regulations, including as they may be expanded, otherwise changed or enforced differently over time. Compliance with these existing and evolving environmental laws and regulations requires, and is expected to continue to require, significant operating and capital costs. For example, some of these recently enacted laws and regulations prohibit the use of certain chemicals or other substances that are used in our business, which has, in some cases, required us to identify alternate sources, resulting in additional costs and/or otherwise impacting our business and operations. New and evolving laws, regulations and rule makings globally impose different and at times more restrictive standards and require greater disclosures. For example, certain jurisdictions, including the State of California and the European Union, have enacted legislation which requires or would require more stringent greenhouse gas emissions and climate risk reporting. They could also require capital investments, could adversely impact our ongoing operations, and could require changes on a more accelerated time frame. We expect our suppliers to face similar challenges and incur additional compliance costs that may be passed on to us. These direct and indirect costs can adversely impact our results of operations and financial condition, and, if we are unable to comply with legislative and regulatory requirements or meet our sustainability objectives, our reputation and ability to do business could be negatively impacted. In addition, our customers’ requirements, priorities and ways of doing business with respect to environmental matters, and climate change specifically, also may have an impact on our business, operations and financial success.</w:t>
      </w:r>
    </w:p>
    <w:p>
      <w:pPr>
        <w:spacing w:after="0" w:line="6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Environmental matters may significantly impact our business and operations and present evolving risks and challenges. Environmental impacts, including climate change specifically, create short and long-term financial risks to our business globally. We have significant operations located in regions that have been, and may in the future be, exposed to significant weather events and other natural disasters. Increased worldwide focus on climate change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led to legislative and regulatory efforts to combat both potential causes and adverse impacts of climate change, including regulation of greenhouse gas emissions. New or more stringent laws and regulations related to greenhouse gas emissions and other climate change related concerns have affected and will likely continue to affect us, our suppliers and our customers. The company has set a goal to achieve net zero greenhouse gas emissions in our operations by 2035 and is committed to working to achieve its climate change and other sustainability goals. We are working to identify opportunities to utilize alternatives to fossil-based energy sources, to decrease our greenhouse gas emissions, to reduce our consumption of water and generation of waste, and to ensure our compliance with environmental regulations where we operate, enhancing our record of environmental sustainability. However, the costs of doing so may be greater than expected, which could affect our ability to achieve our goals.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may be subject to substantial administrative, civil or criminal fines, penalties or other sanctions (including suspension, debarment or disqualification) for violations of environmental laws. If we are found to be in violation of the Federal Clean Air Act or the Clean Water Act, the facility or facilities involved in the violation could be placed by the Environmental Protection Agency on a list of facilities that generally cannot be used in performing on U.S. government contracts until the violation is corrected.</w:t>
      </w:r>
    </w:p>
    <w:p>
      <w:pPr>
        <w:spacing w:after="0" w:line="3"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7"/>
          <w:szCs w:val="17"/>
          <w:color w:val="auto"/>
        </w:rPr>
        <w:t>We incur, and expect to continue to incur, substantial remediation costs related to the cleanup of pollutants previously released into the environment. Stricter or different remediation standards or enforcement of existing laws and regulations; new requirements, including regulation of new substances; discovery of previously unknown or more extensive contamination or new contaminants; imposition of fines, penalties, or damages (including natural resource damages); a determination that certain remediation or other costs are unallowable; rulings on allocation or insurance coverage; and/or the insolvency, inability or unwillingness of other parties to pay their share, could require us to incur material additional costs in excess of those anticipated.</w:t>
      </w:r>
    </w:p>
    <w:p>
      <w:pPr>
        <w:spacing w:after="0" w:line="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and may become a party to various legal proceedings and disputes involving government and private parties (including individual and class actions) relating to alleged impacts from pollutants released into the environment, including bodily injury and property damage. For example, please see Note 10 for a discussion of certain disputes and lawsuits related to legacy Bethpage environmental conditions. These matters could result in material compensatory or other damages, remediation costs, penalties, and non-monetary relief, and adverse determinations on allowability or insurance coverage.</w:t>
      </w:r>
    </w:p>
    <w:p>
      <w:pPr>
        <w:spacing w:after="0" w:line="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Government and private parties also seek to hold us responsible for liabilities or obligations related to former operations that have been divested or spun-off and/or for which we believe other parties have agreed to be responsible and/or to indemnify us. These rights may not be sufficient to protect us.</w:t>
      </w:r>
    </w:p>
    <w:p>
      <w:pPr>
        <w:spacing w:after="0" w:line="36" w:lineRule="exact"/>
        <w:rPr>
          <w:sz w:val="20"/>
          <w:szCs w:val="20"/>
          <w:color w:val="auto"/>
        </w:rPr>
      </w:pPr>
    </w:p>
    <w:p>
      <w:pPr>
        <w:ind w:right="42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or an increase in our tax liabilities, whether due to changes in applicable laws and regulations, the interpretation or application thereof, or a final determination of tax audits or litigation or agreements, could have a material adverse effect on our financial position, results of operations and/or cash flows.</w:t>
      </w:r>
    </w:p>
    <w:p>
      <w:pPr>
        <w:spacing w:after="0" w:line="4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are subject to income and other taxes in the U.S. and foreign jurisdictions. Changes in applicable tax laws and regulations, or their interpretation and application, including the possibility of retroactive effect, have affected and could affect our tax expense. In addition, the final determination of any tax audits or related litigation, in particular with regard to our positions on research credits, could be materially different from our historical income tax provisions and accruals. In addition, we may be subject to future tax audits and legal challenges involving OATK, which we acquired in 2018, or the spinoff of its then subsidiary Vista Outdoor, and we may be unable to obtain indemnification or we may be required to indemnify Vista.</w:t>
      </w:r>
    </w:p>
    <w:p>
      <w:pPr>
        <w:spacing w:after="0" w:line="58" w:lineRule="exact"/>
        <w:rPr>
          <w:sz w:val="20"/>
          <w:szCs w:val="20"/>
          <w:color w:val="auto"/>
        </w:rPr>
      </w:pPr>
    </w:p>
    <w:p>
      <w:pPr>
        <w:ind w:right="14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 and other security threats or disruptions could have a material adverse effect on our reputation and our financial position, results of operations and/or cash flows.</w:t>
      </w:r>
    </w:p>
    <w:p>
      <w:pPr>
        <w:spacing w:after="0" w:line="3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defense contractor, we face significant cyber and other security threats. They include, among other things, attempts to gain unauthorized access to sensitive information or otherwise compromise the integrity, confidentiality and/or availability of our systems, hardware and networks, and the information on them; insider threats; ransomware; threats to the safety of our directors, officers and employees; threats to our facilities, infrastructure, products (we produce and use), and subcontractors or other suppliers (referred to inclusively as suppliers); and threats from terrorist acts, espionage, civil unrest and other acts of aggression. We are also subject to increasing government, customer and other cyber and security requirements, including disclosure obligations.</w:t>
      </w:r>
    </w:p>
    <w:p>
      <w:pPr>
        <w:spacing w:after="0" w:line="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Cyber threats, both on premises and in the cloud, are complex, continuous and evolving and include, but are not limited to: malicious software, destructive malware, ransomware, targeting by more advanced and persistent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adversaries, including nation states and other actors, zero-day attacks, attempts to gain unauthorized access to systems or data, disruption to operations, critical systems or denial of service attacks; unauthorized release of confidential, personal or other protected information (ours or that of our employees, customers or partners); corruption of data, networks or systems; harm to individuals; and loss of assets. We have been and could be impacted by cyber threats or other disruptions or vulnerabilities found in products or services we use or in our internal, partners’ or customers’ systems that are used in connection with our business. Further, the sophistication, availability and use of artificial intelligence by threat actors present an increased level of risk. We have experienced cyber attacks and, due to the evolving threat landscape, expect we will continue to experience additional attacks in the future. The various measures and controls we have implemented to monitor and mitigate risks associated with these threats and to increase the cyber resiliency of our infrastructure and products may not always be sufficient or fully effective, particularly against previously unknown vulnerabilities, including those that could go undetected for an extended period.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Cyber events have caused and could cause us harm and require us to undertake remedial actions. Successful attacks can lead to losses or misuse of sensitive information or capabilities; theft or corruption of data; harm to personnel, infrastructure or products; protracted disruptions in our operations and performance; and the misuse of our products. They can also damage our reputation, impact our ability to obtain adequate insurance coverage, and lead to loss of business, regulatory actions, and costs, liabilities or other financial losses for which we may not have adequate sources of recovery.</w:t>
      </w:r>
    </w:p>
    <w:p>
      <w:pPr>
        <w:spacing w:after="0" w:line="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customers and partners (including our suppliers and joint ventures) to whom we entrust confidential data, and on whom we rely to provide products and services, face similar threats and growing requirements, including ones for which others may seek to hold us responsible. We depend on our customers, suppliers, and other business partners to implement and verify adequate controls and safeguards to protect against and report cyber incidents. If they fail to deter, detect, remediate or report cyber incidents in a timely manner, we may suffer financial and other harm, including to our information, operations, performance, employees and reputation. Further, the systems, products and services that we provide to customers may not be able to detect or deter threats, or effectively to mitigate resulting losses. These losses could adversely affect our customers and our company.</w:t>
      </w:r>
    </w:p>
    <w:p>
      <w:pPr>
        <w:spacing w:after="0" w:line="6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also face increasing and evolving disclosure obligations related to cyber and other security events and the risk of failing to meet all our existing or future disclosure obligations and/or having our disclosures misinterpreted. National security or public safety considerations may also affect, or in limited instances prevent, our public disclosure of a cybersecurity incident in certain circumstances.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also face threats to our physical security, including to our facilities and the safety and well-being of our people, including senior executives. These threats could involve terrorism, insider threats, targeted threats against senior executives, workplace violence, civil unrest, natural disasters, damaging weather or fires, which could adversely affect our company. Our customers and suppliers face similar risks that, if realized, could also adversely impact our operations. Such acts could cause delays, manufacturing downtime, or other impacts that could detrimentally impact our ability to perform our operations. We could also incur unanticipated costs to remediate impacts and lost business. For further discussion of our cybersecurity risk management, strategy and governance, see “Cybersecurity.”</w:t>
      </w:r>
    </w:p>
    <w:p>
      <w:pPr>
        <w:spacing w:after="0" w:line="48" w:lineRule="exact"/>
        <w:rPr>
          <w:sz w:val="20"/>
          <w:szCs w:val="20"/>
          <w:color w:val="auto"/>
        </w:rPr>
      </w:pPr>
    </w:p>
    <w:p>
      <w:pPr>
        <w:ind w:right="4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earnings and profitability depend, in part, on subcontractor and supplier performance, financial viability, and compliance with regulatory requirements globally, as well as highly skilled labor, raw materials, chemicals, parts, and component availability and pricing, and one or more of these factors could have a material adverse effect on our financial position, results of operations and/or cash flows.</w:t>
      </w:r>
    </w:p>
    <w:p>
      <w:pPr>
        <w:spacing w:after="0" w:line="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rely on other companies to provide raw materials, chemicals, parts and components and subsystems for our products, produce hardware elements and sub-assemblies, provide software and intellectual property, provide information about the parts they supply to us, and perform some of the services we need for our operations or provide to our customers, and to do so in compliance with all applicable laws, regulations and contract terms, while maintaining strong values and cultures. Disruptions or performance problems with our subcontractors or other suppliers (referred to inclusively as suppliers), unanticipated cost growth for the products and services they provide, failure to meet regulatory or contractual requirements, unethical or illegal behavior, or a misalignment between our contractual obligations to our customers and our agreements with our suppliers, have had and may continue to have various adverse impacts on the company, including on our ability to meet our commitments to customers and financial expectations. This risk of delays and disruptions in the supply chain, and supply chain challenges more broadly, has been and continues to be heightened globally due to the current macroeconomic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ability to perform our obligations on time is adversely affected if one or more of our suppliers is unable to provide the agreed-upon products, materials or information, or perform the agreed-upon services in a timely, compliant and cost-effective manner. We also may experience challenges performing if we are unable to use certain raw materials, chemicals or other substances due to laws or other regulations that restrict or prohibit the use of such items or cause suppliers to be unwilling or unable to supply them and we cannot obtain a reasonable substitute on a cost-effective basis. Changes in political or economic conditions, including changes in demand, changes in the macroeconomic environment (including inflation and labor and supply chain challenges), changes in defense budgets and/or priorities, changes in the global security environment, changes in export/import restrictions, sanctions and other trade restrictive activities, evolving requirements, or changes in access to critical technology and materials (including metals and components), among others, have adversely affected and could in the future adversely affect the financial stability of our suppliers and/or their ability to perform effectively. The inability of our suppliers to perform effectively has required and may require us to provide them additional support and/or to transition to alternate suppliers, if available, with additional costs and delays. We expect we will need to continue to provide additional resources to support certain of our suppliers in performing under our contracts. In addition, if we are unable to do that or if our suppliers are no longer able to perform due to financial difficulties, we may face additional losses and liabilities under our current contracts and adversely impact the prospects for certain new ones.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our U.S. government contracts, we are required to procure certain materials, components and parts from supply sources approved by the customer and/or are restricted from procuring products or services from certain sources. For example, we require assured access to certain microelectronics. Our ability to produce and/or deliver products will be significantly impacted if the microelectronics manufacturing supply chain is cut off or significantly delayed. For some components, there has been or may be only one supplier, or one domestic supplier. If that supplier cannot meet our needs or if we are unable to procure components from certain suppliers due to regulatory restrictions, we may be unable to find a suitable alternative and to meet our obligations.</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and our suppliers are also facing increased legal requirements globally. We may be held responsible not only for our compliance, but that of our suppliers. Our procurement practices are intended to reduce the risk we procure counterfeit, unauthorized or otherwise non-compliant parts or materials. We rely on our suppliers also to comply with applicable laws, customer requirements and contract terms, to ensure the quality of their components and effectively to mitigate the risk of cyber and security threats or other disruptions to their performance.</w:t>
      </w:r>
    </w:p>
    <w:p>
      <w:pPr>
        <w:spacing w:after="0" w:line="54" w:lineRule="exact"/>
        <w:rPr>
          <w:sz w:val="20"/>
          <w:szCs w:val="20"/>
          <w:color w:val="auto"/>
        </w:rPr>
      </w:pPr>
    </w:p>
    <w:p>
      <w:pPr>
        <w:ind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a qualified workforce necessary for our business, we may be unable to maintain our competitive position, meet the needs of our customers or achieve our results, which could have a material adverse effect on our financial position, results of operations and/or cash flows.</w:t>
      </w:r>
    </w:p>
    <w:p>
      <w:pPr>
        <w:spacing w:after="0" w:line="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Our operating results and growth opportunities are heavily dependent upon our ability to attract and retain sufficient qualified personnel who are or can reasonably be cleared (and obtain program access), who have the requisite skills in multiple areas, including science, technology, engineering and math, and who share our values and are able to operate effectively consistent with our culture. Outside the U.S., it is increasingly important that we are also able to attract and retain personnel with relevant local qualifications and experience. We continue to face increased competition for talent with traditional defense companies, new entrants in our markets and commercial companies, globally, with increasing wage rates and, in some cases, greater flexibility around working conditions. Although we have realized benefits from extensive hiring and retention programs in recent years, the risk of insufficient personnel may increase, either broadly or with respect to select critical staffing requirements, including those with security clearances. If necessary qualified personnel are more scarce or more difficult to attract or retain under reasonable terms, or if we experience a high level of attrition, generally or in particular areas, or if such personnel are increasingly unable to obtain security clearances or program access on a timely basis or are unable to be timely and effectively trained, we would expect higher labor-related costs and we could face challenges performing on various of our programs and meeting financial expectations. In addition, the macroeconomic environment, including continued challenges in the global labor market, may further affect our ability to hire, develop and retain the necessary workforce, and to maintain performance levels and our corporate culture.</w:t>
      </w:r>
    </w:p>
    <w:p>
      <w:pPr>
        <w:spacing w:after="0" w:line="54"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Certain of our employees are covered by collective agreements. We generally have been able to renegotiate renewals to expiring agreements without significant disruption of operating activities. However, other companies recently have experienced challenges in renewing labor agreements. If, for example, we also experience difficulties with renewals and renegotiations of existing collective agreements, or if our employees pursue new collective representation, we could incur additional expenses and impacts on operating efficiency and may be subject to work stoppages or other labor-related disruptions. Any such expenses or delays could adversely affect our performance and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ind w:right="38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additional risks, including risks related to geopolitical and economic factors, laws and regulations, which could have a material adverse impact on our financial position, results of operations and/or cash flows.</w:t>
      </w:r>
    </w:p>
    <w:p>
      <w:pPr>
        <w:spacing w:after="0" w:line="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to customers outside the U.S. are an important component of our strategy. Our international business (including our participation in joint ventures and other forms of collaboration, requirements for local content, and our global supply chain) is subject to numerous political and economic factors, legal requirements, cross-cultural considerations and other risks associated with doing business globally. These risks differ in some respects from those associated with our U.S. business and our exposure to such risks is expected to increase if and as our international business continues to grow.</w:t>
      </w:r>
    </w:p>
    <w:p>
      <w:pPr>
        <w:spacing w:after="0" w:line="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international business is generally subject to both U.S. and foreign laws, regulations and practices. Failure by us, our employees, partners or others with whom we work to comply with applicable laws and regulations could result in administrative, civil, commercial or criminal liabilities, including suspension or debarment from government contracts or suspension of export/import privileges. Failure to comply with local practices can adversely impact our ability to win and perform business. New regulations and requirements, or changes to existing ones in countries in which we operate can significantly increase our costs and risks of doing business internationally. Our customers outside of the U.S. also often have the ability to terminate contracts for convenience as well as for default based on performance. Suspension or debarment, or termination of a contract due to default could have a material adverse effect on our reputation, our ability to compete for other contracts and our financial position, results of operations and/or cash flows. We also face risks related to the unintended or unauthorized use of our products and resources.</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Changes in laws, political leadership and environment, and/or security risks may dramatically affect our ability to conduct or continue to conduct business in international markets. Our international business is impacted by changes in U.S. and non-U.S. national policies and priorities, and geopolitical relationships, any of which may be influenced by changes in the global threat environment, political leadership, geopolitical and economic uncertainties, world events, government budgets, inflationary pressures, sanctions imposed in countries where we do business or seek to do business, and economic and political factors more generally. The U.S. and its allies and security partners continue to face a global security environment of heightened tensions and instability, threats from state and non-state actors, including major global powers, as well as terrorist organizations, emerging nuclear tensions, and diverse regional security concerns. These factors have impacted and may in the future impact demand for our products and services, the competitive position of our products and services, funding for programs, our ability to perform, our supply chain, export authorizations, purchasing decisions or customer payments. Global macroeconomic conditions, as well as fluctuations in foreign currency exchange rates and credit, are also likely to further impact our business.</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contracts with non-U.S. customers in some cases include terms and reflect legal requirements that create additional risks. Terms include requirements to hire, invest, manufacture or purchase locally, or specific financial obligations, including offset obligations, and provisions that impose significant penalties if we fail to meet such requirements. We have also been required to enter into letters of credit, performance bonds, bank guarantees or other financial arrangements in certain cases. If we are dependent on certain suppliers, as in the U.S., we face risks related to their failure to perform in accordance with legal requirements, particularly where we rely on a sole source supplier. Our ability to sell products globally could be adversely affected if we are unable to design our products on a cost effective basis or to obtain and retain all necessary export authorizations, which the U.S. government can deny, change or revoke for reasons outside our control. Our business outside of the U.S. also depends on our ability to attract and retain sufficient qualified personnel with the skills and/or security clearances in the markets in which we do business. We also partner with non-U.S. companies, including through joint ventures and other forms of collaboration, which subjects us to risks related to the ability to identify and negotiate appropriate arrangements with qualified and acceptable local partners, potential exposure for their actions, and the ability effectively to terminate these arrangements. Such risks are complicated further when we partner with government-affiliated entities.</w:t>
      </w:r>
    </w:p>
    <w:p>
      <w:pPr>
        <w:spacing w:after="0" w:line="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products and services we provide, including those provided by suppliers and joint ventures, are sometimes in countries with unstable governments, economic or fiscal challenges, military or political conflicts, different business practices and/or developing legal systems. This may increase the risk to our employees, suppliers or other third parties, including for their safety, and increase our risk to a wide range of financial consequences and other liabilities, as well as loss of property or damage to our products.</w:t>
      </w:r>
    </w:p>
    <w:p>
      <w:pPr>
        <w:spacing w:after="0" w:line="54" w:lineRule="exact"/>
        <w:rPr>
          <w:sz w:val="20"/>
          <w:szCs w:val="20"/>
          <w:color w:val="auto"/>
        </w:rPr>
      </w:pPr>
    </w:p>
    <w:p>
      <w:pPr>
        <w:ind w:right="58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significant disruptions caused by natural disasters or other events outside of our control, which could have a material adverse effect on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significant operations, including centers of excellence, located in regions that have been, and may in the future be, exposed to hurricanes, earthquakes, water levels, wildfires, windstorms, heat waves, other extreme weather conditions, acts of terrorism, power shortages and blackouts, telecommunications failures and other significant disruptions, and epidemics, pandemics, and similar outbreaks, especially of infectious diseases. We expect our facilities, operations, employees and communities in the future, particularly at facilities prone to extreme weather events, such as in Florida and California, to continue to be at risk for future natural disasters or other weather events (which may be exacerbated by climate change). Climate related changes can impact natural disasters, including weather patterns, with the increased frequency and severity of significant weather events (e.g., flooding, hurricanes and tropical storms), natural hazards (e.g., increased wildfire risk), rising mean temperature and sea levels, and long-term changes in precipitation patterns (e.g., drought, desertification, water scarcity and/or poor water quality).</w:t>
      </w:r>
    </w:p>
    <w:p>
      <w:pPr>
        <w:spacing w:after="0" w:line="7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Such natural disasters and other significant disruptions can interrupt our operations, impact our employees, and result in significant costs and adversely affect our performance. Our subcontractors and other suppliers have also been, and may in the future be, subject to natural disasters or other significant disruptions that could affect their ability to deliver or perform. Disruptions also impact the availability and cost of materials needed for manufacturing and can increase insurance and other operating costs, or result in a lack of available coverage. Although we take steps to mitigate these risks, including considering them in determining where to put new businesses, the damage and adverse effects of natural disasters and other significant disruptions, which may increase, as well as delays in recovery, may be significant.</w:t>
      </w:r>
    </w:p>
    <w:p>
      <w:pPr>
        <w:spacing w:after="0" w:line="48" w:lineRule="exact"/>
        <w:rPr>
          <w:sz w:val="20"/>
          <w:szCs w:val="20"/>
          <w:color w:val="auto"/>
        </w:rPr>
      </w:pPr>
    </w:p>
    <w:p>
      <w:pPr>
        <w:ind w:right="160" w:hanging="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in part, on our ability to innovate, develop new products and technologies, progress and benefit from digital transformation and maintain technologies, facilities and equipment to win new competitions and meet the needs of our customers. Failure to do so or meet our contractual obligations that require innovative design could adversely affect our profitability, reputation and future prospects and have a material adverse effect on our financial condition, results of operations and/or cash flows.</w:t>
      </w:r>
    </w:p>
    <w:p>
      <w:pPr>
        <w:spacing w:after="0" w:line="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design, develop and manufacture technologically advanced and innovative products and services, which are applied by our customers in a variety of environments, including highly demanding operating conditions, to accomplish challenging missions. Our success depends upon our ability to develop technologically advanced, innovative and cost-effective products and services and market these products and services to our customers globally. Our ability to develop innovative and technologically advanced products depends on the talent of our workforce, continued funding for, and investment in, research and development projects, continued access to assured suppliers of important technologies and components, our ability to compete (including with commercial companies) and our ability to provide the people, technologies, facilities, equipment and financial capacity needed to develop and deliver those products and services with maximum efficiency. To perform on our contracts and to win new business, we also depend increasingly on our ability to progress successfully on our digital transformation strategy. To meet evolving customer requirements, it is increasingly necessary to differentiate our offerings and to achieve efficiencies in our operations through digital based solutions. If we are unable to continue to develop new products and technologies in a timely fashion, and progress successfully to effect digital solutions and transformation, or if we fail to achieve market acceptance more rapidly than our competitors, we may be unable to maintain our competitive position and our future success could be materially adversely affected.</w:t>
      </w:r>
    </w:p>
    <w:p>
      <w:pPr>
        <w:spacing w:after="0" w:line="7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aim to ensure that our technical solutions are responsibly developed, tested and operated. Problems and delays in the successful development and delivery of our solutions, including as a result of issues with design, technology or operations, digital transformation, inability to achieve learning curve assumptions, artificial intelligence, manufacturing materials or components, or subcontractor (or other supplier) performance can prevent us from meeting requirements and create significant risk and liabilities. Similarly, failures to perform on schedule or otherwise to fulfill our contractual obligations can negatively impact our financial position, reputation and ability to win future business.</w:t>
      </w:r>
    </w:p>
    <w:p>
      <w:pPr>
        <w:spacing w:after="0" w:line="4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our products cannot be tested and proven in all situations and are otherwise subject to unforeseen problems that can negatively affect revenue, schedule and profitability, and result in loss of life or property. They include loss on launch or flight of spacecraft, loss of aviation platforms, premature failure of products that cannot be accessed for repair or replacement, unintended explosions, problems with design, quality and workmanship, country of origin of procured materials, inadequate supplier components and degradation of product performance. Factors that may affect revenue and profitability also include: inaccurate cost estimates, design issues, human factors, unforeseen costs and expenses, diversion of management focus, loss of follow-on work, replacement obligations, and repayment to the government customer of certain contract cost and fee payments previously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contracts, primarily involving space satellite systems, contain provisions that entitle the customer to recover payments and/or fees in the event of failure of the system or other performance challenges upon launch or subsequent deployment for less than a specified period of time. Under such terms, we are generally required to forfeit fees previously recognized and/or collected.</w:t>
      </w:r>
    </w:p>
    <w:p>
      <w:pPr>
        <w:spacing w:after="0" w:line="50" w:lineRule="exact"/>
        <w:rPr>
          <w:sz w:val="20"/>
          <w:szCs w:val="20"/>
          <w:color w:val="auto"/>
        </w:rPr>
      </w:pPr>
    </w:p>
    <w:p>
      <w:pPr>
        <w:ind w:right="20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provide products and services, including related to hazardous and high risk operations, which subjects us to various environmental, regulatory, financial, reputational and other risks, and if any of these risks were to materialize, it could have a material adverse effect on our reputation and our financial position, results of operations and/or cash flows .</w:t>
      </w:r>
    </w:p>
    <w:p>
      <w:pPr>
        <w:spacing w:after="0" w:line="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provide products and services related to hazardous and high risk operations. Among other such operations, our products and services are used in nuclear-related activities (including nuclear-powered platforms) and used in support of nuclear-related operations of third parties. In addition, certain of our products are provided with space and missile launches. We use and provide energetic materials, including in propulsion systems, which are highly explosive and flammable. We develop missile systems, and counter systems, including strategic deterrents, as well as subsystems and components. These and other activities subject us to various extraordinary risks, including those associated with (1) nuclear-related or non-nuclear launch activities and operations, including failed launches; (2) unintended release or initiation of energetic materials and explosions, whether in the development, test or use of such energetic materials; and (3) the storage, handling and disposal of radioactive and other hazardous or flammable materials and any changes in related regulations. We may be subject to potential liabilities, including for personal injury and harm to human health, property damage, environmental harm, and reputational harm arising out of such incidents or hazardous activities and operations, whether or not the cause was within our control, and insurance may not be reasonably available. Under some circumstances, the U.S. government and prime contractors may provide for certain indemnification and other protection, including pursuant to, or in connection with, Public Law 85-804, 10 U.S.C. 3861, the Price-Anderson Nuclear Industries Indemnity Act, the NASA Space Act, the Commercial Space Launch Act and the Terrorism Risk Insurance Reauthorization Act, for certain risks, but those protections may not be available or adequate.</w:t>
      </w:r>
    </w:p>
    <w:p>
      <w:pPr>
        <w:spacing w:after="0" w:line="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Certain of our products, such as medium and large caliber ammunition and propulsion systems, involve the use, manufacture and/or handling of a variety of explosive and flammable materials or other hazardous substances. These activities have resulted and may result in incidents that cause workplace injuries and fatalities, the temporary shut down or other disruption of manufacturing, production delays, environmental harm and expense, fines and liabilities to third parties. We have safety and loss prevention programs, which provide for pre-construction reviews, along with safety audits of operations involving explosive materials, to attempt to avoid or mitigate some such incidents, as well as potentially insurance coverage and indemnification to address resulting liabilities, but they may not be successful.</w:t>
      </w:r>
    </w:p>
    <w:p>
      <w:pPr>
        <w:spacing w:after="0" w:line="66"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In addition, our customers may use, handle or test our products and services in ways that can be unusually hazardous or risky, or in ways that are not intended, not authorized or inconsistent with guidance and warnings, which may create potential liabilities for our company, as well as reputational harm.</w:t>
      </w:r>
    </w:p>
    <w:p>
      <w:pPr>
        <w:spacing w:after="0" w:line="1" w:lineRule="exact"/>
        <w:rPr>
          <w:sz w:val="20"/>
          <w:szCs w:val="20"/>
          <w:color w:val="auto"/>
        </w:rPr>
      </w:pPr>
    </w:p>
    <w:p>
      <w:pPr>
        <w:jc w:val="both"/>
        <w:ind w:right="12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and fully exploit our intellectual property rights or obtain necessary rights to intellectual property of others, which could materially and adversely affect our ability to compete and perform on contracts, and have a material adverse effect on our reputation and our financial position, results of operations and/or cash flows.</w:t>
      </w:r>
    </w:p>
    <w:p>
      <w:pPr>
        <w:spacing w:after="0" w:line="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 perform on our contracts and to win new business, we depend on our ability to develop, protect and exploit our intellectual property and use the intellectual property of others. Increasing demands from our customers to access and obtain rights in our intellectual property, and positions taken by our suppliers and competitors challenge our ability to protect and exploit intellectual property.</w:t>
      </w:r>
    </w:p>
    <w:p>
      <w:pPr>
        <w:spacing w:after="0" w:line="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own many forms of intellectual property, including trade secrets, U.S. and foreign patents, trademarks, and copyrights, and we license or otherwise obtain access to various intellectual property rights of third parties. The U.S. government and certain foreign governments hold licenses or other rights to certain intellectual property that we develop in performance of government contracts, and at times seek to use or authorize others to use such intellectual property, including in competition with us. Governments continue to increase efforts to obtain more extensive rights in contractors’ intellectual property, including where we do not believe they are entitled to do so under current law. This could reduce our ability to develop, protect and exploit certain of our intellectual property rights and to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products and services embody valuable trade secrets, proprietary information and know-how. We typically seek to protect this information by entering into confidentiality and intellectual property agreements with our employees and third parties such as consultants, collaborators and suppliers. These agreements and other measures may not provide adequate protection for our trade secrets and other proprietary information. In the event of misuse, theft or misappropriation of such intellectual property rights or breach of confidentiality obligations, we may not have adequate legal remedies. In addition, our trade secrets or other proprietary information may otherwise become known or be independently developed by competitors.</w:t>
      </w:r>
    </w:p>
    <w:p>
      <w:pPr>
        <w:spacing w:after="0" w:line="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some instances, our ability to win or perform contracts requires us to use third party intellectual property. This may require the government or our customer to provide rights to such third party intellectual property or for us to negotiate directly with third parties to obtain necessary rights on reasonable terms,which may not be practicable.</w:t>
      </w:r>
    </w:p>
    <w:p>
      <w:pPr>
        <w:spacing w:after="0" w:line="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intellectual property is subject to challenge, invalidation, or circumvention by third parties. Our access to and use of intellectual property licensed or otherwise obtained from third parties is also subject to challenges. Litigation to determine the scope of intellectual property rights, even if ultimately successful, has been and could in the future be costly. Moreover, the legal framework concerning intellectual property rights varies among countries and the protections under foreign laws and courts may not be favorable.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Other Risk Factors</w:t>
      </w:r>
    </w:p>
    <w:p>
      <w:pPr>
        <w:spacing w:after="0" w:line="104" w:lineRule="exact"/>
        <w:rPr>
          <w:sz w:val="20"/>
          <w:szCs w:val="20"/>
          <w:color w:val="auto"/>
        </w:rPr>
      </w:pPr>
    </w:p>
    <w:p>
      <w:pPr>
        <w:ind w:right="2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customer indemnifications or other liability protections may be unavailable or inadequate to cover our significant risks, which could have a material adverse effect on our financial position, results of operations and/or cash flows.</w:t>
      </w:r>
    </w:p>
    <w:p>
      <w:pPr>
        <w:spacing w:after="0" w:line="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endeavor to obtain insurance from financially stable, responsible, highly rated counterparties in established markets to cover significant risks and liabilities (including, for example, natural disasters, space launches and on-orbit operations, cyber security, hazardous operations, energetics and products liability). Not every risk or liability can be insured, and insurance coverage is not always reasonably available. The policy limits and terms of coverage reasonably obtainable may not be sufficient to cover actual losses or liabilities. For example, the space insurance markets are experiencing increased price volatility and capacity constraint. Due to recent increases in the frequency and severity of losses, insurers are decreasing limits, increasing pricing and some have exited the market. Even if insurance coverage is available, we are not always able to obtain it at a price or on terms acceptable to us or without increasing exclusions. Disputes with insurance carriers over the availability of coverage, and the insolvency of one or more of our insurers has affected and may continue to affect the availability or timing of recovery, as well as our ability to obtain insurance coverage at reasonable rates in the future. In some circumstances we may be entitled to certain legal protections or indemnifications from our customers through contractual provisions, laws or otherwise. However, these protections are not always available, are difficult to negotiate and obtain, are typically subject to certain terms or limitations, including the availability of funds, and may not be sufficient to cover our losses or liabilities.</w:t>
      </w:r>
    </w:p>
    <w:p>
      <w:pPr>
        <w:spacing w:after="0" w:line="66" w:lineRule="exact"/>
        <w:rPr>
          <w:sz w:val="20"/>
          <w:szCs w:val="20"/>
          <w:color w:val="auto"/>
        </w:rPr>
      </w:pPr>
    </w:p>
    <w:p>
      <w:pPr>
        <w:ind w:right="42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benefit (OPB) obligations and related expenses and funding requirements may fluctuate significantly depending upon investment performance of plan assets, changes in actuarial assumptions, and legislative or other regulatory actions.</w:t>
      </w:r>
    </w:p>
    <w:p>
      <w:pPr>
        <w:spacing w:after="0" w:line="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pension and OPB obligations and related expenses are dependent upon the investment performance of plan assets and various assumptions, including discount and interest rates, mortality and the estimated long-term rates of return on plan assets. Changes in assumptions associated with our pension and OPB plans, investment performance of plan assets, and gains or losses associated with changes in valuation of marketable securities related to our non-qualified plans and other non-operating assets could have a material adverse effect on our financial position, results of operations and/or cash flows.</w:t>
      </w:r>
    </w:p>
    <w:p>
      <w:pPr>
        <w:spacing w:after="0" w:line="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Funding requirements for our pension plans, including Pension Benefit Guaranty Corporation premiums, are subject to legislative and other government regulatory actions. In accordance with government regulations, pension plan cost recoveries under our U.S. government contracts may occur in different periods from when they are recognized for financial statement purposes or when pension funding is made. These timing differences, as well as government challenges to pension and OPB cost recovery, could have a material adverse effect on our financial position, results of operations and/or cash flows.</w:t>
      </w:r>
    </w:p>
    <w:p>
      <w:pPr>
        <w:spacing w:after="0" w:line="54" w:lineRule="exact"/>
        <w:rPr>
          <w:sz w:val="20"/>
          <w:szCs w:val="20"/>
          <w:color w:val="auto"/>
        </w:rPr>
      </w:pPr>
    </w:p>
    <w:p>
      <w:pPr>
        <w:ind w:right="28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investments and/or recorded goodwill and other long-lived assets may become impaired, which could have a material adverse effect on our financial condition and/or results of operations.</w:t>
      </w:r>
    </w:p>
    <w:p>
      <w:pPr>
        <w:spacing w:after="0" w:line="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Goodwill is an intangible asset that we recognize in connection with acquisitions of third-party businesses. Goodwill accounts for approximately 35 percent of our total assets as of December 31, 2024. Other long-lived assets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principally comprise property, plant and equipment (PP&amp;E) used in operating our business. The cost of PP&amp;E utilized in support of our commercial business, including approximately $575 million of PP&amp;E in our commercial space business, is not allocable to government contracts and is therefore subject to greater recoverability risk than PP&amp;E utilized in support of our U.S. government contracts. Although the fair value of our reporting units and the net realizable value of our other long-lived assets currently exceed their respective carrying values, changes in business conditions, the market-based inputs used in our goodwill impairment test, or our assumptions related to the recoverability of our long-lived assets, could result in significant write-offs of goodwill or other long-lived assets.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9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systems and data and have a holistic process for overseeing and managing cybersecurity and related risks. This process is supported by both management and our Board of Directors.</w:t>
      </w:r>
    </w:p>
    <w:p>
      <w:pPr>
        <w:spacing w:after="0" w:line="4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2024, our global cybersecurity function was maintained in our Chief Information Office, led by our Chief Information Officer (CIO), who reported to our CEO. In 2025, we have brought together our chief information and digital transformation offices into a newly formed Chief Information and Digital Office, led by our Chief Information and Digital Officer (CIDO), who reports to the CEO. The Chief Information Security Officer (CISO), who previously reported to the CIO, now reports to the CIDO and continues to lead our cybersecurity functions. The CISO is responsible for the assessment and management of cybersecurity risk and the resiliency, protection and defense of our networks and systems. The CISO leads a team of cybersecurity professionals with broad experience and expertise, including in cybersecurity threat assessments and detection, mitigation technologies, cybersecurity training, incident response, cyber forensics, data protection, privacy, insider threats and regulatory compliance. The current CISO is an executive with extensive technical and operational experience in building and leading cybersecurity and resiliency teams in the industry and government.</w:t>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overseeing our enterprise risk management activities in general, and each of our Board committees assists the Board in the role of risk oversight. The full Board receives an update on the company’s risk management process and the risk trends related to cybersecurity at least annually. The Audit and Risk Committee specifically assists the Board in its oversight of risks related to cybersecurity. To help ensure effective oversight, the CISO briefs the Audit and Risk Committee on the company’s information security and cybersecurity risk posture at least four times a year.</w:t>
      </w:r>
    </w:p>
    <w:p>
      <w:pPr>
        <w:spacing w:after="0" w:line="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company’s Enterprise Risk Management Council (ERMC) considers risks relating to cybersecurity, among other significant risks, and applicable mitigation plans to address such risks. The ERMC is comprised of the Executive Leadership Team, as well as the Chief Accounting Officer, Chief Ethics and Compliance Officer, Corporate Secretary, Chief Sustainability Officer, Treasurer and Vice President, Internal Audit. The CISO and the CIDO (previously the CIO) attend each ERMC meeting. The ERMC meets during the year and receives periodic updates from the CIDO and CISO on cybersecurity risks. We have an established process governing our response to a cybersecurity incident from detection to mitigation, recovery, assessment, internal and external notifications and functional stakeholder engagements with legal, privacy and risk management, among others. Depending on the nature and severity of an incident, this process provides for escalating notification to our CEO and the Board (including our Lead Independent Director and the Audit and Risk Committee chair), as appropriate.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approach to cybersecurity risk management includes the following key elements:</w:t>
      </w:r>
    </w:p>
    <w:p>
      <w:pPr>
        <w:spacing w:after="0" w:line="102" w:lineRule="exact"/>
        <w:rPr>
          <w:sz w:val="20"/>
          <w:szCs w:val="20"/>
          <w:color w:val="auto"/>
        </w:rPr>
      </w:pPr>
    </w:p>
    <w:p>
      <w:pPr>
        <w:ind w:left="660" w:right="120" w:hanging="328"/>
        <w:spacing w:after="0" w:line="25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Multi-Layered Defense and Continuous Monitoring </w:t>
      </w:r>
      <w:r>
        <w:rPr>
          <w:rFonts w:ascii="Times New Roman" w:cs="Times New Roman" w:eastAsia="Times New Roman" w:hAnsi="Times New Roman"/>
          <w:sz w:val="18"/>
          <w:szCs w:val="18"/>
          <w:color w:val="auto"/>
        </w:rPr>
        <w:t>– We work to protect our computing environments and products from cybersecurity threats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multi-layered defenses and apply lessons learned from our defense and monitoring efforts to help prevent future attacks. We utilize data analytics to detect anomalies and search for cyber threats. Our Cybersecurity Operations Center provides comprehensive cyber threat detection and response capabilities and maintains a 24x7 monitoring system which complements the technology, processes and threat detection techniques we use to monitor, manage and mitigate cybersecurity threats or vulnerabilities. From time to time, we engage third-party consultants or other advisors to assist in assessing, identifying and/or managing cybersecurity threats. We also periodically use our Internal Audit function to conduct additional reviews and assessments.</w:t>
      </w:r>
    </w:p>
    <w:p>
      <w:pPr>
        <w:spacing w:after="0" w:line="4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Insider Threats </w:t>
      </w:r>
      <w:r>
        <w:rPr>
          <w:rFonts w:ascii="Times New Roman" w:cs="Times New Roman" w:eastAsia="Times New Roman" w:hAnsi="Times New Roman"/>
          <w:sz w:val="18"/>
          <w:szCs w:val="18"/>
          <w:color w:val="auto"/>
        </w:rPr>
        <w:t>– We maintain an insider threat program, led by our Vice President, Corporate and Enterprise Security, designed to identify, assess,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address potential risks from within our company. Our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program evaluates potential risks consistent with industry practices, customer requirements and applicable law, including privacy and other considerations.</w:t>
      </w:r>
    </w:p>
    <w:p>
      <w:pPr>
        <w:spacing w:after="0" w:line="38" w:lineRule="exact"/>
        <w:rPr>
          <w:sz w:val="20"/>
          <w:szCs w:val="20"/>
          <w:color w:val="auto"/>
        </w:rPr>
      </w:pPr>
    </w:p>
    <w:p>
      <w:pPr>
        <w:ind w:left="660" w:right="14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Sharing and Collaboration </w:t>
      </w:r>
      <w:r>
        <w:rPr>
          <w:rFonts w:ascii="Times New Roman" w:cs="Times New Roman" w:eastAsia="Times New Roman" w:hAnsi="Times New Roman"/>
          <w:sz w:val="18"/>
          <w:szCs w:val="18"/>
          <w:color w:val="auto"/>
        </w:rPr>
        <w:t>– We work with government, customer, industry and/or supplier partners, such as the National Defense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Sharing and Analysis Center and other government-industry partnerships, to gather and develop best practices and share information to address cyber threats. These relationships enable the rapid sharing of threat and vulnerability mitigation information across the defense industrial base and supply chain.</w:t>
      </w:r>
    </w:p>
    <w:p>
      <w:pPr>
        <w:spacing w:after="0" w:line="44"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Risk Management </w:t>
      </w:r>
      <w:r>
        <w:rPr>
          <w:rFonts w:ascii="Times New Roman" w:cs="Times New Roman" w:eastAsia="Times New Roman" w:hAnsi="Times New Roman"/>
          <w:sz w:val="18"/>
          <w:szCs w:val="18"/>
          <w:color w:val="auto"/>
        </w:rPr>
        <w:t>– We conduct cybersecurity assessments before sharing or allowing the hosting or processing of sensitive data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computing environments managed by third parties, and our standard terms and conditions contain contractual provisions requiring certain cybersecurity and data protections and controls. Finally, we require these third parties to notify us promptly of cyber incidents or data breaches so that we can assess potential impact on us.</w:t>
      </w:r>
    </w:p>
    <w:p>
      <w:pPr>
        <w:spacing w:after="0" w:line="58"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and Awareness </w:t>
      </w:r>
      <w:r>
        <w:rPr>
          <w:rFonts w:ascii="Times New Roman" w:cs="Times New Roman" w:eastAsia="Times New Roman" w:hAnsi="Times New Roman"/>
          <w:sz w:val="18"/>
          <w:szCs w:val="18"/>
          <w:color w:val="auto"/>
        </w:rPr>
        <w:t>– We provide annual cybersecurity and information security awareness training to our employees with network access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 identify, avoid and mitigate cybersecurity threats and insider risks. This training also includes awareness about the policies and guidance associated with data privacy and protection of personal information, and protection and security of our company, customer and other third-party data. Our employees with network access also participate in annual spear phishing exercises. We also periodically host cybersecurity and ransomware tabletop exercises with management and other company functional stakeholders to practice rapid cyber incident response.</w:t>
      </w:r>
    </w:p>
    <w:p>
      <w:pPr>
        <w:spacing w:after="0" w:line="6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Supplier Engagement </w:t>
      </w:r>
      <w:r>
        <w:rPr>
          <w:rFonts w:ascii="Times New Roman" w:cs="Times New Roman" w:eastAsia="Times New Roman" w:hAnsi="Times New Roman"/>
          <w:sz w:val="18"/>
          <w:szCs w:val="18"/>
          <w:color w:val="auto"/>
        </w:rPr>
        <w:t>– We provide training and other resources to our suppliers to support cybersecurity resiliency and data security principles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supply chain. We also require our suppliers, subcontractors and third-party service providers to comply with our standard cybersecurity-related terms and conditions, in addition to any requirements from our customers, as a condition of doing business with us, and require them to complete information security questionnaires to review and assess any potential cyber-related risks depending on the nature of the services or products being provided.</w:t>
      </w:r>
    </w:p>
    <w:p>
      <w:pPr>
        <w:spacing w:after="0" w:line="48" w:lineRule="exact"/>
        <w:rPr>
          <w:rFonts w:ascii="Times New Roman" w:cs="Times New Roman" w:eastAsia="Times New Roman" w:hAnsi="Times New Roman"/>
          <w:sz w:val="18"/>
          <w:szCs w:val="18"/>
          <w:color w:val="auto"/>
        </w:rPr>
      </w:pPr>
    </w:p>
    <w:p>
      <w:pPr>
        <w:ind w:left="660" w:hanging="328"/>
        <w:spacing w:after="0" w:line="275"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Third Party Cybersecurity Service Providers </w:t>
      </w:r>
      <w:r>
        <w:rPr>
          <w:rFonts w:ascii="Times New Roman" w:cs="Times New Roman" w:eastAsia="Times New Roman" w:hAnsi="Times New Roman"/>
          <w:sz w:val="17"/>
          <w:szCs w:val="17"/>
          <w:color w:val="auto"/>
        </w:rPr>
        <w:t>– We engage third party service providers to expand the capabilities and capacity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cybersecurity program, including for design, monitoring and testing of the program’s risk prevention and protection measures and process execution, including incident detection, investigation, analysis and response, eradication and recovery. Additionally, several external entities evaluate our cybersecurity program, including the U.S. Defense Contract Management Agency, the Defense Industrial Base Cybersecurity Assessment Center and a Cybersecurity Maturity Model Certification Third Party Assessment Organization, to assess and certify our cybersecurity regulatory compliance. We also engage with external auditors and consultants who conduct audits and assessments of our cybersecurity controls.</w:t>
      </w:r>
    </w:p>
    <w:p>
      <w:pPr>
        <w:spacing w:after="0" w:line="46" w:lineRule="exact"/>
        <w:rPr>
          <w:rFonts w:ascii="Times New Roman" w:cs="Times New Roman" w:eastAsia="Times New Roman" w:hAnsi="Times New Roman"/>
          <w:sz w:val="17"/>
          <w:szCs w:val="17"/>
          <w:color w:val="auto"/>
        </w:rPr>
      </w:pPr>
    </w:p>
    <w:p>
      <w:pPr>
        <w:ind w:left="660" w:right="640" w:hanging="328"/>
        <w:spacing w:after="0" w:line="28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Security </w:t>
      </w:r>
      <w:r>
        <w:rPr>
          <w:rFonts w:ascii="Times New Roman" w:cs="Times New Roman" w:eastAsia="Times New Roman" w:hAnsi="Times New Roman"/>
          <w:sz w:val="18"/>
          <w:szCs w:val="18"/>
          <w:color w:val="auto"/>
        </w:rPr>
        <w:t>– We provide cyber threat intelligence to, and collaboration with, our product security teams and share expertise in cyber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vulnerability, exploit and resilience technology that can be applied to network infrastructure and company product offerings.</w:t>
      </w:r>
    </w:p>
    <w:p>
      <w:pPr>
        <w:spacing w:after="0" w:line="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While we have experienced cybersecurity incidents in the past, to date none have materially affected the company or our financial position, results of operations and/or cash flows. We continue to invest in the cybersecurity and resiliency of our networks and products and to enhance our internal controls and processes, which are designed to help protect our programs, systems and infrastructure, and the information they contain. For more information regarding the risks we face from cybersecurity threats, please see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Annual Report on Form 10-K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“Risk Factors” and other important factors disclosed in this report and from time to time in our other filings with the SEC. They include: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Economic Risks</w:t>
      </w:r>
    </w:p>
    <w:p>
      <w:pPr>
        <w:spacing w:after="0" w:line="90"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103" w:lineRule="exact"/>
        <w:rPr>
          <w:rFonts w:ascii="Times New Roman" w:cs="Times New Roman" w:eastAsia="Times New Roman" w:hAnsi="Times New Roman"/>
          <w:sz w:val="18"/>
          <w:szCs w:val="18"/>
          <w:color w:val="auto"/>
        </w:rPr>
      </w:pPr>
    </w:p>
    <w:p>
      <w:pPr>
        <w:ind w:left="340" w:right="20" w:hanging="332"/>
        <w:spacing w:after="0" w:line="312" w:lineRule="auto"/>
        <w:tabs>
          <w:tab w:leader="none" w:pos="3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spacing w:after="0" w:line="18"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payments as a result of or related to a breach of the debt ceiling</w:t>
      </w:r>
    </w:p>
    <w:p>
      <w:pPr>
        <w:spacing w:after="0" w:line="90"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and/or other macroeconomic factors, and risks related to management’s judgments and assumptions in estimating and/or projecting contract revenue and performance which may be inaccurate</w:t>
      </w:r>
    </w:p>
    <w:p>
      <w:pPr>
        <w:spacing w:after="0" w:line="5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pressures from macroeconomic trends, including on costs, schedules, performance and ability to meet expectations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Risks</w:t>
      </w:r>
    </w:p>
    <w:p>
      <w:pPr>
        <w:spacing w:after="0" w:line="104"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(including criminal, civil and administrative) and/or other legal proceedings</w:t>
      </w:r>
    </w:p>
    <w:p>
      <w:pPr>
        <w:spacing w:after="0" w:line="103"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SEC, DoD and other rules and regulations, contract terms and practices applicable to our industry, findings by the U.S. government as to our compliance with such requirements, more aggressive enforcement of such requirements and changes in our customers’ business practices globally</w:t>
      </w:r>
    </w:p>
    <w:p>
      <w:pPr>
        <w:spacing w:after="0" w:line="4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including the impact on our reputation and our ability to do business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climate change, unforeseen environmental costs and government and third-party claims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Operational Risks</w:t>
      </w:r>
    </w:p>
    <w:p>
      <w:pPr>
        <w:spacing w:after="0" w:line="10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 and changes in related regulations</w:t>
      </w:r>
    </w:p>
    <w:p>
      <w:pPr>
        <w:spacing w:after="0" w:line="144" w:lineRule="exact"/>
        <w:rPr>
          <w:rFonts w:ascii="Times New Roman" w:cs="Times New Roman" w:eastAsia="Times New Roman" w:hAnsi="Times New Roman"/>
          <w:sz w:val="18"/>
          <w:szCs w:val="18"/>
          <w:color w:val="auto"/>
        </w:rPr>
      </w:pPr>
    </w:p>
    <w:p>
      <w:pPr>
        <w:ind w:left="340" w:right="140" w:hanging="332"/>
        <w:spacing w:after="0" w:line="239" w:lineRule="auto"/>
        <w:tabs>
          <w:tab w:leader="none" w:pos="33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the performance and viability of our subcontractors and suppliers and the availability and pricing of raw materials, chemicals, parts and components, particularly with inflationary pressures, increased costs, shortages in labor and financial resources, supply chain disruptions, and extended material lead times</w:t>
      </w:r>
    </w:p>
    <w:p>
      <w:pPr>
        <w:spacing w:after="0" w:line="64" w:lineRule="exact"/>
        <w:rPr>
          <w:rFonts w:ascii="Arial" w:cs="Arial" w:eastAsia="Arial" w:hAnsi="Arial"/>
          <w:sz w:val="22"/>
          <w:szCs w:val="22"/>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and talented workforce with the necessary security clearances to meet our performance obligations</w:t>
      </w:r>
    </w:p>
    <w:p>
      <w:pPr>
        <w:spacing w:after="0" w:line="103"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global security, geopolitical and economic factors, misconduct, suppliers, laws and regulations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epidemics, pandemics and similar outbreaks and other significant disruptions</w:t>
      </w:r>
    </w:p>
    <w:p>
      <w:pPr>
        <w:spacing w:after="0" w:line="90"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develop new products and technologies, progress and benefit from digital transformation and maintain technologies to meet the needs of our customers</w:t>
      </w:r>
    </w:p>
    <w:p>
      <w:pPr>
        <w:spacing w:after="0" w:line="4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protect and exploit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Other Risk Factors</w:t>
      </w:r>
    </w:p>
    <w:p>
      <w:pPr>
        <w:spacing w:after="0" w:line="104"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and ability to obtain, insurance coverage, customer indemnifications or other liability protections</w:t>
      </w:r>
    </w:p>
    <w:p>
      <w:pPr>
        <w:spacing w:after="0" w:line="90" w:lineRule="exact"/>
        <w:rPr>
          <w:rFonts w:ascii="Times New Roman" w:cs="Times New Roman" w:eastAsia="Times New Roman" w:hAnsi="Times New Roman"/>
          <w:sz w:val="18"/>
          <w:szCs w:val="18"/>
          <w:color w:val="auto"/>
        </w:rPr>
      </w:pPr>
    </w:p>
    <w:p>
      <w:pPr>
        <w:ind w:left="340" w:righ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54"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 and other potential future liabilities</w:t>
      </w:r>
    </w:p>
    <w:p>
      <w:pPr>
        <w:spacing w:after="0" w:line="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9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At December 31, 2024, we had approximately 52 million square feet of floor space at 466 separate locations, primarily in the U.S., for manufacturing, warehousing, research and testing, administration and various other uses. We leased to third parties approximately 37,000 square feet of our owned and leased facilities. The company’s major operations are at the following locations: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El Segundo, Mojave, Palmdale, and San Diego, CA; Melbourne and St. Augustine, FL; Iuka and Moss Point, MS; Beavercreek, OH; Oklahoma City, OK; and Clearfield, UT.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Systems</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Huntsville and Madison, AL; Mesa and Sierra Vista, AZ; Northridge, CA; Warner Robins, GA; Lake Charles, LA; Elkton, MD; Elk River and Plymouth, MN; Ogden and Roy, UT; Dulles, McLean and Radford, VA; and Keyser, WV. Locations outside the U.S. include Australia.</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31"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McClellan, San Diego, Sunnyvale and Woodland Hills, CA; Apopka, FL; Rolling Meadows, IL; Annapolis, Annapolis Junction, Elkridge, Halethorpe, Linthicum and Sykesville, MD; Bethpage and Williamsville, NY; Cincinnati, OH; Salt Lake City, UT; and Chantilly, Charlottesville and Fairfax, VA. Locations outside the U.S. include France, Germany, Italy and the United Kingdom.</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Huntsville, AL; Chandler and Gilbert, AZ; Azusa, Carson, Los Angeles, Manhattan Beach, Oxnard, Redondo Beach and San Diego, CA; Aurora, Boulder, and Colorado Springs, CO; Beltsville, MD; Devens, MA; Clearfield, Corinne, Magna, Salt Lake City and Tremonton, UT; and Dulles, McLean and Sterling, VA.</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our floor space at December 31, 2024:</w:t>
            </w: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Square feet (in thousands)</w:t>
            </w: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U.S. Government</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Owned</w:t>
            </w: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Leased</w:t>
            </w:r>
          </w:p>
        </w:tc>
        <w:tc>
          <w:tcPr>
            <w:tcW w:w="2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Owned/Leased</w:t>
            </w: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3,141</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6,305</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3,451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921</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4,857</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2,285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8,055</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4,110</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12,165</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10,640</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7,150</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589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372</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268</w:t>
            </w:r>
          </w:p>
        </w:tc>
        <w:tc>
          <w:tcPr>
            <w:tcW w:w="2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23,129</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22,690</w:t>
            </w:r>
          </w:p>
        </w:tc>
        <w:tc>
          <w:tcPr>
            <w:tcW w:w="2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6,325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maintain our properties in good operating condition and believe the productive capacity of our properties is adequate to meet current contractual requirements and those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10 and 11 to the consolidated financial statements.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10 and 11 to the consolidated financial statements, and for further information on the risks we face from existing and future investigations, lawsuits, arbitration, claims, enforcement actions and other legal proceedings, please see “Risk Factors.”</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information is required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800,000,000 shares authorized at a $1 par value per share, of which 144,952,026 shares and 150,109,271 shares were issued and outstanding as of December 31, 2024 and 2023,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10,000,000 shares authorized at a $1 par value per share, of which no shares were issued and outstanding as of December 31, 2024 and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and trades under the symbol NOC.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27, 2025, there were 17,776 common shareholders of record.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5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560" w:type="dxa"/>
            <w:vAlign w:val="bottom"/>
          </w:tcPr>
          <w:p>
            <w:pPr>
              <w:jc w:val="center"/>
              <w:ind w:left="3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192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4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1560" w:type="dxa"/>
            <w:vAlign w:val="bottom"/>
          </w:tcPr>
          <w:p>
            <w:pPr>
              <w:jc w:val="center"/>
              <w:ind w:left="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under the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20" w:type="dxa"/>
            <w:vAlign w:val="bottom"/>
          </w:tcPr>
          <w:p>
            <w:pPr>
              <w:jc w:val="center"/>
              <w:ind w:left="310"/>
              <w:spacing w:after="0" w:line="176"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60" w:type="dxa"/>
            <w:vAlign w:val="bottom"/>
          </w:tcPr>
          <w:p>
            <w:pPr>
              <w:spacing w:after="0"/>
              <w:rPr>
                <w:sz w:val="15"/>
                <w:szCs w:val="15"/>
                <w:color w:val="auto"/>
              </w:rPr>
            </w:pPr>
          </w:p>
        </w:tc>
        <w:tc>
          <w:tcPr>
            <w:tcW w:w="118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70"/>
              <w:spacing w:after="0" w:line="230" w:lineRule="exact"/>
              <w:rPr>
                <w:sz w:val="20"/>
                <w:szCs w:val="20"/>
                <w:color w:val="auto"/>
              </w:rPr>
            </w:pPr>
            <w:r>
              <w:rPr>
                <w:rFonts w:ascii="Times New Roman" w:cs="Times New Roman" w:eastAsia="Times New Roman" w:hAnsi="Times New Roman"/>
                <w:sz w:val="18"/>
                <w:szCs w:val="18"/>
                <w:b w:val="1"/>
                <w:bCs w:val="1"/>
                <w:color w:val="auto"/>
                <w:w w:val="92"/>
              </w:rPr>
              <w:t>Share</w:t>
            </w:r>
            <w:r>
              <w:rPr>
                <w:rFonts w:ascii="Times New Roman" w:cs="Times New Roman" w:eastAsia="Times New Roman" w:hAnsi="Times New Roman"/>
                <w:sz w:val="23"/>
                <w:szCs w:val="23"/>
                <w:b w:val="1"/>
                <w:bCs w:val="1"/>
                <w:color w:val="auto"/>
                <w:w w:val="92"/>
                <w:vertAlign w:val="superscript"/>
              </w:rPr>
              <w:t>(1)</w:t>
            </w: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040" w:type="dxa"/>
            <w:vAlign w:val="bottom"/>
            <w:tcBorders>
              <w:bottom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6"/>
              </w:rPr>
              <w:t>($ in millions)</w:t>
            </w:r>
            <w:r>
              <w:rPr>
                <w:rFonts w:ascii="Times New Roman" w:cs="Times New Roman" w:eastAsia="Times New Roman" w:hAnsi="Times New Roman"/>
                <w:sz w:val="23"/>
                <w:szCs w:val="23"/>
                <w:b w:val="1"/>
                <w:bCs w:val="1"/>
                <w:color w:val="auto"/>
                <w:w w:val="96"/>
                <w:vertAlign w:val="superscript"/>
              </w:rPr>
              <w:t>(2)</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28, 2024 - October 25, 2024</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150,761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530.15</w:t>
            </w:r>
          </w:p>
        </w:tc>
        <w:tc>
          <w:tcPr>
            <w:tcW w:w="1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150,761</w:t>
            </w:r>
          </w:p>
        </w:tc>
        <w:tc>
          <w:tcPr>
            <w:tcW w:w="1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1,483</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26, 2024 - November 22, 2024</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335,909</w:t>
            </w:r>
          </w:p>
        </w:tc>
        <w:tc>
          <w:tcPr>
            <w:tcW w:w="26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506.90</w:t>
            </w: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335,909</w:t>
            </w:r>
          </w:p>
        </w:tc>
        <w:tc>
          <w:tcPr>
            <w:tcW w:w="1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1,313</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23, 2024 - December 31, 2024</w:t>
            </w: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376,550</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478.58</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376,550</w:t>
            </w:r>
          </w:p>
        </w:tc>
        <w:tc>
          <w:tcPr>
            <w:tcW w:w="15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4,133</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863,220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498.61</w:t>
            </w: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863,220</w:t>
            </w:r>
          </w:p>
        </w:tc>
        <w:tc>
          <w:tcPr>
            <w:tcW w:w="15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4,133</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commissions paid and other costs of execution, including taxes.</w:t>
      </w:r>
    </w:p>
    <w:p>
      <w:pPr>
        <w:spacing w:after="0" w:line="73" w:lineRule="exact"/>
        <w:rPr>
          <w:rFonts w:ascii="Times New Roman" w:cs="Times New Roman" w:eastAsia="Times New Roman" w:hAnsi="Times New Roman"/>
          <w:sz w:val="19"/>
          <w:szCs w:val="19"/>
          <w:color w:val="auto"/>
          <w:vertAlign w:val="superscript"/>
        </w:rPr>
      </w:pPr>
    </w:p>
    <w:p>
      <w:pPr>
        <w:ind w:left="180" w:hanging="172"/>
        <w:spacing w:after="0"/>
        <w:tabs>
          <w:tab w:leader="none" w:pos="168"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value remaining on December 31, 2024 includes an additional $3.0 billion share repurchase authorization approved by the company’s board of directors on December 11, 2024.</w:t>
      </w:r>
    </w:p>
    <w:p>
      <w:pPr>
        <w:spacing w:after="0" w:line="23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Comparison of Cumulative Five Year Total Return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Among Northrop Grumman, the Standard &amp; Poor’s (S&amp;P) 500 Index and the S&amp;P Aerospace &amp; Defense (A&amp;D)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5715</wp:posOffset>
            </wp:positionV>
            <wp:extent cx="4808855" cy="411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0885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right="60" w:hanging="249"/>
        <w:spacing w:after="0" w:line="242" w:lineRule="auto"/>
        <w:tabs>
          <w:tab w:leader="none" w:pos="4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Assumes $100 invested at the close of business on December 31, 2019, in Northrop Grumman Corporation common stock, the S&amp;P 500 Index and the S&amp;P A&amp;D Index.</w:t>
      </w:r>
    </w:p>
    <w:p>
      <w:pPr>
        <w:spacing w:after="0" w:line="3" w:lineRule="exact"/>
        <w:rPr>
          <w:rFonts w:ascii="Times New Roman" w:cs="Times New Roman" w:eastAsia="Times New Roman" w:hAnsi="Times New Roman"/>
          <w:sz w:val="22"/>
          <w:szCs w:val="22"/>
          <w:color w:val="auto"/>
        </w:rPr>
      </w:pPr>
    </w:p>
    <w:p>
      <w:pPr>
        <w:ind w:left="480" w:hanging="229"/>
        <w:spacing w:after="0"/>
        <w:tabs>
          <w:tab w:leader="none" w:pos="4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cumulative total return assumes reinvestment of dividends.</w:t>
      </w:r>
    </w:p>
    <w:p>
      <w:pPr>
        <w:spacing w:after="0" w:line="22" w:lineRule="exact"/>
        <w:rPr>
          <w:rFonts w:ascii="Times New Roman" w:cs="Times New Roman" w:eastAsia="Times New Roman" w:hAnsi="Times New Roman"/>
          <w:sz w:val="22"/>
          <w:szCs w:val="22"/>
          <w:color w:val="auto"/>
        </w:rPr>
      </w:pPr>
    </w:p>
    <w:p>
      <w:pPr>
        <w:ind w:left="500" w:right="260" w:hanging="249"/>
        <w:spacing w:after="0" w:line="239" w:lineRule="auto"/>
        <w:tabs>
          <w:tab w:leader="none" w:pos="4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S&amp;P A&amp;D Index is comprised of Axon Enterprise, Inc., The Boeing Company, General Dynamics Corporation, General Electric Company, Howmet Aerospace Inc., Huntington Ingalls Industries Inc., L3Harris Technologies, Inc., Lockheed Martin Corporation, Northrop Grumman Corporation, RTX Corporation, Textron Inc., and TransDigm Group Incorporated.</w:t>
      </w:r>
    </w:p>
    <w:p>
      <w:pPr>
        <w:spacing w:after="0" w:line="24" w:lineRule="exact"/>
        <w:rPr>
          <w:rFonts w:ascii="Times New Roman" w:cs="Times New Roman" w:eastAsia="Times New Roman" w:hAnsi="Times New Roman"/>
          <w:sz w:val="22"/>
          <w:szCs w:val="22"/>
          <w:color w:val="auto"/>
        </w:rPr>
      </w:pPr>
    </w:p>
    <w:p>
      <w:pPr>
        <w:ind w:left="500" w:hanging="249"/>
        <w:spacing w:after="0" w:line="239" w:lineRule="auto"/>
        <w:tabs>
          <w:tab w:leader="none" w:pos="4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This graph is not deemed to be “filed” with the SEC or subject to the liabilities of Section 18 of the Securities Exchange Act of 1934 (the Exchange Act), and should not be deemed to be incorporated by reference into any of our prior or subsequent filings under the Securities Act of 1933 or the Exchange Act.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20"/>
        <w:spacing w:after="0" w:line="318"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ind w:right="300"/>
        <w:spacing w:after="0" w:line="253"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10-K, as well as Part II, “Item 7. Management's Discussion and Analysis of Financial Condition and Results of Operations” (MD&amp;A) of our Form 10-K for the year ended December 31, 2023 (“2023 Annual Report on Form 10-K”). To the extent the July 1, 2024 SDS realignment impacted the disclosures in the 2023 Annual Report on Form 10-K, we recast those prior year MD&amp;A disclosures herein.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Environment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these events, including global unrest. The same is true for our suppliers and other business partners.</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conflicts in Ukraine and the Middle East and threats elsewhere, particularly in the Pacific region, have increased global tensions and instability and highlighted security requirements globally, including in Europe, the Middle East and the Pacific region, as well as the U.S. These conflicts have resulted in and may continue to result in increased demand for defense products and services from allies and partner nations, particularly in those areas. For example, we have experienced an increase in demand for certain of our products and services directly and indirectly related to the conflict in Ukraine. We continue to monitor developments in these regions, but have not experienced, and do not anticipate experiencing, significant adverse financial impacts directly from the conflicts in Ukraine or the Middle East.</w:t>
      </w:r>
    </w:p>
    <w:p>
      <w:pPr>
        <w:spacing w:after="0" w:line="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the current global security environment highlights the significant national security threats to the U.S. and its allies, and the need for strong deterrence and robust defense capabilities, and are actively evaluating both opportunities and risks associated with this environment. We believe our capabilities, particularly in space, C4ISR, missile defense, battle management, advanced weapons, strategic deterrence, and survivable aircraft and mission systems should help our customers in the U.S. and globally defend against current and future threats and, as a result, continue to allow for long-term profitable business growth.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Environment</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Over the past several years, the global economic environment has experienced extraordinary challenges, including inflationary pressures; widespread delays and disruptions in supply chains; business slowdowns or shutdowns; workforce challenges and labor shortfalls; and market volatility. These macroeconomic factors have contributed, and in the future could contribute, to increased costs, delays, disruptions and other performance challenges, as well as increased competing demands for limited resources to address such increased costs and other challenges, for our company, our suppliers and partners, and our customers. We continue to work to address challenges caused by the macroeconomic environment on our business. We have seen positive progress in the supply chain as on-time deliveries and quality have improved. In remaining areas of pressure, we are proactively working with our suppliers to ensure we meet our contract commitments. Although certain pockets of our business were adversely affected by the broader macroeconomic environment during the fourth quarter of 2024, the overall financial impact on our company has continued to subside.</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an overall increase in interest rates in recent years has raised the cost of borrowing for governments, and if rates further increase, it could impact government spending priorities (in the U.S. and allied countries, in particular), including their demand for defense products. Economic tensions and changes in international trade policies, including higher tariffs on imported goods and materials, the imposition of retaliatory tariffs or other trade protection measures and renegotiation of free trade agreements, could also further impact the global market for defense products, services and solutions.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Budget and Regulatory Environment</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U.S. continues to face an uncertain and evolving political, budget and regulatory environment. In particular, it is difficult to predict the specific course of future defense budgets. Current and future requirements related to the conflicts in Ukraine and the Middle East, threats in the Pacific region and other security priorities, as well as the macroeconomic environment, the national debt, and other domestic priorities, among other things, in the U.S. and globally, will continue to impact our customers’ budgets, spending and priorities, and our industry. The U.S. political environment may also impact defense budgets and priorities, issues related to the national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government spending more broadly. We anticipate that issues related to budgetary priorities and defense spending levels, the debt ceiling, and the spending caps imposed by the Fiscal Responsibility Act of 2023 (FRA), particularly with respect to discretionary spending, will continue to be a subject of considerable debate, with a potentially significant impact on our programs and the company.</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Annual appropriations to fund the federal government for FY 2025 have not yet been enacted. Congress continues to pass short-term continuing resolutions (CR) to fund the federal government. The most recent CR passed in December 2024 extends current funding levels until March 14, 2025. It remains uncertain when the government will approve FY 2025 appropriations, and the levels of funding FY 2025 appropriations will provide. Government operations under an extended CR could have potential impacts on our programs and new starts, in particular.</w:t>
      </w:r>
    </w:p>
    <w:p>
      <w:pPr>
        <w:spacing w:after="0" w:line="4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political environment, federal budget, debt ceiling and regulatory environment, including potential tax reform, are expected to continue to be the subject of considerable debate, especially in light of the ongoing conflicts and heightened global tensions, the macroeconomic environment and political tensions. The results of those debates could have material impacts on defense spending broadly and the company’s programs in particular.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Program</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2015, the U.S. Air Force awarded Northrop Grumman the B-21 contract, which includes a base contract for engineering and manufacturing development (EMD) and five low-rate initial production (LRIP) options for a baseline total of 21 aircraft. The EMD phase of the program is largely cost type and began at contract award. The LRIP options are largely fixed price and are expected to continue to be awarded and executed through approximately the end of the decade. In addition to the five LRIP options, Northrop Grumman and the U.S. Air Force have established not to exceed (NTE) pricing for additional aircraft up to unit 40. The average NTE value for these subsequent lots is above the average unit price of the five LRIP lots, and the NTE lots include an economic price adjustment clause to help protect against certain inflationary pressures. Final terms, quantity, and pricing for these subsequent lots are not fully negotiated.</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fourth quarter of 2023, we recognized a projected loss of $1.56 billion across the five LRIP options. During the fourth quarter of 2024, we again reviewed our estimated profitability on the program and made no significant changes to the previously recognized loss. The company’s 2024 results reflect our current best estimate of our cost to complete the LRIP and NTE aircraft, as well as the outcome of ongoing discussions with our suppliers and our customer. If our estimated cost to complete the aircraft changes or our assumptions regarding contract performance, quantities, supplier negotiations, or funding to mitigate the impact of macroeconomic disruptions are resolved more or less favorably than what we have estimated, our financial position, results of operations and/or cash flows could be materially affected.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Sentinel Program</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2020, the U.S. Air Force awarded Northrop Grumman a $13.3 billion contract for the EMD phase of the Sentinel program. In January 2024, the U.S. Air Force provided congressional notification that the Sentinel program was under a Nunn-McCurdy breach review, which is required when total program cost estimates exceed certain defined thresholds. This notification, which had been driven primarily by increases in cost estimates for the Production and Deployment phases, commenced the process to achieve certification for continuance of the program and update its baseline cost estimates. We are currently executing under a cost-type contract for the EMD phase, and the Production and Deployment phases are yet to be priced and negotiated.</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July 2024, the Sentinel program was certified for continuation by the DoD upon completion of the Nunn-McCurdy breach review. In connection with the certification, the DoD directed that the program be restructured, including plans for infrastructure related to the command and launch segment, which was the main driver of the increased cost estimates for the Production and Deployment phases. We are partnering with our customer to establish a new program baseline as part of the restructuring activities.</w:t>
      </w:r>
    </w:p>
    <w:p>
      <w:pPr>
        <w:spacing w:after="0" w:line="5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reviewed our estimated profitability on the Sentinel program and made no significant changes. The Sentinel EAC incorporates our best estimate of costs to complete the restructured EMD effort; however, if the outcome is more or less favorable than what we have estimated, our financial position, results of operations and/or cash flows could be materially affected.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Operating Performance Assessment and Reporting</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manage and assess our business based on our performance on contracts and programs (typically larger contracts or two or more closely-related contracts). We recognize sales from our portfolio of long-term contracts as control is transferred to the customer, primarily over time on a cost-to-cost basis (cost incurred relative to costs estimated at completion). As a result, sales tend to fluctuate in concert with costs incurred across our large portfolio of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Due to the applicable FAR and CAS requirements that govern our U.S. government business, most types of costs are allocable to U.S. government contracts. As such, we do not focus on individual cost groupings (such as manufacturing, engineering and design labor, subcontractor, material, overhead and general and administrative (G&amp;A) costs), as much as we do on total contract cost, which is the key driver of our sales and operating income.</w:t>
      </w:r>
    </w:p>
    <w:p>
      <w:pPr>
        <w:spacing w:after="0" w:line="3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evaluating our operating performance, we primarily focus on changes in sales and operating margin rates.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operating margin rates are generally described in terms of performance and/or contract mix. For purposes of this discussion, volume generally refers to increases or decreases in sales or cost from production/service activity levels and performance generally refers to non-volume-related changes in profitability, which are typically described in terms of changes in net EAC adjustments. Contract mix generally refers to changes in the ratio of contract type and/or life cycle (e.g., cost-type, fixed-price, development, production, and/or sustainment).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purposes of the operating results discussion below, we assess our performance using certain financial measures that are not calculated in accordance with accounting principles generally accepted in the United States of America (“GAAP” or “FAS”).</w:t>
      </w:r>
    </w:p>
    <w:p>
      <w:pPr>
        <w:spacing w:after="0" w:line="4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Mark-to-market adjusted net earnings (MTM-adjusted net earnings) and MTM-adjusted earnings per share (MTM-adjusted EPS) exclude MTM pension and OPB benefit/(expense) and related tax impacts, which are generally only recognized during the fourth quarter. These non-GAAP measures may be useful to investors and other users of our financial statements as supplemental measures in evaluating the company’s underlying financial performance by presenting the company’s operating results before the non-operational impact of pension and OPB actuarial gains and losses. These measures are also consistent with how management views the underlying performance of the business as the impact of MTM accounting is not considered in management’s assessment of the company’s operating performance or in its determination of incentive compensation awards.</w:t>
      </w:r>
    </w:p>
    <w:p>
      <w:pPr>
        <w:spacing w:after="0" w:line="6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41,033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39,290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36,663</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36,753</w:t>
            </w:r>
          </w:p>
        </w:tc>
        <w:tc>
          <w:tcPr>
            <w:tcW w:w="3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33,001</w:t>
            </w:r>
          </w:p>
        </w:tc>
        <w:tc>
          <w:tcPr>
            <w:tcW w:w="1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89.4 %</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93.5 %</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90.2 %</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4,370</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2,537</w:t>
            </w:r>
          </w:p>
        </w:tc>
        <w:tc>
          <w:tcPr>
            <w:tcW w:w="3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72 %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10.6 %</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9.8 %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Mark-to-market pension and OPB benefit (expense)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443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(422)</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842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190 %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16.8 %</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12.4 %</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16.1 %</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4,174</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2,056</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4,896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103 %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6"/>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28.34</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13.53</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109 %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2024 sales increased $1.7 billion, or 4 percent, due to a 12 percent growth in sales at Aeronautics Systems and higher sales at Mission Systems and Defense Systems, partially offset by lower sales at Space Systems largely driven by a reduction of $595 million associated with wind-down of work on the restricted space and NGI programs, as previously disclosed. 2024 sales reflect continued strong demand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and “Product and Service Analysis” for product and service detail. See Note 15 to the consolidated financial statements for information regarding the company’s sales by customer type, contract type and geographic region for each of our segments.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2024 operating income increased $1.8 billion, or 72 percent, primarily due to higher operating income at Aeronautics Systems, largely driven by the prior year $1.56 billion charge on the B-21 program, as well as higher operating income at Space Systems and Defense Systems. 2024 operating income also increased due to a $122 million increase in the FAS/CAS operating adjustment, partially offset by $73 million of higher unallocated corporate expense, largely due to a $127 million increase in deferred state taxes related to the MTM benefit (expense) and prior year B-21 charge and $25 million of lower intangible amortization and PP&amp;E step-up depreciation. 2024 operating margin rate increased to 10.6 percent from 6.5 percent reflecting the items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G&amp;A costs as a percentage of sales decreased to 9.7 percent from 10.2 percent primarily due to higher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product and service operating costs and expenses, see “Product and Service Analysis” below.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Mark-to-Market Pension and OPB Benefit/Expense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components of pre-tax MTM benefit (expense) are presented in the table below:</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 (losses) on projected benefit obligation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9,662</w:t>
            </w:r>
          </w:p>
        </w:tc>
      </w:tr>
      <w:tr>
        <w:trPr>
          <w:trHeight w:val="229"/>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Actuarial (losses) gains on plan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1,067</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(8,430)</w:t>
            </w:r>
          </w:p>
        </w:tc>
      </w:tr>
      <w:tr>
        <w:trPr>
          <w:trHeight w:val="223"/>
        </w:trPr>
        <w:tc>
          <w:tcPr>
            <w:tcW w:w="7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MTM benefit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1,232</w:t>
            </w:r>
          </w:p>
        </w:tc>
      </w:tr>
    </w:tbl>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2024 MTM benefit of $443 million was primarily driven by a 58 basis point increase in the discount rate from year end 2023, partially offset by actual net plan asset returns of 4.7 percent compared to our 7.5 percent asset return assumption.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The 2024 effective tax rate (ETR) increased to 16.8 percent from 12.4 percent in 2023 primarily due to the impact of the prior year B-21 charge and the MTM adjustment on our ETR. The 2024 MTM benefit increased the 2024 ETR by 0.4 percentage points, whereas the prior year B-21 charge and MTM expense collectively reduced the 2023 ETR by 3.8 percentage points. The 2024 ETR also reflects a net reduction in tax reserves largely due to a recent federal court decision, partially offset by higher interest expense on unrecognized tax benefits. See Note 6 to the consolidated financial statements for additional information.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earnings to MTM-adjusted net earnings: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Year Ended December 31</w:t>
            </w:r>
          </w:p>
        </w:tc>
        <w:tc>
          <w:tcPr>
            <w:tcW w:w="23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4,174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103 %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MTM (benefit) expense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6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MTM-related deferred state tax expense (benefit)</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6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expense (benefit) of items above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MTM adjustment, net of tax</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MTM-adjusted net earnings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2,372</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62 %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62" w:lineRule="exact"/>
        <w:rPr>
          <w:sz w:val="20"/>
          <w:szCs w:val="20"/>
          <w:color w:val="auto"/>
        </w:rPr>
      </w:pPr>
    </w:p>
    <w:p>
      <w:pPr>
        <w:ind w:left="180" w:right="220" w:hanging="172"/>
        <w:spacing w:after="0" w:line="238" w:lineRule="auto"/>
        <w:tabs>
          <w:tab w:leader="none" w:pos="168"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deferred state tax impact in each period was calculated using the company’s blended state tax rate of 5.25 percent and is included in Unallocated corporate expense within operating income.</w:t>
      </w:r>
    </w:p>
    <w:p>
      <w:pPr>
        <w:spacing w:after="0" w:line="73" w:lineRule="exact"/>
        <w:rPr>
          <w:rFonts w:ascii="Times New Roman" w:cs="Times New Roman" w:eastAsia="Times New Roman" w:hAnsi="Times New Roman"/>
          <w:sz w:val="20"/>
          <w:szCs w:val="20"/>
          <w:color w:val="auto"/>
          <w:vertAlign w:val="superscript"/>
        </w:rPr>
      </w:pPr>
    </w:p>
    <w:p>
      <w:pPr>
        <w:ind w:left="180" w:right="560" w:hanging="172"/>
        <w:spacing w:after="0" w:line="254" w:lineRule="auto"/>
        <w:tabs>
          <w:tab w:leader="none" w:pos="168"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federal tax impact in each period was calculated by subtracting the deferred state tax impact from MTM benefit (expense) and applying the 21 percent federal statutory rate.</w:t>
      </w:r>
    </w:p>
    <w:p>
      <w:pPr>
        <w:spacing w:after="0" w:line="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2024 net earnings increased $2.1 billion, or 103 percent, primarily due to $1.8 billion of higher operating income, an $865 million increase in our MTM benefit (expense), and a $126 million increase in the non-operating FAS pension benefit. These increases were partially offset by a $552 million increase in income tax expense, a $97 million gain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recognized in the prior year upon the sale of our minority investment in an Australian business, and $76 million of higher interest expense on our long-term debt.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diluted earnings per share to MTM-adjusted EPS: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Year Ended December 31</w:t>
            </w:r>
          </w:p>
        </w:tc>
        <w:tc>
          <w:tcPr>
            <w:tcW w:w="22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58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28.34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109 %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MTM (benefit) expense per share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8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MTM-related deferred state tax expense (benefit) per share</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0.16</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82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expense (benefit) of items above per share</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0.60</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8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MTM adjustment per share, net of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MTM-adjusted EPS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26.08</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15.61</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67 %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75" w:lineRule="exact"/>
        <w:rPr>
          <w:sz w:val="20"/>
          <w:szCs w:val="20"/>
          <w:color w:val="auto"/>
        </w:rPr>
      </w:pPr>
    </w:p>
    <w:p>
      <w:pPr>
        <w:ind w:left="180" w:right="220" w:hanging="172"/>
        <w:spacing w:after="0" w:line="238" w:lineRule="auto"/>
        <w:tabs>
          <w:tab w:leader="none" w:pos="16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deferred state tax impact in each period was calculated using the company’s blended state tax rate of 5.25 percent and is included in Unallocated corporate expense within operating income.</w:t>
      </w:r>
    </w:p>
    <w:p>
      <w:pPr>
        <w:spacing w:after="0" w:line="73" w:lineRule="exact"/>
        <w:rPr>
          <w:rFonts w:ascii="Times New Roman" w:cs="Times New Roman" w:eastAsia="Times New Roman" w:hAnsi="Times New Roman"/>
          <w:sz w:val="20"/>
          <w:szCs w:val="20"/>
          <w:color w:val="auto"/>
          <w:vertAlign w:val="superscript"/>
        </w:rPr>
      </w:pPr>
    </w:p>
    <w:p>
      <w:pPr>
        <w:ind w:left="180" w:right="560" w:hanging="172"/>
        <w:spacing w:after="0" w:line="238" w:lineRule="auto"/>
        <w:tabs>
          <w:tab w:leader="none" w:pos="16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federal tax impact in each period was calculated by subtracting the deferred state tax impact from MTM benefit (expense) and applying the 21 percent federal statutory rate.</w:t>
      </w:r>
    </w:p>
    <w:p>
      <w:pPr>
        <w:spacing w:after="0" w:line="8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2024 diluted earnings per share increased $14.81, or 109 percent, reflecting the 103 percent increase in net earnings described above and a 3 percent reduction in weighted-average diluted shares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w:t>
      </w:r>
    </w:p>
    <w:p>
      <w:pPr>
        <w:spacing w:after="0" w:line="60"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Effective July 1, 2024, the company realigned the Strategic Deterrent Systems (SDS) division, which includes the Ground-Based Strategic Deterrent (“Sentinel”) program, from Space Systems to Defense Systems. This realignment is reflected in the financial information contained in this report.</w:t>
      </w:r>
    </w:p>
    <w:p>
      <w:pPr>
        <w:spacing w:after="0" w:line="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Subsequent Realignment </w:t>
      </w:r>
      <w:r>
        <w:rPr>
          <w:rFonts w:ascii="Times New Roman" w:cs="Times New Roman" w:eastAsia="Times New Roman" w:hAnsi="Times New Roman"/>
          <w:sz w:val="18"/>
          <w:szCs w:val="18"/>
          <w:color w:val="auto"/>
        </w:rPr>
        <w:t>- Effective January 1, 2025, the company realigned the Strike and Surveillance Aircraft Solutions (SSAS) business unit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Defense Systems to Aeronautics Systems. This realignment is not reflected in the financial information contained in this report; it will be reflected in the company’s operating results beginning in the first quarter of 2025.</w:t>
      </w:r>
    </w:p>
    <w:p>
      <w:pPr>
        <w:spacing w:after="0" w:line="54" w:lineRule="exact"/>
        <w:rPr>
          <w:sz w:val="20"/>
          <w:szCs w:val="20"/>
          <w:color w:val="auto"/>
        </w:rPr>
      </w:pPr>
    </w:p>
    <w:p>
      <w:pPr>
        <w:ind w:right="4760"/>
        <w:spacing w:after="0" w:line="315" w:lineRule="auto"/>
        <w:rPr>
          <w:sz w:val="20"/>
          <w:szCs w:val="20"/>
          <w:color w:val="auto"/>
        </w:rPr>
      </w:pPr>
      <w:r>
        <w:rPr>
          <w:rFonts w:ascii="Times New Roman" w:cs="Times New Roman" w:eastAsia="Times New Roman" w:hAnsi="Times New Roman"/>
          <w:sz w:val="18"/>
          <w:szCs w:val="18"/>
          <w:color w:val="auto"/>
        </w:rPr>
        <w:t xml:space="preserve">For a more complete description of each segment’s products and services, see “Business.” </w:t>
      </w:r>
      <w:r>
        <w:rPr>
          <w:rFonts w:ascii="Times New Roman" w:cs="Times New Roman" w:eastAsia="Times New Roman" w:hAnsi="Times New Roman"/>
          <w:sz w:val="18"/>
          <w:szCs w:val="18"/>
          <w:b w:val="1"/>
          <w:bCs w:val="1"/>
          <w:color w:val="auto"/>
        </w:rPr>
        <w:t>Segment Operating Income and Margin Rate</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4,370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2,537</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72 %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9.8 %</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2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(279)</w:t>
            </w:r>
          </w:p>
        </w:tc>
        <w:tc>
          <w:tcPr>
            <w:tcW w:w="3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3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81 %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239</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236</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(40)</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 and PP&amp;E step-up depreciation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8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Deferred state tax expense (benefit)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MTM adjustment</w:t>
            </w:r>
          </w:p>
        </w:tc>
        <w:tc>
          <w:tcPr>
            <w:tcW w:w="28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w:t>
            </w:r>
          </w:p>
        </w:tc>
        <w:tc>
          <w:tcPr>
            <w:tcW w:w="3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48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Deferred state tax benefit of B-21 charge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expense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214</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4,544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2,760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4,253</w:t>
            </w:r>
          </w:p>
        </w:tc>
        <w:tc>
          <w:tcPr>
            <w:tcW w:w="12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65 %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11.1 %</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7.0 %</w:t>
            </w: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11.6 %</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r>
    </w:tbl>
    <w:p>
      <w:pPr>
        <w:spacing w:after="0" w:line="162" w:lineRule="exact"/>
        <w:rPr>
          <w:sz w:val="20"/>
          <w:szCs w:val="20"/>
          <w:color w:val="auto"/>
        </w:rPr>
      </w:pPr>
    </w:p>
    <w:p>
      <w:pPr>
        <w:ind w:left="180" w:right="200" w:hanging="172"/>
        <w:spacing w:after="0" w:line="238" w:lineRule="auto"/>
        <w:tabs>
          <w:tab w:leader="none" w:pos="168"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deferred state tax expense (benefit) associated with MTM benefit (expense) and the prior year B-21 charge, which are recorded in Unallocated corporate expense consistent with other changes in deferred state taxes.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Operating Income and Margin Rate</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2024 segment operating income increased $1.8 billion, or 65 percent, primarily due to higher operating income at Aeronautics Systems, largely driven by the prior year $1.56 billion charge on the B-21 program, as well as higher operating income at Space Systems and Defense Systems. Segment operating margin rate increased to 11.1 percent reflecting higher operating margin rates at Aeronautics Systems and Space Systems, partially offset by a lower operating margin rate at Mission Systems.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2024 FAS/CAS operating adjustment reflects higher CAS pension expense largely driven by plan asset returns in prior years and changes in certain CAS actuarial assumptions as of December 31, 2023.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w:t>
      </w:r>
    </w:p>
    <w:p>
      <w:pPr>
        <w:spacing w:after="0" w:line="27"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The increase in 2024 unallocated corporate expense is primarily due to a $127 million increase in deferred state taxes associated with the prior year B-21 charge and the MTM adjustment, partially offset by lower intangible asset amortization and PP&amp;E step-up depreciation and a loss recognized in the prior year in connection with the divestiture of a small international subsidiary.</w:t>
      </w:r>
    </w:p>
    <w:p>
      <w:pPr>
        <w:spacing w:after="0" w:line="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Net Estimate-At-Completion (EAC) Adjustments - </w:t>
      </w:r>
      <w:r>
        <w:rPr>
          <w:rFonts w:ascii="Times New Roman" w:cs="Times New Roman" w:eastAsia="Times New Roman" w:hAnsi="Times New Roman"/>
          <w:sz w:val="18"/>
          <w:szCs w:val="18"/>
          <w:color w:val="auto"/>
        </w:rPr>
        <w:t>We record changes in estimated contract earnings at completion (net EAC adjustments)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catch-up method of accounting. Net EAC adjustments can have a significant effect on reported sales and operating income and the aggregate amounts are presented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1,461</w:t>
            </w:r>
          </w:p>
        </w:tc>
        <w:tc>
          <w:tcPr>
            <w:tcW w:w="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1,314</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29"/>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(1,111)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4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7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2"/>
                <w:szCs w:val="22"/>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w:t>
            </w:r>
          </w:p>
        </w:tc>
        <w:tc>
          <w:tcPr>
            <w:tcW w:w="3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Pr>
          <w:p>
            <w:pPr>
              <w:spacing w:after="0"/>
              <w:rPr>
                <w:sz w:val="19"/>
                <w:szCs w:val="19"/>
                <w:color w:val="auto"/>
              </w:rPr>
            </w:pP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9"/>
                <w:szCs w:val="19"/>
                <w:color w:val="auto"/>
              </w:rPr>
            </w:pP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360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9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Aeronautics Systems is a leader in the design, development, production, integration, sustainment and modernization of military aircraft systems for the U.S. Air Force, the U.S. Navy, other U.S. government agencies, and international customers. Major products include strategic long-range strike aircraft; tactical fighter and air dominance aircraft; airborne battle management and command and control systems; and unmanned autonomous aircraft systems, including high-altitude long-endurance (HALE) strategic intelligence, surveillance and reconnaissance (ISR) systems.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12,030</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10,786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12 %</w:t>
            </w: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c>
          <w:tcPr>
            <w:tcW w:w="6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(473)</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6"/>
              </w:rPr>
              <w:t>NM</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9.8 %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2024 sales increased $1.2 billion, or 12 percent, primarily due to the continuing transition to production on B-21 driving higher restricted volume, a $448 million increase in F-35 production and sustainment volume due, in part, to the timing of materials, a $134 million increase in Triton LRIP production volume, a $134 million increase in E-2 fleet sustainment and modernization work, and higher volume on Global Hawk sustainment activities.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2024 operating income increased $1.7 billion primarily due to the prior year $1.56 billion charge on the B-21 program as well as higher sales. Operating margin rate increased to 9.8 percent principally due to the prior year B-21 charge.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SYSTEMS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Defense Systems is a leader in the design, engineering, development, integration and production of strategic deterrent systems, advanced tactical weapons, and missile defense solutions, and a provider of sustainment, modernization and training services for manned and unmanned aircraft and electronics systems for the U.S. military and a broad range of international customers. Major products and services include strategic missiles; integrated, all-domain command and control (C2) systems; precision strike weapons; advanced propulsion, including tactical solid rocket motors and high speed air-breathing and hypersonic systems; high-performance gun systems, ammunition, precision munitions and advanced fuzes; and aircraft and mission systems logistics support, sustainment, operations and modernization.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8,560</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8,289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7,629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58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829</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10.1 %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2024 sales increased $271 million, or 3 percent, primarily due to a $182 million increase on Sentinel as that program continues to ramp, a $163 million increase on certain military ammunition programs, a $124 million increase on Stand-in Attack Weapon (SiAW) as the program ramps and higher volume from timing of materials and increased order quantities on the Guided Multiple Launch Rocket System (GMLRS) program. These increases were partially offset by a $262 million decrease due to the completion of an international training program and lower volume on the Special Electronic Mission Aircraft (SEMA) program as it nears completion.</w:t>
      </w:r>
    </w:p>
    <w:p>
      <w:pPr>
        <w:spacing w:after="0" w:line="5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2023 sales increased $660 million, or 9 percent, primarily due to a $426 million increase driven by Sentinel ramp-up, as well as higher volume on ammunition programs, GMLRS, an international training program, Hypersonic Attack Cruise Missile (HACM), and SiAW.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operating income increased $37 million, or 4 percent, primarily due to higher sales. Operating margin rate was comparable to the prior period.</w:t>
      </w:r>
    </w:p>
    <w:p>
      <w:pPr>
        <w:spacing w:after="0" w:line="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2023 operating income increased $48 million, or 6 percent, due to higher sales, partially offset by a lower operating margin rate. Operating margin rate decreased to 10.0 percent from 10.2 percent, primarily due to lower net EAC adjustments.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94"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Mission Systems is a leader in advanced mission solutions and multifunction systems, primarily for the U.S. defense and intelligence community, and international customers. Major products and services include command, control, communications and computers, intelligence, surveillance and reconnaissance (C4ISR) systems; radar, electro-optical/infrared (EO/IR) and acoustic sensors; electronic warfare systems; advanced communications and network systems; advanced microelectronics; navigation and positioning sensors; maritime power, propulsion and payload launch systems; full spectrum cyber solutions; and intelligence processing systems.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11,399</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10,895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10,396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1,598</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1,609</w:t>
            </w:r>
          </w:p>
        </w:tc>
        <w:tc>
          <w:tcPr>
            <w:tcW w:w="36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i w:val="1"/>
                <w:iCs w:val="1"/>
                <w:color w:val="auto"/>
              </w:rPr>
              <w:t>14.0 %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14.8 %</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15.6 %</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2024 sales increased $504 million, or 5 percent, primarily due to higher volume on restricted advanced microelectronics and technology programs, increased marine systems sales due, in part, to the timing of materials, and higher Ground/Air Task Oriented Radar (G/ATOR) volume due to continued ramp-up on full-rate production (FRP) awards. These increases were partially offset by lower sales on restricted airborne radar programs and the Scalable Agile Beam Radar (SABR) program.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2024 operating income decreased $11 million, or 1 percent, due to a lower operating margin rate, partially offset by higher sales. Operating margin rate decreased to 14.0 percent from 14.8 percent primarily due to lower net EAC adjustments on certain airborne radar production programs due, in part, to production inefficiencies that have driven higher labor costs, as well as changes in contract mix toward more cost-type content. These decreases were partially offset by sales growth on higher margin advanced microelectronics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Space Systems is a leader in delivering end-to-end mission solutions through the design, development, integration, production and operation of space, missile defense, and launch systems for national security, civil government, commercial and international customers. Major products include satellites and spacecraft systems, subsystems, sensors and payloads; ground systems; missile defense systems and interceptors; and launch vehicles and related propulsion systems.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11,731</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11,873</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10,570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1,254</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1,130</w:t>
            </w:r>
          </w:p>
        </w:tc>
        <w:tc>
          <w:tcPr>
            <w:tcW w:w="36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19"/>
                <w:szCs w:val="19"/>
                <w:color w:val="auto"/>
              </w:rPr>
            </w:pP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11 %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i w:val="1"/>
                <w:iCs w:val="1"/>
                <w:color w:val="auto"/>
              </w:rPr>
              <w:t>10.7 %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9.5 %</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2024 sales decreased $142 million, or 1 percent, primarily due to wind-down of work on the restricted space and NGI programs, which reduced sales by $595 million. This reduction was partially offset by a $302 million increase on Space Development Agency (SDA) satellite programs and a $130 million increase on the Habitation and Logistics Outpost (HALO)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sales increased $1.3 billion, or 12 percent, primarily due to higher volume on restricted programs and ramp-up on development programs,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million on the Next-Gen Polar program, $219 million on the NGI program, $119 million on the SDA Tranche 1 Tracking Layer program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million on the SDA Tranche 2 Transport Layer program. These increases were partially offset by a $172 million decrease for CRS missions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 million decrease on the HALO program.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2024 operating income increased $124 million, or 11 percent, primarily due to a higher operating margin rate. Operating margin rate increased to 10.7 percent from 9.5 percent primarily due to higher net EAC adjustments largely driven by the HALO program as previously disclosed.</w:t>
      </w:r>
    </w:p>
    <w:p>
      <w:pPr>
        <w:spacing w:after="0" w:line="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2023 operating income increased $52 million, or 5 percent, due to higher sales, partially offset by a lower operating margin rate. Operating margin rate decreased to 9.5 percent from 10.2 percent primarily due to a prior year $96 million gain recognized in connection with a land exchange transaction, as well as lower net EAC adjustments driven by $100 million of unfavorable EAC adjustments on the HALO program in 2023. These decreases were partially offset by a $42 million benefit from insurance recoveries in our commercial space business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AND SERVICE ANALYSIS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Year Ended December 31</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Operating Costs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Operating Costs</w:t>
            </w:r>
          </w:p>
        </w:tc>
        <w:tc>
          <w:tcPr>
            <w:tcW w:w="0" w:type="dxa"/>
            <w:vAlign w:val="bottom"/>
          </w:tcPr>
          <w:p>
            <w:pPr>
              <w:spacing w:after="0"/>
              <w:rPr>
                <w:sz w:val="1"/>
                <w:szCs w:val="1"/>
                <w:color w:val="auto"/>
              </w:rPr>
            </w:pPr>
          </w:p>
        </w:tc>
      </w:tr>
      <w:tr>
        <w:trPr>
          <w:trHeight w:val="176"/>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340" w:type="dxa"/>
            <w:vAlign w:val="bottom"/>
          </w:tcPr>
          <w:p>
            <w:pPr>
              <w:spacing w:after="0"/>
              <w:rPr>
                <w:sz w:val="15"/>
                <w:szCs w:val="15"/>
                <w:color w:val="auto"/>
              </w:rPr>
            </w:pPr>
          </w:p>
        </w:tc>
        <w:tc>
          <w:tcPr>
            <w:tcW w:w="9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5"/>
                <w:szCs w:val="15"/>
                <w:color w:val="auto"/>
              </w:rPr>
            </w:pPr>
          </w:p>
        </w:tc>
        <w:tc>
          <w:tcPr>
            <w:tcW w:w="11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7"/>
              </w:rPr>
              <w:t>and Expenses</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and Expenses</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9,064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8,248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8,157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8,942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7,981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2,723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2,382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2,389</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243</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12,030</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10,848</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10,786</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11,259</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10,531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5,843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5,304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5,282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1,862</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1,641</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2,231</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1,959</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855</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749</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682</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Defense Systems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8,560</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7,694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8,289</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7,460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7,629</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8,076</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7,000</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7,749</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6,669</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7,376</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2,146</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2,092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1,177</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996</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1,054</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Mission Systems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11,399</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9,801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10,895</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9,286</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10,396</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9,743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8,711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9,709</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8,844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8,561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1,576</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1,398</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1,681</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1,468</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1,533</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412</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368</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Space Systems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11,731</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10,477</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11,873</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10,743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10,570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Product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32,726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29,263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30,897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29,274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Service</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8,307</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7,226</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8,393</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7,256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8,080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Segment</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41,033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36,489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39,290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36,530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32,349</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A reconciliation of segment operating income to total operating income is included in “Segment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2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2024 product sales increased $1.8 billion, or 6 percent, due to an increase in product sales at all four sectors. The increase was principally driven by higher volume on restricted programs, F-35, Triton and E-2 at Aeronautics Systems, higher volume on Sentinel, certain military ammunition programs, SiAW and GMLRS at Defense Systems, higher restricted sales, partially offset by lower SABR volume, at Mission Systems and sales growth on SDA satellite programs and HALO, partially offset by wind-down of work on the restricted space and NGI programs, at Space Systems.</w:t>
      </w:r>
    </w:p>
    <w:p>
      <w:pPr>
        <w:spacing w:after="0" w:line="63"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2023 product sales increased $2.4 billion, or 8 percent, due to an increase in product sales at all four sectors. The increase was principally driven by higher volume on restricted programs and NGI at Space Systems, higher volume on Sentinel, ammunition programs, GMLRS, HACM, and the Integrated Battle Command System (IBCS) program at Defense Systems, and higher restricted sales at Mission Systems and Aeronautics Systems.</w:t>
      </w:r>
    </w:p>
    <w:p>
      <w:pPr>
        <w:spacing w:after="0" w:line="4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2024 product costs were comparable to the prior year, reflecting a higher operating margin rate principally due to the prior year $1.56 billion charge on the B-21 program at Aeronautics Systems and higher EAC adjustments at Space Systems, largely driven by the HALO program.</w:t>
      </w:r>
    </w:p>
    <w:p>
      <w:pPr>
        <w:spacing w:after="0" w:line="41"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2023 product costs increased $4.0 billion, or 16 percent, consistent with the higher product sales described above and reflect a lower operating margin rate principally due to the previously described $1.56 billion charge on the B-21 program at Aeronautics Systems and lower net EAC adjustments on Space Systems production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2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2024 service sales decreased $86 million, or 1 percent, primarily due to a decrease in service sales at Defense Systems principally due to the completion of an international training program and lower volume on SEMA, partially offset by an increase in service sales at Aeronautics Systems driven by higher volume on restricted programs and Global Hawk.</w:t>
      </w:r>
    </w:p>
    <w:p>
      <w:pPr>
        <w:spacing w:after="0" w:line="5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2023 service sales increased $313 million, or 4 percent, due to an increase in service sales at Space Systems, Mission Systems, and Aeronautics Systems. The increase was principally driven by higher restricted sales at Space Systems and Aeronautics Systems, and higher volume on restricted programs and F-35 sustainment at Mission Systems.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service costs were comparable to the prior year, consistent with the change in services sales described above.</w:t>
      </w:r>
    </w:p>
    <w:p>
      <w:pPr>
        <w:spacing w:after="0" w:line="1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2023 service costs increased $186 million, or 3 percent, consistent with the higher service sales described above and reflects a higher operating margin rate on Space Systems service programs.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 Backlog is converted into sales as costs are incurred or deliveries are made.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at December 31, 2024 and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Pr>
          <w:p>
            <w:pPr>
              <w:spacing w:after="0"/>
              <w:rPr>
                <w:sz w:val="14"/>
                <w:szCs w:val="14"/>
                <w:color w:val="auto"/>
              </w:rPr>
            </w:pP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240" w:type="dxa"/>
            <w:vAlign w:val="bottom"/>
          </w:tcPr>
          <w:p>
            <w:pPr>
              <w:spacing w:after="0"/>
              <w:rPr>
                <w:sz w:val="14"/>
                <w:szCs w:val="14"/>
                <w:color w:val="auto"/>
              </w:rPr>
            </w:pP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80" w:type="dxa"/>
            <w:vAlign w:val="bottom"/>
          </w:tcPr>
          <w:p>
            <w:pPr>
              <w:spacing w:after="0"/>
              <w:rPr>
                <w:sz w:val="14"/>
                <w:szCs w:val="14"/>
                <w:color w:val="auto"/>
              </w:rPr>
            </w:pPr>
          </w:p>
        </w:tc>
        <w:tc>
          <w:tcPr>
            <w:tcW w:w="100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4"/>
                <w:szCs w:val="14"/>
                <w:color w:val="auto"/>
              </w:rPr>
            </w:pPr>
          </w:p>
        </w:tc>
        <w:tc>
          <w:tcPr>
            <w:tcW w:w="94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146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Backlog</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Backlog</w:t>
            </w:r>
          </w:p>
        </w:tc>
        <w:tc>
          <w:tcPr>
            <w:tcW w:w="14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10,689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13,409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24,098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9,873</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17,845</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27,718</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37 %</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11,574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4,869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16,443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7,526</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15,683</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23,209</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28,341</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39,662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51,806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91,468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2024 net awards totaled $50.6 billion. Significant 2024 new awards include $11.8 billion for restricted programs (primarily at Aeronautics Systems, Mission Systems, and Space Systems), $3.5 billion for the Take Charge and Move Out (TACAMO) mission, $3.5 billion for F-35 (primarily at Aeronautics Systems), $2.4 billion for E-2, $1.8 billion for Next-Gen OPIR Polar, $0.9 billion for Poland IBCS, and $0.8 billion for certain military ammunition programs.</w:t>
      </w:r>
    </w:p>
    <w:p>
      <w:pPr>
        <w:spacing w:after="0" w:line="5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2024, the company reduced unfunded backlog by $1.6 billion and $0.7 billion related to terminations for convenience in our restricted space business and on the NGI program at Space Systems,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$4.4 billion; $268 million was held outside of the U.S. by foreign subsidiaries.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 aggregate principal amount of $2.5 billion, and in April 2024, we renewed our one-year $500 million uncommitted credit facility. At December 31, 2024, there were no borrowings outstanding under these credit facilities. In January 2024, we issued $2.5 billion of unsecured senior notes for general corporate purposes, including debt repayment, share repurchases and working capital.</w:t>
      </w:r>
    </w:p>
    <w:p>
      <w:pPr>
        <w:spacing w:after="0" w:line="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principal contractual commitments include purchase obligations, repayments of long-term debt and related interest, and payments under operating leases. At December 31, 2024, we had $20.5 billion of purchase obligations, approximately half of which is short-term. Purchase obligations are largely comprised of open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order commitments to suppliers and subcontractors under U.S. government contracts. In most circumstances, our risk associated with the purchase obligations on our U.S. government contracts is limited to the termination liability provisions within those contracts. As such, we do not believe they represent a material liquidity risk to the company. At December 31, 2024, we had capital expenditure commitments of $1.5 billion, which we expect to satisfy with cash on hand. We also had provisions for uncertain tax positions of $1.4 billion, some or all of which could result in future cash payments to various taxing authorities. At this time, we are unable to estimate the timing and amount of any future cash outflows related to these uncertain tax positions.</w:t>
      </w:r>
    </w:p>
    <w:p>
      <w:pPr>
        <w:spacing w:after="0" w:line="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Refer to the respective notes to the consolidated financial statements for further information about our share repurchase programs (Note 2), commercial paper, credit facilities and long-term debt (Note 9), standby letters of credit and guarantees (Note 11), future minimum contributions for the company’s pension and OPB plans (Note 12), and lease payment obligations (Note 14).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Matters</w:t>
      </w:r>
    </w:p>
    <w:p>
      <w:pPr>
        <w:spacing w:after="0" w:line="3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During the fourth quarter of 2024, the company entered into an agreed Revenue Agent’s Report (“RAR”) for certain matters related to the company’s 2018-2020 federal income tax returns, largely related to our methods of accounting associated with the timing of revenue recognition and related costs under IRC Section 451(b). The company made a $956 million payment in December 2024, inclusive of associated interest, in connection with the agreed RAR. Refer to Note 6 to the financial statements for further information about our unrecognized tax benefits.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Beginning in 2022, the Tax Cuts and Jobs Act of 2017 (“TCJA”) eliminated the option to deduct research and development expenditures in the current year and requires taxpayers to amortize them over five years pursuant to IRC Section 174. Our 2024 and 2023 cash from operations were reduced for federal estimated tax payments we made related to Section 174 of approximately $350 million and $500 million, respectively. In the future, Congress may consider legislation that would defer the amortization requirement to later years, possibly with retroactive effect. In the meantime, we expect to continue to make additional federal tax payments based on the current Section 174 tax law, which we estimate will reduce our 2025 cash from operations by approximately $230 million. The impact of Section 174 on our cash from operations depends on the amount of research and development expenditures incurred by the company and whether the IRS issues guidance on the provision which differs from our current interpretation, among other things.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adjusted free cash flow, a non-GAAP measure described in more detail below.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4,174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B-21 charge</w:t>
            </w: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1,559</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trade working capital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274</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4,388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r>
    </w:tbl>
    <w:p>
      <w:pPr>
        <w:spacing w:after="0" w:line="162" w:lineRule="exact"/>
        <w:rPr>
          <w:sz w:val="20"/>
          <w:szCs w:val="20"/>
          <w:color w:val="auto"/>
        </w:rPr>
      </w:pPr>
    </w:p>
    <w:p>
      <w:pPr>
        <w:ind w:left="180" w:right="400" w:hanging="172"/>
        <w:spacing w:after="0" w:line="272" w:lineRule="auto"/>
        <w:tabs>
          <w:tab w:leader="none" w:pos="168"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depreciation and amortization, non-cash lease expense, MTM benefit (expense), stock based compensation expense, deferred income taxes and net periodic pension and OPB income.</w:t>
      </w:r>
    </w:p>
    <w:p>
      <w:pPr>
        <w:spacing w:after="0" w:line="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2024 cash provided by operating activities increased $513 million, or 13 percent, principally due to improved trade working capital, largely driven by lower net tax payments, as well as higher net earnings.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if any. Adjusted free cash flow includes proceeds from the sale of equipment to a customer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cash provided by operating activities to adjusted free cash flow: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Year Ended December 31</w:t>
            </w:r>
          </w:p>
        </w:tc>
        <w:tc>
          <w:tcPr>
            <w:tcW w:w="21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(1,767)</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equipment to a customer</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2,621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171" w:lineRule="exact"/>
        <w:rPr>
          <w:sz w:val="20"/>
          <w:szCs w:val="20"/>
          <w:color w:val="auto"/>
        </w:rPr>
      </w:pPr>
    </w:p>
    <w:p>
      <w:pPr>
        <w:ind w:right="1560"/>
        <w:spacing w:after="0" w:line="308" w:lineRule="auto"/>
        <w:rPr>
          <w:sz w:val="20"/>
          <w:szCs w:val="20"/>
          <w:color w:val="auto"/>
        </w:rPr>
      </w:pPr>
      <w:r>
        <w:rPr>
          <w:rFonts w:ascii="Times New Roman" w:cs="Times New Roman" w:eastAsia="Times New Roman" w:hAnsi="Times New Roman"/>
          <w:sz w:val="18"/>
          <w:szCs w:val="18"/>
          <w:color w:val="auto"/>
        </w:rPr>
        <w:t xml:space="preserve">2024 adjusted free cash flow increased $521 million, or 25 percent, principally due to higher net cash provided by operating activities. </w:t>
      </w:r>
      <w:r>
        <w:rPr>
          <w:rFonts w:ascii="Times New Roman" w:cs="Times New Roman" w:eastAsia="Times New Roman" w:hAnsi="Times New Roman"/>
          <w:sz w:val="18"/>
          <w:szCs w:val="18"/>
          <w:b w:val="1"/>
          <w:bCs w:val="1"/>
          <w:color w:val="auto"/>
        </w:rPr>
        <w:t>Investing Cash Flow</w:t>
      </w:r>
    </w:p>
    <w:p>
      <w:pPr>
        <w:spacing w:after="0" w:line="260" w:lineRule="auto"/>
        <w:rPr>
          <w:sz w:val="20"/>
          <w:szCs w:val="20"/>
          <w:color w:val="auto"/>
        </w:rPr>
      </w:pPr>
      <w:r>
        <w:rPr>
          <w:rFonts w:ascii="Times New Roman" w:cs="Times New Roman" w:eastAsia="Times New Roman" w:hAnsi="Times New Roman"/>
          <w:sz w:val="18"/>
          <w:szCs w:val="18"/>
          <w:color w:val="auto"/>
        </w:rPr>
        <w:t>2024 net cash used in investing activities increased $167 million principally due to the receipt of proceeds from the sale of minority investments in the prior year.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2024 net cash used in financing activities decreased $366 million primarily due to $1.05 billion of lower debt repayments and a $500 million increase in proceeds from long-term debt, partially offset by a $1.0 billion increase in share repurchases and a $70 million increase in dividends paid. Cash returned to shareholders through share repurchases and dividends totaled $3.7 billion in 2024 and $2.6 billion in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GAAP, which requires us to make estimates and assumptions about future events that affect the amounts reported in our consolidated financial statements. We employ judgment in making our estimates in consideration of historical experience, currently available information and various other assumptions that we believe to be reasonable under the circumstances. Actual results could differ from our estimates and assumptions, and any such differences could be material to our consolidated financial statements. We believe the following accounting policies are critical to the understanding of our consolidated financial statements and require the use of significant management judgment in their application. For a summary of our significant accounting policies, see Note 1 to the consolidated financial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Due to the long-term nature of our contracts, we generally recognize revenue over time using the cost-to-cost method, which requires us to make reasonably dependable estimates regarding the revenue and cost associated with the design, manufacture and delivery of our products and services.</w:t>
      </w:r>
    </w:p>
    <w:p>
      <w:pPr>
        <w:spacing w:after="0" w:line="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un-priced change orders,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cost estimation process is based on the professional knowledge of our engineering, program management and financial professionals, and draws on their significant experience and judgment. We prepare EACs for our contracts and calculate an estimated contract profit based on total estimated contract sales and cost. Since our contracts often span a period of several years, estimation of revenue, cost, and progress toward completion requires the use of judgment. Factors considered in these estimates include our historical performance, the availability, productivity and cost of labor, the nature and complexity of work to be performed, the effect of change orders, availability and cost of materials, components and subcontracts, the effect of any delays in performance and the level of indirect cost allocations.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also consider the impact of macroeconomic factors on our estimates, in particular on contract EACs that span several years. For example, we have included in our EACs management’s best estimate of the impact inflation and disruptions in the supply chain have had and may continue to have on our contracts. Although the overall financial impact these macroeconomic factors have had on our company has largely subsided, volatility of the recent macroeconomic environment has added complexity to our estimation process and may result in our contract EACs having more variability in the future than they might otherwise have had if the estimates had been prepared in a more stable macroeconomic environment.</w:t>
      </w:r>
    </w:p>
    <w:p>
      <w:pPr>
        <w:spacing w:after="0" w:line="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generally review and reassess our sales, cost and profit estimates for each significant contract at least annually or more frequently as determined by the occurrence of events, changes in circumstances and evaluations of contract performance to reflect the latest reliable information available. These assessments require judgments and estimates that can be affected by any number of these factors over time, which may cause actual results to differ materially from those estimates as facts and circumstances change or become known to us.</w:t>
      </w:r>
    </w:p>
    <w:p>
      <w:pPr>
        <w:spacing w:after="0" w:line="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performs on a broad portfolio of long-term contracts, including the development of complex and customized military platforms and systems, as well as advanced electronic equipment and software, that often include technology at the forefront of science. Cost estimates on fixed-price development contracts and early-stage/low-rate production contracts are inherently more uncertain as to future events than on mature, full-rate production contracts. As a result, there is typically more variability in those estimates and greater financial risk associated with unanticipated cost growth on fixed-price development contracts and early-stage/low-rate production contracts. Changes in estimates occur for a variety of reasons, including changes in contract scope, the resolution of risk at lower or higher cost than anticipated, unanticipated performance and other risks affecting contract costs, performance issues with subcontractors or suppliers, changes in indirect cost allocations, such as overhead and G&amp;A costs, and changes in estimated award and incentive fees. Identified risks typically include technical, schedule and/or performance risk based on our evaluation of the contract effort. Similarly, the changes in estimates may include changes in, or resolution of, identified opportunities for operating margin improvement.</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impacts of changes in estimates on our consolidated statements of earnings and comprehensive income, see “Segment Operating Results” and Note 1 to the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The determination of projected benefit obligations, the fair value of plan assets, and pension and OPB expense for our retirement benefit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the use of estimates and actuarial assumptions. We perform an annual review of our actuarial assumptions in consultation with our actuaries. When we determine changes in the assumptions are warranted, or as a result of plan amendments, future pension and OPB expense and our projected benefit obligation could increase or decrease materially. The principal estimates and assumptions that have a significant effect on our consolidated financial position and results of operations are the discount rate, cash balance crediting rate, expected long-term rate of return on plan assets, estimated fair market value of plan assets, and the mortality rate of those covered by our pension and OPB plans. The effects of actual results differing from our assumptions and the effects of changing assumptions (i.e., actuarial gains or losses) are recognized immediately through earnings upon annual remeasurement in the fourth quarter, or on an interim basis as triggering events warrant remeasurement.</w:t>
      </w:r>
    </w:p>
    <w:p>
      <w:pPr>
        <w:spacing w:after="0" w:line="5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Discount Rate </w:t>
      </w:r>
      <w:r>
        <w:rPr>
          <w:rFonts w:ascii="Times New Roman" w:cs="Times New Roman" w:eastAsia="Times New Roman" w:hAnsi="Times New Roman"/>
          <w:sz w:val="18"/>
          <w:szCs w:val="18"/>
          <w:color w:val="auto"/>
        </w:rPr>
        <w:t>– The discount rate represents the interest rate used to determine the present value of future cash flows currently expected to be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 our pension and OPB obligations. The discount rate is generally based on the yield of high-quality corporate fixed-income investments. At the end of each year, we determine the discount rate using a theoretical bond portfolio model of bonds rated AA or better to match the notional cash outflows related to projected benefit payments for each of our significant benefit plans. Taking into consideration the factors noted above, our weighted-average composite pension discount rate was 5.73 percent at December 31, 2024 and 5.15 percent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effects of a hypothetical change in the discount rate may be nonlinear and asymmetrical for future years as the discount rate changes. Holding all other assumptions constant, an increase or decrease of 25 basis points in the December 31, 2024 discount rate assumption would have the following estimated effects on 2024 pension and OPB obligations, which would be reflected in the 2024 MTM expense (benefit), and 2025 expected pension and OPB expense: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780" w:type="dxa"/>
            <w:vAlign w:val="bottom"/>
          </w:tcPr>
          <w:p>
            <w:pPr>
              <w:spacing w:after="0"/>
              <w:rPr>
                <w:sz w:val="17"/>
                <w:szCs w:val="17"/>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25 Basis Point</w:t>
            </w:r>
          </w:p>
        </w:tc>
        <w:tc>
          <w:tcPr>
            <w:tcW w:w="240" w:type="dxa"/>
            <w:vAlign w:val="bottom"/>
          </w:tcPr>
          <w:p>
            <w:pPr>
              <w:spacing w:after="0"/>
              <w:rPr>
                <w:sz w:val="17"/>
                <w:szCs w:val="17"/>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25 Basis Point</w:t>
            </w:r>
          </w:p>
        </w:tc>
        <w:tc>
          <w:tcPr>
            <w:tcW w:w="0" w:type="dxa"/>
            <w:vAlign w:val="bottom"/>
          </w:tcPr>
          <w:p>
            <w:pPr>
              <w:spacing w:after="0"/>
              <w:rPr>
                <w:sz w:val="1"/>
                <w:szCs w:val="1"/>
                <w:color w:val="auto"/>
              </w:rPr>
            </w:pPr>
          </w:p>
        </w:tc>
      </w:tr>
      <w:tr>
        <w:trPr>
          <w:trHeight w:val="243"/>
        </w:trPr>
        <w:tc>
          <w:tcPr>
            <w:tcW w:w="6180" w:type="dxa"/>
            <w:vAlign w:val="bottom"/>
            <w:tcBorders>
              <w:bottom w:val="single" w:sz="8" w:color="auto"/>
            </w:tcBorders>
            <w:vMerge w:val="continue"/>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 in Rate</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Increase in Rate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pension and OPB obligation and MTM expense (benefit)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785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pension and OPB (benefit) expense</w:t>
            </w:r>
          </w:p>
        </w:tc>
        <w:tc>
          <w:tcPr>
            <w:tcW w:w="17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Balance Crediting Rate </w:t>
      </w:r>
      <w:r>
        <w:rPr>
          <w:rFonts w:ascii="Times New Roman" w:cs="Times New Roman" w:eastAsia="Times New Roman" w:hAnsi="Times New Roman"/>
          <w:sz w:val="18"/>
          <w:szCs w:val="18"/>
          <w:color w:val="auto"/>
        </w:rPr>
        <w:t>– A portion of the company’s pension obligation and resulting pension expense is based on a cash balance formula,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hypothetical account balances are accumulated over time with pay-based credits and interest. Interest is credited monthly using the current 30-Year Treasury bond rate. The interest crediting rate is part of the cash balance formula and independent of actual pension investment returns. The cash balance crediting rate tends to move in concert with the discount rate but has an offsetting effect on pension benefit obligations and the related MTM expense (benefit). The minimum cash balance crediting rate allowed under the plan is 2.25 percent. The cash balance crediting rate assumption has been set to its current level of 4.78 percent as of December 31, 2024, increasing to 4.90 percent by 2030. Holding all other assumptions constant, an increase or decrease of 25 basis points in the December 31, 2024 cash balance crediting rate assumption would have the following estimated effects on the 2024 pension benefit obligation, which would be reflected in the 2024 MTM (benefit) expense, and 2025 expected pension expense: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140" w:type="dxa"/>
            <w:vAlign w:val="bottom"/>
          </w:tcPr>
          <w:p>
            <w:pPr>
              <w:spacing w:after="0"/>
              <w:rPr>
                <w:sz w:val="17"/>
                <w:szCs w:val="17"/>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 Basis Point</w:t>
            </w:r>
          </w:p>
        </w:tc>
        <w:tc>
          <w:tcPr>
            <w:tcW w:w="240" w:type="dxa"/>
            <w:vAlign w:val="bottom"/>
          </w:tcPr>
          <w:p>
            <w:pPr>
              <w:spacing w:after="0"/>
              <w:rPr>
                <w:sz w:val="17"/>
                <w:szCs w:val="17"/>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 Basis Point</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auto"/>
            </w:tcBorders>
            <w:vMerge w:val="continue"/>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Decrease in Rate</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Increase in Rate</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pension obligation and MTM (benefit) expense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 pension (benefit) expense</w:t>
            </w:r>
          </w:p>
        </w:tc>
        <w:tc>
          <w:tcPr>
            <w:tcW w:w="2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Expected Long-Term Rate of Return on Plan Assets – </w:t>
      </w:r>
      <w:r>
        <w:rPr>
          <w:rFonts w:ascii="Times New Roman" w:cs="Times New Roman" w:eastAsia="Times New Roman" w:hAnsi="Times New Roman"/>
          <w:sz w:val="18"/>
          <w:szCs w:val="18"/>
          <w:color w:val="auto"/>
        </w:rPr>
        <w:t>The expected long-term rate of return on plan assets (EROA) assumption reflects the average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earnings we expect on current and future benefit plan investments. EROA is a long-term assumption, which we review annually and adjust to reflect changes in our long-term view of expected market returns and/or significant changes in our plan asset investment policy. Due to the inherent uncertainty of this assumption, we consider multiple data points at the measurement date including the plan’s target asset allocation, historical plan asset returns and third-party projection models of expected long-term returns for each of the plans’ strategic asset classes. In addition to the data points themselves, we consider trends in the data points, including changes from the prior measurement date. The EROA assumptions we use for pension benefits are consistent with those used for OPB plans; however, we reduce the EROA for OPB plans to allow for the impact of tax on investment earnings, as certain Voluntary Employee Beneficiary Association trusts are taxable.</w:t>
      </w:r>
    </w:p>
    <w:p>
      <w:pPr>
        <w:spacing w:after="0" w:line="6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During 2024, the Investment Committee of the company’s benefit plans reviewed the plans’ major asset class allocations and approved an update to increase the target fixed-income asset allocation from 43% to 45%. The actual asset allocation as of December 31, 2024 was approximately 41% fixed-income, 29% public equities, 23% alternatives, 6% private credit and 1% cash. At this time, the Investment Committee is not planning any significant changes to that mix. For further information on plan asset investments, see Note 12 to the consolidated financial statements.</w:t>
      </w:r>
    </w:p>
    <w:p>
      <w:pPr>
        <w:spacing w:after="0" w:line="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historical market returns are not necessarily predictive of future market returns, given our long history of plan performance supported by the stability in our investment mix, investment managers, and active asset management, we believe our actual historical performance is a reasonable metric to consider when developing our EROA. Our average annual rate of return from 1976 to 2024 was approximately 10.5 percent and our 20-year and 30-year rolling average rates of return were approximately 7.5 percent and 8.9 percent, respectively, each determined on an arithmetic basis and net of expenses. Our 2024 return on plan assets, net of expenses, was approximately 4.7 percent.</w:t>
      </w:r>
    </w:p>
    <w:p>
      <w:pPr>
        <w:spacing w:after="0" w:line="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Consistent with our past practice, we obtained long-term capital market forecasting models from several third parties and, using our target asset allocation, developed an expected rate of return on plan assets from each model. We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not only the specific returns projected by those third-party models, but also changes in the models year-to-year when developing our EROA.</w:t>
      </w:r>
    </w:p>
    <w:p>
      <w:pPr>
        <w:spacing w:after="0" w:line="10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determining 2024 FAS expense, we assumed an expected long-term rate of return on pension plan assets of 7.5 percent and an expected long-term rate of return on OPB plan assets of 7.12 percent. For 2025 FAS expense, we have assumed an expected long-term rate of return on pension plan assets of 7.5 percent and 7.08 percent on OPB plans. Holding all other assumptions constant, an increase or decrease of 25 basis points in our December 31, 2024 EROA assumption would have the following estimated effects on 2025 expected pension and OPB expense: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78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25 Basis Point</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25 Basis Point</w:t>
            </w:r>
          </w:p>
        </w:tc>
        <w:tc>
          <w:tcPr>
            <w:tcW w:w="0" w:type="dxa"/>
            <w:vAlign w:val="bottom"/>
          </w:tcPr>
          <w:p>
            <w:pPr>
              <w:spacing w:after="0"/>
              <w:rPr>
                <w:sz w:val="1"/>
                <w:szCs w:val="1"/>
                <w:color w:val="auto"/>
              </w:rPr>
            </w:pPr>
          </w:p>
        </w:tc>
      </w:tr>
      <w:tr>
        <w:trPr>
          <w:trHeight w:val="234"/>
        </w:trPr>
        <w:tc>
          <w:tcPr>
            <w:tcW w:w="5400" w:type="dxa"/>
            <w:vAlign w:val="bottom"/>
            <w:tcBorders>
              <w:bottom w:val="single" w:sz="8" w:color="auto"/>
            </w:tcBorders>
            <w:vMerge w:val="continue"/>
          </w:tcPr>
          <w:p>
            <w:pPr>
              <w:spacing w:after="0"/>
              <w:rPr>
                <w:sz w:val="20"/>
                <w:szCs w:val="20"/>
                <w:color w:val="auto"/>
              </w:rPr>
            </w:pPr>
          </w:p>
        </w:tc>
        <w:tc>
          <w:tcPr>
            <w:tcW w:w="3780" w:type="dxa"/>
            <w:vAlign w:val="bottom"/>
            <w:tcBorders>
              <w:bottom w:val="single" w:sz="8" w:color="auto"/>
            </w:tcBorders>
          </w:tcPr>
          <w:p>
            <w:pPr>
              <w:jc w:val="center"/>
              <w:ind w:left="2590"/>
              <w:spacing w:after="0"/>
              <w:rPr>
                <w:sz w:val="20"/>
                <w:szCs w:val="20"/>
                <w:color w:val="auto"/>
              </w:rPr>
            </w:pPr>
            <w:r>
              <w:rPr>
                <w:rFonts w:ascii="Times New Roman" w:cs="Times New Roman" w:eastAsia="Times New Roman" w:hAnsi="Times New Roman"/>
                <w:sz w:val="18"/>
                <w:szCs w:val="18"/>
                <w:color w:val="auto"/>
                <w:w w:val="99"/>
              </w:rPr>
              <w:t>Decrease</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6"/>
              </w:rPr>
              <w:t>Increase</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pension and OPB expense (benefit)</w:t>
            </w:r>
          </w:p>
        </w:tc>
        <w:tc>
          <w:tcPr>
            <w:tcW w:w="37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75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holding all other assumptions constant, an increase or decrease of 100 basis points in actual versus expected return on plan assets would have the following estimated effects on our 2025 MTM expense (benefit):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0" w:type="dxa"/>
            <w:vAlign w:val="bottom"/>
          </w:tcPr>
          <w:p>
            <w:pPr>
              <w:spacing w:after="0"/>
              <w:rPr>
                <w:sz w:val="17"/>
                <w:szCs w:val="17"/>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100 Basis Point</w:t>
            </w:r>
          </w:p>
        </w:tc>
        <w:tc>
          <w:tcPr>
            <w:tcW w:w="260" w:type="dxa"/>
            <w:vAlign w:val="bottom"/>
          </w:tcPr>
          <w:p>
            <w:pPr>
              <w:spacing w:after="0"/>
              <w:rPr>
                <w:sz w:val="17"/>
                <w:szCs w:val="17"/>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100 Basis Point</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auto"/>
            </w:tcBorders>
            <w:vMerge w:val="continue"/>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6"/>
              </w:rPr>
              <w:t>Increase</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MTM expense (benefit)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Estimated Fair Market Value of Plan Assets </w:t>
      </w:r>
      <w:r>
        <w:rPr>
          <w:rFonts w:ascii="Times New Roman" w:cs="Times New Roman" w:eastAsia="Times New Roman" w:hAnsi="Times New Roman"/>
          <w:sz w:val="18"/>
          <w:szCs w:val="18"/>
          <w:color w:val="auto"/>
        </w:rPr>
        <w:t>– For certain plan assets where the fair market value is not readily determinable, such as real estate,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hedge funds and opportunistic investments, we develop estimates of fair value using the best information available. Estimated fair values on these plan assets are based on redemption values and net asset values (NAV), as well as valuation methodologies that include third-party appraisals, comparable transactions, discounted cash flow valuation models and public market data.</w:t>
      </w:r>
    </w:p>
    <w:p>
      <w:pPr>
        <w:spacing w:after="0" w:line="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Mortality Rate </w:t>
      </w:r>
      <w:r>
        <w:rPr>
          <w:rFonts w:ascii="Times New Roman" w:cs="Times New Roman" w:eastAsia="Times New Roman" w:hAnsi="Times New Roman"/>
          <w:sz w:val="18"/>
          <w:szCs w:val="18"/>
          <w:color w:val="auto"/>
        </w:rPr>
        <w:t>– We use mortality assumptions to estimate life expectancies of plan participants. In October 2014, the Society of Actuaries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Experience Committee (RPEC) issued updated mortality tables and a mortality improvement scale, which reflected longer life expectancies than previously projected. In October 2019, the RPEC issued an updated mortality base table (the Private Retirement Plans Mortality table for 2012 (Pri-2012)), which we adopted after reviewing our own historical mortality experience. In October 2021, the RPEC released a new projection scale (MP-2021) that included additional underlying data for 2019, which included an increase in life expectancies relative to the prior year.</w:t>
      </w:r>
    </w:p>
    <w:p>
      <w:pPr>
        <w:spacing w:after="0" w:line="6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RPEC has not released a projection scale since MP-2021, citing complexities in incorporating the substantial number of “excess deaths” in 2020 and 2021 into their existing model and uncertainties about future expectations primarily related to COVID-19. As such, after considering the information released by the RPEC in October 2021 as well as the company’s recent mortality experience, we adopted the full MP-2021 projection scale while continuing to use the Pri-2012 White Collar table, supplemented with 50% of the Gradual Wear-Off illustration as outlined in the RPEC’s 2022 Mortality Improvement Update paper to reflect the future impacts of COVID-19, to develop our mortality assumptions used in calculating our pension and OPB obligations recognized at December 31, 2024, and the amounts estimated for our 2025 pension and OPB expense.</w:t>
      </w:r>
    </w:p>
    <w:p>
      <w:pPr>
        <w:spacing w:after="0" w:line="66" w:lineRule="exact"/>
        <w:rPr>
          <w:sz w:val="20"/>
          <w:szCs w:val="20"/>
          <w:color w:val="auto"/>
        </w:rPr>
      </w:pPr>
    </w:p>
    <w:p>
      <w:pPr>
        <w:ind w:right="1020"/>
        <w:spacing w:after="0" w:line="308" w:lineRule="auto"/>
        <w:rPr>
          <w:sz w:val="20"/>
          <w:szCs w:val="20"/>
          <w:color w:val="auto"/>
        </w:rPr>
      </w:pPr>
      <w:r>
        <w:rPr>
          <w:rFonts w:ascii="Times New Roman" w:cs="Times New Roman" w:eastAsia="Times New Roman" w:hAnsi="Times New Roman"/>
          <w:sz w:val="18"/>
          <w:szCs w:val="18"/>
          <w:color w:val="auto"/>
        </w:rPr>
        <w:t xml:space="preserve">For further information regarding our pension and OPB plans, see “Risk Factors” and Notes 1 and 12 to the consolidated financial statements. </w:t>
      </w:r>
      <w:r>
        <w:rPr>
          <w:rFonts w:ascii="Times New Roman" w:cs="Times New Roman" w:eastAsia="Times New Roman" w:hAnsi="Times New Roman"/>
          <w:sz w:val="18"/>
          <w:szCs w:val="18"/>
          <w:b w:val="1"/>
          <w:bCs w:val="1"/>
          <w:color w:val="auto"/>
        </w:rPr>
        <w:t>Litigation, Commitments and Contingencies</w:t>
      </w:r>
    </w:p>
    <w:p>
      <w:pPr>
        <w:ind w:right="60"/>
        <w:spacing w:after="0" w:line="252" w:lineRule="auto"/>
        <w:rPr>
          <w:sz w:val="20"/>
          <w:szCs w:val="20"/>
          <w:color w:val="auto"/>
        </w:rPr>
      </w:pPr>
      <w:r>
        <w:rPr>
          <w:rFonts w:ascii="Times New Roman" w:cs="Times New Roman" w:eastAsia="Times New Roman" w:hAnsi="Times New Roman"/>
          <w:sz w:val="18"/>
          <w:szCs w:val="18"/>
          <w:color w:val="auto"/>
        </w:rPr>
        <w:t>We are subject to a range of claims, disputes, enforcement actions, investigations, lawsuits, overhead cost claims, environmental matters, income tax matters and administrative proceedings that arise in the ordinary course of business. Estimating liabilities and costs associated with these matters requires judgment based upon the professional knowledge and experience of management. We determine whether to record a reserve and, if so, what amount based on consideration of the facts and circumstances of each matter as then known to us. Determinations regarding whether to record a reserve and, if so, of what amount, reflect management’s assessment regarding what is likely to occur; they do not necessarily reflect what management believes should occur. The ultimate resolution of any such exposure to us may vary materially from earlier estimates as further facts and circumstances develop or become known to us.</w:t>
      </w:r>
    </w:p>
    <w:p>
      <w:pPr>
        <w:spacing w:after="0" w:line="65"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Environmental Matters </w:t>
      </w:r>
      <w:r>
        <w:rPr>
          <w:rFonts w:ascii="Times New Roman" w:cs="Times New Roman" w:eastAsia="Times New Roman" w:hAnsi="Times New Roman"/>
          <w:sz w:val="17"/>
          <w:szCs w:val="17"/>
          <w:color w:val="auto"/>
        </w:rPr>
        <w:t>– We are subject to environmental laws and regulations in the jurisdictions in which we do or have done business. Factors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could result in changes to the assessment of probability, range of reasonably estimated costs and environmental accruals include: modification of planned remedial actions; changes in the estimated time required to conduct remedial actions; discovery of more or less extensive (or different) contamination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than anticipated; information regarding the potential causes and effects of contamination; results of efforts to involve other responsible parties; financial capabilities of other responsible parties; changes in laws and regulations, their interpretation or application; contractual obligations affecting remediation or responsibilities; and improvements in remediation technology. As we expect to recover a significant portion of environmental remediation liabilities through overhead charges on government contracts, such amounts are deferred in prepaid expenses and other current assets (current portion) and other non-current assets until charged to contracts. We use judgment to evaluate the recoverability of our environmental remediation costs, assessing, among other things, U.S. government regulations, our U.S. government contract mix and past practices. Portions of the company’s environmental liabilities we do not expect to be recoverable have been expensed. As of December 31, 2024, we expect approximately 93 percent of the company’s environmental remediation costs to be recoverable; however, to the extent our judgments on the recoverability of our environmental remediation costs change or the unallowable portion of our environmental remediation costs otherwise increase, there could be a significant impact on our consolidated financial position, annual results of operations and/or cash flows.</w:t>
      </w:r>
    </w:p>
    <w:p>
      <w:pPr>
        <w:spacing w:after="0" w:line="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 Matters </w:t>
      </w:r>
      <w:r>
        <w:rPr>
          <w:rFonts w:ascii="Times New Roman" w:cs="Times New Roman" w:eastAsia="Times New Roman" w:hAnsi="Times New Roman"/>
          <w:sz w:val="18"/>
          <w:szCs w:val="18"/>
          <w:color w:val="auto"/>
        </w:rPr>
        <w:t>– The evaluation of tax positions taken in a filed tax return, or planned to be taken in a future tax return or claim, requires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We establish reserves for uncertain tax positions when, despite the belief that our tax positions are supportable, there remains uncertainty in a tax position taken in our filed tax returns or planned to be taken in a future tax return or claim. The company follows a recognition and measurement approach, considering the facts, circumstances, and information available at the reporting date. We exercise judgment in determining the level of evidence necessary and appropriate to support our assessment using all available information. The technical merits of a given tax position are derived from sources of authority in the tax law and their applicability to the facts and circumstances of the position. In measuring the tax position, the company considers the amounts and probabilities of the outcomes that could be realized upon settlement. When it is more likely than not that a tax position will be sustained, we record the largest amount of tax benefit with a greater than 50 percent likelihood of being realized upon ultimate settlement with a taxing authority. As of December 31, 2024, we have approximately $1.4 billion in unrecognized tax benefits. To the extent we prevail in matters for which reserves have been established or are required to pay amounts in excess of reserves, there could be a significant impact on our consolidated financial position, annual results of operations and/or cash flows.</w:t>
      </w:r>
    </w:p>
    <w:p>
      <w:pPr>
        <w:spacing w:after="0" w:line="5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further information on litigation, commitments and contingencies, see “Risk Factors” and Note 1, Note 6, Note 10 and Note 11 to the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Long-Lived Assets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We allocate the purchase price of acquired businesses to the underlying tangible and intangible assets acquired and liabilities assumed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their respective fair values, with the excess recorded as goodwill. Such fair value assessments require judgments and estimates that can be affected by contract performance and other factors over time, which may cause final amounts to differ materially from original estimates. Adjustments to the fair value of purchased assets and liabilities after the initial measurement period are recognized in net earnings.</w:t>
      </w:r>
    </w:p>
    <w:p>
      <w:pPr>
        <w:spacing w:after="0" w:line="6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record property, plant and equipment (PP&amp;E) for capital assets used in operating our business. The cost of PP&amp;E utilized in support of our government contracts is generally allowable and allocable cost in accordance with applicable FAR and CAS requirements, which limits our risk of impairment on those assets. However, the cost of PP&amp;E utilized in support of our commercial business, including approximately $575 million of PP&amp;E used in our commercial space business, is not allocable to government contracts and is therefore subject to greater recoverability risk.</w:t>
      </w:r>
    </w:p>
    <w:p>
      <w:pPr>
        <w:spacing w:after="0" w:line="4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Testing </w:t>
      </w:r>
      <w:r>
        <w:rPr>
          <w:rFonts w:ascii="Times New Roman" w:cs="Times New Roman" w:eastAsia="Times New Roman" w:hAnsi="Times New Roman"/>
          <w:sz w:val="18"/>
          <w:szCs w:val="18"/>
          <w:color w:val="auto"/>
        </w:rPr>
        <w:t>– We test for impairment of goodwill annually at each of our reporting units, which comprise our operating segments. The results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goodwill impairment tests as of December 31, 2024 and 2023, respectively, indicated that the estimated fair value of each reporting unit significantly exceeded its respective carrying value. There were no impairment charges recorded in the years ended December 31, 2024, 2023 and 2022.</w:t>
      </w:r>
    </w:p>
    <w:p>
      <w:pPr>
        <w:spacing w:after="0" w:line="5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addition to performing an annual goodwill impairment test, we may perform an interim impairment test if events occur or circumstances change that suggest goodwill in any of our reporting units may be impaired. Such indicators may include, but are not limited to, the loss of significant business, significant reductions in federal government appropriations or other significant adverse changes in industry or market conditions. During 2024, we determined there were no impairment indicators requiring us to perform an interim goodwill impairment test.</w:t>
      </w:r>
    </w:p>
    <w:p>
      <w:pPr>
        <w:spacing w:after="0" w:line="5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When testing goodwill for impairment, we compare the fair values of each of our reporting units to their respective carrying values. To determine the fair value of our reporting units, we primarily use the income approach based on the cash flows we expect the reporting units to generate in the future, consistent with our operating plans. This income valuation method requires management to project sales, operating expenses, working capital, capital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spending and cash flows for the reporting units over a multi-year period, as well as to determine the weighted-average cost of capital (WACC) used as a discount rate and terminal value assumptions. The WACC takes into account the relative weights of each component of our consolidated capital structure (equity and debt) and represents the expected cost of new capital adjusted as appropriate to consider lower risk profiles associated with longer-term contracts and barriers to market entry. The terminal value assumptions are applied to the final year of the discounted cash flow model. We use industry multiples (including relevant control premiums) of operating earnings to corroborate the fair values of our reporting units determined under the market valuation method of the income approach.</w:t>
      </w:r>
    </w:p>
    <w:p>
      <w:pPr>
        <w:spacing w:after="0" w:line="6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test for impairment of our long-lived assets when events or changes in circumstances indicate that the carrying amount of these assets may not be recoverable. Our assessment is based on our projection of the undiscounted future operating cash flows of the related asset group. If such projections indicate that future undiscounted cash flows are not sufficient to recover the carrying amount, we recognize a non-cash impairment charge to reduce the carrying amount to fair value. There were no impairment charges recorded in the years ended December 31, 2024, 2023 and 2022.</w:t>
      </w:r>
    </w:p>
    <w:p>
      <w:pPr>
        <w:spacing w:after="0" w:line="45"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Impairment assessment inherently involves management judgments as to assumptions about expected future cash flows and the impact of market conditions on those assumptions. Due to the many variables inherent in developing the estimates used in our impairment analyses, differences in assumptions may have a material effect on the results of those impairment analyses.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0"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RISK</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been and continue to be exposed to market risk with respect to our portfolio of marketable securities with a fair value of $347 million at December 31, 2024. These securities are exposed to market volatilities, changes in price and interest rates.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on variable-rate short-term credit facilities for which there were no borrowings outstanding at December 31, 2024. At December 31, 2024, we have $16.3 billion of long-term debt, primarily consisting of fixed-rate debt, with a fair value of approximately $15.3 billion. The terms of our fixed-rate debt obligations do not generally allow investors to demand payment of these obligations prior to maturity. Therefore, we do not have significant exposure to interest rate risk for our fixed-rate debt; however, we do have exposure to fair value risk if we repurchase or exchange long-term debt prior to maturity. Additionally, if we were to refinance our long-term debt, it may be refinanced at higher interest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certain circumstances, we are exposed to foreign currency risk. We enter foreign currency forward contracts to manage a portion of the exchange rate risk related to receipts from customers and payments to suppliers denominated in foreign currencies. We do not hold or issue derivative financial instruments for trading purposes. At December 31, 2024, foreign currency forward contracts with a notional amount of $399 million were outstanding. At December 31, 2024, a 10 percent unfavorable foreign exchange rate movement would not have a material impact on our consolidated financial position, annual results of operations and/or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global macroeconomic environment has experienced extraordinary challenges in recent years, including the highest rates of inflation in 40 years. The company, its subcontractors and other suppliers, have experienced, and may in the future experience, pressures from heightened levels of inflation and challenges from the macroeconomic environment. Certain of our fixed-price contracts include economic price adjustment (EPA) clauses to help protect the company against inflationary pressures. However, these EPA clauses may not be able to fully mitigate adverse impacts of rising inflation on the company’s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Northrop Grumman Corporation and subsidiaries (the “Company”) as of December 31, 2024 and 2023, the related consolidated statements of earnings and comprehensive income, changes in shareholders’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6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January 29, 2025 expressed an unqualified opinion on the Company’s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94"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and risk committee and that (1) relates to accounts or disclosures that are material to the financial statements and</w:t>
      </w:r>
    </w:p>
    <w:p>
      <w:pPr>
        <w:spacing w:after="0" w:line="1" w:lineRule="exact"/>
        <w:rPr>
          <w:sz w:val="20"/>
          <w:szCs w:val="20"/>
          <w:color w:val="auto"/>
        </w:rPr>
      </w:pPr>
    </w:p>
    <w:p>
      <w:pPr>
        <w:ind w:firstLine="8"/>
        <w:spacing w:after="0" w:line="255"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60" w:lineRule="exact"/>
        <w:rPr>
          <w:sz w:val="20"/>
          <w:szCs w:val="20"/>
          <w:color w:val="auto"/>
        </w:rPr>
      </w:pPr>
    </w:p>
    <w:p>
      <w:pPr>
        <w:ind w:right="6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Revenue Recognition - Estimates of Revenue and Cost at Completion for Select Long-Term Contracts - Refer to Note 1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further described in Note 1 to the financial statements, the Company recognizes revenue as control is transferred to the customer, which for long-term contracts is generally over-time using the cost-to-cost method (cost incurred relative to total cost estimated at completion). Use of the cost-to-cost-method requires the Company to make reasonably dependable estimates regarding the revenue and costs associated with the design, manufacture and delivery of their products or services. The Company estimates profit on these contracts as the difference between total estimated revenue and total estimated costs at completion and recognizes that profit as costs are incurred.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analyzed the Company’s contract portfolio to identify contracts that we believe had elevated financial or performance risk. For those contracts identified, the evaluation of one or more of the assumptions used to recognize revenue required extensive audit effort due to the complexity of the contracts and a high degree of auditor judgment.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revenue and cost estimates for these contracts identified included the following, among others:</w:t>
      </w:r>
    </w:p>
    <w:p>
      <w:pPr>
        <w:spacing w:after="0" w:line="104" w:lineRule="exact"/>
        <w:rPr>
          <w:sz w:val="20"/>
          <w:szCs w:val="20"/>
          <w:color w:val="auto"/>
        </w:rPr>
      </w:pPr>
    </w:p>
    <w:p>
      <w:pPr>
        <w:ind w:left="660" w:right="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controls over the significant assumptions and judgments underlying the estimates of revenues and costs to completion associated with these long-term contracts.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risk characteristic identified on an individual contract, we evaluated certain revenue and cost assumptions by:</w:t>
      </w:r>
    </w:p>
    <w:p>
      <w:pPr>
        <w:spacing w:after="0" w:line="90" w:lineRule="exact"/>
        <w:rPr>
          <w:rFonts w:ascii="Times New Roman" w:cs="Times New Roman" w:eastAsia="Times New Roman" w:hAnsi="Times New Roman"/>
          <w:sz w:val="18"/>
          <w:szCs w:val="18"/>
          <w:color w:val="auto"/>
        </w:rPr>
      </w:pPr>
    </w:p>
    <w:p>
      <w:pPr>
        <w:ind w:left="1300" w:right="4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Reading the underlying contract and any amendments or modifications to understand the contractual requirements and performance obligations.</w:t>
      </w:r>
    </w:p>
    <w:p>
      <w:pPr>
        <w:spacing w:after="0" w:line="4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Assessing the timing of recognition of any incentive fees or award fees based on contract terms and relevant historical trends.</w:t>
      </w:r>
    </w:p>
    <w:p>
      <w:pPr>
        <w:spacing w:after="0" w:line="103" w:lineRule="exact"/>
        <w:rPr>
          <w:rFonts w:ascii="Times New Roman" w:cs="Times New Roman" w:eastAsia="Times New Roman" w:hAnsi="Times New Roman"/>
          <w:sz w:val="18"/>
          <w:szCs w:val="18"/>
          <w:color w:val="auto"/>
        </w:rPr>
      </w:pPr>
    </w:p>
    <w:p>
      <w:pPr>
        <w:ind w:left="130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Evaluating management’s ability to achieve the estimates of remaining revenue and costs by performing inquiries with the Company’s program and business management regarding their basis of estimates including work plans, engineering specifications, program labor and suppliers, challenges or opportunities related to the program, actual performance to date compared to plan, and any recent correspondence between the Company and the customer on changes in scope or contractual terms.</w:t>
      </w:r>
    </w:p>
    <w:p>
      <w:pPr>
        <w:spacing w:after="0" w:line="44" w:lineRule="exact"/>
        <w:rPr>
          <w:rFonts w:ascii="Times New Roman" w:cs="Times New Roman" w:eastAsia="Times New Roman" w:hAnsi="Times New Roman"/>
          <w:sz w:val="18"/>
          <w:szCs w:val="18"/>
          <w:color w:val="auto"/>
        </w:rPr>
      </w:pPr>
    </w:p>
    <w:p>
      <w:pPr>
        <w:ind w:left="13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Evaluating selected changes to the estimates of costs to completion and obtaining supporting documentation on the appropriateness of the timing and amounts of these changes in estimates.</w:t>
      </w:r>
    </w:p>
    <w:p>
      <w:pPr>
        <w:spacing w:after="0" w:line="40" w:lineRule="exact"/>
        <w:rPr>
          <w:rFonts w:ascii="Times New Roman" w:cs="Times New Roman" w:eastAsia="Times New Roman" w:hAnsi="Times New Roman"/>
          <w:sz w:val="18"/>
          <w:szCs w:val="18"/>
          <w:color w:val="auto"/>
        </w:rPr>
      </w:pPr>
    </w:p>
    <w:p>
      <w:pPr>
        <w:ind w:left="1300" w:right="7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accuracy and completeness of the information used in developing estimates, as well as the mathematical accuracy of management’s calculation of revenue recognized during the period for the performance obligations.</w:t>
      </w: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1975.</w:t>
      </w:r>
    </w:p>
    <w:p>
      <w:pPr>
        <w:spacing w:after="0" w:line="200" w:lineRule="exact"/>
        <w:rPr>
          <w:sz w:val="20"/>
          <w:szCs w:val="20"/>
          <w:color w:val="auto"/>
        </w:rPr>
      </w:pPr>
    </w:p>
    <w:p>
      <w:pPr>
        <w:sectPr>
          <w:pgSz w:w="11900" w:h="16838" w:orient="portrait"/>
          <w:cols w:equalWidth="0" w:num="2">
            <w:col w:w="200" w:space="540"/>
            <w:col w:w="10480"/>
          </w:cols>
          <w:pgMar w:left="320" w:top="36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729"/>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AND COMPREHENSIVE INCOME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7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860" w:type="dxa"/>
            <w:vAlign w:val="bottom"/>
            <w:tcBorders>
              <w:bottom w:val="single" w:sz="8" w:color="auto"/>
            </w:tcBorders>
          </w:tcPr>
          <w:p>
            <w:pPr>
              <w:spacing w:after="0"/>
              <w:rPr>
                <w:sz w:val="24"/>
                <w:szCs w:val="24"/>
                <w:color w:val="auto"/>
              </w:rPr>
            </w:pP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32,726</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30,897</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28,522</w:t>
            </w:r>
          </w:p>
        </w:tc>
      </w:tr>
      <w:tr>
        <w:trPr>
          <w:trHeight w:val="230"/>
        </w:trPr>
        <w:tc>
          <w:tcPr>
            <w:tcW w:w="7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8,307</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8,393</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41,033</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39,290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36,602</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26,188</w:t>
            </w:r>
          </w:p>
        </w:tc>
        <w:tc>
          <w:tcPr>
            <w:tcW w:w="3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26,226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22,761</w:t>
            </w: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6,483</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6,513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r>
      <w:tr>
        <w:trPr>
          <w:trHeight w:val="230"/>
        </w:trPr>
        <w:tc>
          <w:tcPr>
            <w:tcW w:w="7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3,992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4,014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w:t>
            </w:r>
          </w:p>
        </w:tc>
      </w:tr>
      <w:tr>
        <w:trPr>
          <w:trHeight w:val="223"/>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36,663</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36,753</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33,001</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4,370</w:t>
            </w:r>
          </w:p>
        </w:tc>
        <w:tc>
          <w:tcPr>
            <w:tcW w:w="3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2,537</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(621)</w:t>
            </w:r>
          </w:p>
        </w:tc>
        <w:tc>
          <w:tcPr>
            <w:tcW w:w="3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656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benefit (expense)</w:t>
            </w:r>
          </w:p>
        </w:tc>
        <w:tc>
          <w:tcPr>
            <w:tcW w:w="2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443</w:t>
            </w:r>
          </w:p>
        </w:tc>
        <w:tc>
          <w:tcPr>
            <w:tcW w:w="3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(422)</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30"/>
        </w:trPr>
        <w:tc>
          <w:tcPr>
            <w:tcW w:w="7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168</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246</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5,016</w:t>
            </w:r>
          </w:p>
        </w:tc>
        <w:tc>
          <w:tcPr>
            <w:tcW w:w="3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2,346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r>
      <w:tr>
        <w:trPr>
          <w:trHeight w:val="230"/>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842</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290</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30"/>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4,174</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2,056</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w:t>
            </w:r>
          </w:p>
        </w:tc>
      </w:tr>
      <w:tr>
        <w:trPr>
          <w:trHeight w:val="243"/>
        </w:trPr>
        <w:tc>
          <w:tcPr>
            <w:tcW w:w="7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28.39</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13.57</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37"/>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147.0</w:t>
            </w: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151.5</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28.34</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13.53</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36"/>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147.3</w:t>
            </w: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152.0</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43"/>
        </w:trPr>
        <w:tc>
          <w:tcPr>
            <w:tcW w:w="7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4,174</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2,056</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Change in other,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4,150</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2,081</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4,353</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1,272</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5,908</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1,455</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1,286</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14,274</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0" w:type="dxa"/>
            <w:vAlign w:val="bottom"/>
          </w:tcPr>
          <w:p>
            <w:pPr>
              <w:spacing w:after="0"/>
              <w:rPr>
                <w:sz w:val="1"/>
                <w:szCs w:val="1"/>
                <w:color w:val="auto"/>
              </w:rPr>
            </w:pPr>
          </w:p>
        </w:tc>
      </w:tr>
      <w:tr>
        <w:trPr>
          <w:trHeight w:val="223"/>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$8,733 for 2024 and $7,964 for 2023</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10,536</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1,770</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17,512</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254</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1,599</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2,184</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1,230</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49,359</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46,544</w:t>
            </w:r>
          </w:p>
        </w:tc>
        <w:tc>
          <w:tcPr>
            <w:tcW w:w="0" w:type="dxa"/>
            <w:vAlign w:val="bottom"/>
          </w:tcPr>
          <w:p>
            <w:pPr>
              <w:spacing w:after="0"/>
              <w:rPr>
                <w:sz w:val="1"/>
                <w:szCs w:val="1"/>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2,599</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2,271</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4,070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5,188</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14,128</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0" w:type="dxa"/>
            <w:vAlign w:val="bottom"/>
          </w:tcPr>
          <w:p>
            <w:pPr>
              <w:spacing w:after="0"/>
              <w:rPr>
                <w:sz w:val="1"/>
                <w:szCs w:val="1"/>
                <w:color w:val="auto"/>
              </w:rPr>
            </w:pPr>
          </w:p>
        </w:tc>
      </w:tr>
      <w:tr>
        <w:trPr>
          <w:trHeight w:val="223"/>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$1,582 for 2024 and $70 for 2023</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14,692</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1,120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1,798</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2,331</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34,069</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8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2024—144,952,026 and 2023</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145</w:t>
            </w: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—150,109,271</w:t>
            </w:r>
          </w:p>
        </w:tc>
        <w:tc>
          <w:tcPr>
            <w:tcW w:w="2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15,297</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(152)</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15,290</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49,359</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46,544</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729"/>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4,174</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2,056</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provided by operating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1,370</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1,338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(benefit)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(443)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101</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(582)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B-21 charge</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1,559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(438)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(129)</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182</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9"/>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(358)</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(513)</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1,143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4,388</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3,875</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237"/>
        </w:trPr>
        <w:tc>
          <w:tcPr>
            <w:tcW w:w="7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(1,767)</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equipment to a customer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minority investments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(1,749)</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37"/>
        </w:trPr>
        <w:tc>
          <w:tcPr>
            <w:tcW w:w="7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proceeds from issuance of long-term debt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2,495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(2,514)</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paid</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(1,186)</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(1,395)</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(1,761)</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1,244</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29"/>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3,109</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2,577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r>
      <w:tr>
        <w:trPr>
          <w:trHeight w:val="23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4,353</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3,109</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729"/>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6"/>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150</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Shares issued for employee stock awards and options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145</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14,773</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15,312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12,913</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(2,510)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4,174</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(1,185)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15,297</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14,773</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(152)</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15,290</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14,795</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15,312</w:t>
            </w:r>
          </w:p>
        </w:tc>
      </w:tr>
      <w:tr>
        <w:trPr>
          <w:trHeight w:val="237"/>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8.05</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7.34</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Northrop Grumman Corporation is a leading global aerospace and defense technology company. We deliver a broad range of products, services and solutions to U.S. and international customers, and principally to the U.S. Department of Defense and intelligence community. Our broad portfolio is aligned to support national security priorities and our solutions equip our customers with capabilities they need to connect, protect and advance humanity.</w:t>
      </w:r>
    </w:p>
    <w:p>
      <w:pPr>
        <w:spacing w:after="0" w:line="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Reporting</w:t>
      </w:r>
    </w:p>
    <w:p>
      <w:pPr>
        <w:spacing w:after="0" w:line="3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(the “financial statements”) include the accounts of Northrop Grumman and its subsidiaries and joint ventures or other investments for which we consolidate the financial results. Intercompany accounts, transactions and profits are eliminated in consolidation. Investments in equity securities and joint ventures where the company has significant influence, but not control, are accounted for using the equity method.</w:t>
      </w:r>
    </w:p>
    <w:p>
      <w:pPr>
        <w:spacing w:after="0" w:line="3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financial statements are prepared in conformity with U.S. GAAP and in accordance with the rules of the SEC. The financial statements include adjustments of a normal recurring nature considered necessary by management for a fair presentation of the company’s consolidated financial position, results of operations and cash flows. For classification of certain current assets and liabilities, we consider the duration of our customer contracts when defining our operating cycle, which is generally longer than one year.</w:t>
      </w:r>
    </w:p>
    <w:p>
      <w:pPr>
        <w:spacing w:after="0" w:line="58"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Effective July 1, 2024, the company realigned the Strategic Deterrent Systems (SDS) division, which includes the Ground-Based Strategic Deterrent (“Sentinel”) program, from Space Systems to Defense Systems. This realignment is reflected in the financial information contained in this report.</w:t>
      </w:r>
    </w:p>
    <w:p>
      <w:pPr>
        <w:spacing w:after="0" w:line="16"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Subsequent Realignment </w:t>
      </w:r>
      <w:r>
        <w:rPr>
          <w:rFonts w:ascii="Times New Roman" w:cs="Times New Roman" w:eastAsia="Times New Roman" w:hAnsi="Times New Roman"/>
          <w:sz w:val="18"/>
          <w:szCs w:val="18"/>
          <w:color w:val="auto"/>
        </w:rPr>
        <w:t>- Effective January 1, 2025, the company realigned the Strike and Surveillance Aircraft Solutions (SSAS) business unit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Defense Systems to Aeronautics Systems. This realignment is not reflected in the financial information contained in this report; it will be reflected in the company’s operating results beginning in the first quarter of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color w:val="auto"/>
        </w:rPr>
        <w:t>The majority of our sales are derived from long-term contracts with the U.S. government for the development or production of goods, the provision of services, or a combination of both. The company classifies sales as product or service based on the predominant attributes of each performance obligation.</w:t>
      </w:r>
    </w:p>
    <w:p>
      <w:pPr>
        <w:spacing w:after="0" w:line="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recognizes revenue for each separately identifiable performance obligation in a contract representing a promise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most commonly when a contract covers multiple phases of the product life cycle (e.g., development, production, sustainment, etc.).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Warranties are provided on certain contracts, but do not typically provide for services beyond standard assurances and are therefore not considered to be separate performance obligations. Assets recognized from the costs to obtain or fulfill a contract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recognizes revenue as control is transferred to the customer, either over time or at a point in time. In general, our U.S. government contracts contain termination for convenience and/or other clauses that generally provide the customer rights to goods produced and/or in-process. Similarly, our non-U.S. government contracts generally contain contractual termination clauses or entitle the company to payment for work performed to date for goods and services that do not have an alternative use. For most of our contracts, control is effectively transferred during the period of performance, so we generally recognize revenue over time using the cost-to-cost method (cost incurred relative to total cost estimated at completion). The company believes this represents the most appropriate measurement towards satisfaction of its performance obligations. Revenue for contracts in which the control of goods produced does not transfer until delivery to the customer is recognized at a point in time (i.e., typically upon delivery).</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Contracts are often modified for changes in contract specifications or requirements, which may result in scope and/or price changes. Most of the company’s contract modifications are for goods or services that are not distinct in the context of the contract and are therefore accounted for as part of the original performance obligation through a cumulative EAC adjustment.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un-priced change orders,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G&amp;A costs, is charged against income in the period the loss is identified.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Program</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fourth quarter of 2023, we recognized a projected loss of $1.56 billion across the five LRIP options of the B-21 program. As of December 31, 2024, the remaining loss accrual is $1.3 billion, which is included in Other current liabilities.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EAC Adjustments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w:t>
            </w: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77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0.43</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bl>
    <w:p>
      <w:pPr>
        <w:spacing w:after="0" w:line="154"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Based on a 21% federal statutory tax rate.</w:t>
      </w:r>
    </w:p>
    <w:p>
      <w:pPr>
        <w:spacing w:after="0" w:line="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 adjustments on a single performance obligation can have a significant effect on the company’s financial statements. When such adjustments occur, we generally disclose the nature, underlying conditions and financial impact of the adjustments. During the third quarter of 2024, we recorded a $39 million favorable EAC adjustment on the HALO program at Space Systems related to the resolution of an engineering change proposal (ECP) as previously disclosed. During 2023, we recorded a $143 million unfavorable EAC adjustment on the first LRIP lot of the B-21 program at Aeronautics Systems and $100 million of unfavorable EAC adjustments on the HALO program at Space Systems. During 2022, we recorded $133 million of favorable EAC adjustments on the EMD phase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B-21 program at Aeronautics Systems. No other such adjustments were significant to the financial statements during the years ended December 31, 2024, 2023 and 2022.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IDIQ contracts are not included in backlog until the time an option or IDIQ task order is exercised or awarded.</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Company backlog as of December 31, 2024 was $91.5 billion. Of our December 31, 2024 backlog, we expect to recognize approximately 40 percent as revenue over the next 12 months and 65 percent as revenue over the next 24 months, with the remainder to be recognized thereafter.</w:t>
      </w:r>
    </w:p>
    <w:p>
      <w:pPr>
        <w:spacing w:after="0" w:line="4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2024, the company reduced unfunded backlog by $1.6 billion and $0.7 billion related to terminations for convenience in our restricted space business and on the NGI program at Space Systems,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Contract assets are equivalent to and reflected as Unbilled receivables in the consolidated statements of financial position and are primarily related to long-term contracts where revenue recognized under the cost-to-cost method exceeds amounts billed to customers. Unbilled receivables are classified as current assets and include amounts that may be billed and collected beyond one year due to the long-cycle nature of many of our contracts. Accumulated contract costs in unbilled receivables include costs such as direct production costs, factory and engineering overhead, production tooling costs, and allowable G&amp;A.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Contract liabilities are equivalent to and reflected as Advance payments and billings in excess of costs incurred in the consolidated statements of financial position. Certain customers make advance payments prior to the company’s satisfaction of its obligations on the contract. These amounts are recorded as contract liabilities until such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contract assets are as follows:</w:t>
            </w: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7"/>
        </w:trPr>
        <w:tc>
          <w:tcPr>
            <w:tcW w:w="20" w:type="dxa"/>
            <w:vAlign w:val="bottom"/>
          </w:tcPr>
          <w:p>
            <w:pPr>
              <w:spacing w:after="0"/>
              <w:rPr>
                <w:sz w:val="24"/>
                <w:szCs w:val="24"/>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3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5,908</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5,693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20" w:type="dxa"/>
            <w:vAlign w:val="bottom"/>
          </w:tcPr>
          <w:p>
            <w:pPr>
              <w:spacing w:after="0"/>
              <w:rPr>
                <w:sz w:val="19"/>
                <w:szCs w:val="19"/>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 payments and amounts in excess of costs incurred</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(4,070)</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(4,193)</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tcPr>
          <w:p>
            <w:pPr>
              <w:spacing w:after="0"/>
              <w:rPr>
                <w:sz w:val="20"/>
                <w:szCs w:val="20"/>
                <w:color w:val="auto"/>
              </w:rPr>
            </w:pPr>
          </w:p>
        </w:tc>
        <w:tc>
          <w:tcPr>
            <w:tcW w:w="5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1,838</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Changes in the company’s contract assets and liabilities primarily result from timing differences between revenue recognition and customer billings and/or payments. Net contract assets as of December 31, 2024 increased 23 percent from the prior year, primarily due to the burn down of advances on certain Aeronautics Systems programs and an increase in unbilled receivables on several programs at Space Systems.</w:t>
      </w:r>
    </w:p>
    <w:p>
      <w:pPr>
        <w:spacing w:after="0" w:line="4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for the years ended December 31, 2024, 2023 and 2022 that was included in the contract liability balance at the beginning of each year was $3.6 billion, $3.1 billion and $2.4 billion,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See Note 15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31"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18"/>
          <w:szCs w:val="18"/>
          <w:color w:val="auto"/>
        </w:rPr>
        <w:t>In accordance with applicable FAR and CAS requirements, most general management and corporate expenses incurred at the segment and corporate locations are considered allowable and allocable costs to our U.S. government contracts. Allowable and allocable G&amp;A costs, including independent research and development (IR&amp;D) and bid and proposal (B&amp;P) costs, are allocated on a systematic basis to contracts in progress and are included as a component of total estimated contract costs.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3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Company-sponsored research and development activities primarily include efforts related to government programs. Company-sponsored IR&amp;D expenses totaled $1.1 billion, $1.2 billion and $1.2 billion in 2024, 2023 and 2022, respectively, which represented 2.7 percent, 3.0 percent and 3.3 percent of total sales, respectively. Customer-funded research and development activities are charged directly to the related contracts.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Provisions for federal and foreign income taxes are calculated on reported earnings before income taxes based on current tax law and include the cumulative effect of any changes in tax rates from those used previously in determining deferred tax assets and liabilities. Such provisions differ from the amounts currently payable because certain items of income and expense are recognized in different periods for financial reporting purposes than for income tax purposes. The company recognizes federal and foreign interest accrued related to unrecognized tax benefits in income tax expense. Federal tax penalties are also recognized as a component of income tax expense.</w:t>
      </w:r>
    </w:p>
    <w:p>
      <w:pPr>
        <w:spacing w:after="0" w:line="6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accordance with applicable FAR and CAS requirements, current state and local income and franchise taxes are generally considered allowable and allocable costs to our U.S. government contracts and are, therefore, recorded in operating costs and expenses. The company generally recognizes changes in deferred state taxes and unrecognized state tax benefits in unallocated corporate expenses.</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Uncertain tax positions reflect the company’s expected treatment of tax positions taken in a filed tax return, or planned to be taken in a future tax return or claim.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 statements of financial position.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3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Cash and cash equivalents are comprised of cash in banks and highly liquid instruments with original maturities of three months or less, primarily consisting of bank time deposits and investments in institutional money market funds. Cash in bank accounts often exceeds federally insured limits.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company measures the fair value of its financial instruments using observable and unobservable inputs. Observable inputs reflect market data obtained from independent sources, while unobservable inputs reflect internal market assumptions.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two types of inputs create the following fair value hierarchy: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04" w:lineRule="exact"/>
        <w:rPr>
          <w:sz w:val="20"/>
          <w:szCs w:val="20"/>
          <w:color w:val="auto"/>
        </w:rPr>
      </w:pPr>
    </w:p>
    <w:p>
      <w:pPr>
        <w:ind w:left="740" w:right="480" w:hanging="728"/>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holds a portfolio of marketable securities to partially fund non-qualified employee benefit plans. A portion of these securities are held in common/collective trust funds and are measured at fair value using NAV per share as a practical expedient. Marketable securities accounted for as trading are recorded at fair value on a recurring basis and are included in Other non-current assets in the consolidated statements of financial position. Changes in unrealized gains and losses on trading securities are included in Other, net in the consolidated statements of earnings and comprehensive income. Investments in held-to-maturity instruments with original maturities greater than three months are recorded at amortized cost.</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Derivative financial instruments are recognized as assets or liabilities in the financial statements and measured at fair value on a recurring basis. Changes in the fair value of derivative financial instruments that are designated as fair value hedges are recorded in Other, net in the consolidated statements of earnings and comprehensive income, while changes in the fair value of derivative financial instruments that are designated as cash flow hedges are recorded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component of other comprehensive income until the hedged transaction is recognized in earnings. For derivative financial instruments not designated as hedging instruments, gains or losses resulting from changes in the fair value are reported in Other, net in the consolidated statements of earnings and comprehensive income.</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uses derivative financial instruments to manage its exposure to foreign currency exchange risk related to receipts from customers and payments to suppliers denominated in foreign currencies (i.e., foreign currency forward contracts). For foreign currency forward contracts, where model-derived valuations are appropriate, the company utilizes the income approach to determine the fair value using internal models based on observable market inputs such as forward rates, interest rates, our own credit risk and our counterparties’ credit risks.</w:t>
      </w:r>
    </w:p>
    <w:p>
      <w:pPr>
        <w:spacing w:after="0" w:line="4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financial instruments for trading or speculative purposes, nor does it use leveraged financial instruments. Credit risk related to derivative financial instruments is considered minimal and is managed through the use of multiple counterparties with high credit standards and periodic settlements of positions, as well as by entering into master netting agreements with most of our counterparties.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Inventoried Costs</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The company records inventoried costs at the lower of cost or net realizable value. Inventoried costs are categorized into raw materials, work in process, and finished goods. Raw materials are recognized using the average cost method and are generally included in contract cost when allocated to specific contracts. Work in process primarily consists of a) costs associated with specific anticipated contracts or costs incurred in excess of existing contract requirements, which are probable of recovery, and b) costs associated with unsatisfied performance obligations on contracts accounted for using point in time revenue recognition. Finished goods primarily consists of inventory maintained in support of sustainment contracts.</w:t>
      </w:r>
    </w:p>
    <w:p>
      <w:pPr>
        <w:spacing w:after="0" w:line="6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Inventoried costs include direct production costs, factory and engineering overhead, production tooling costs, and allowable G&amp;A. G&amp;A included in Inventoried costs, net was $100 million and $65 million as of December 31, 2024 and 2023, respectively. Inventoried costs are classified as current assets and include amounts related to contracts having production cycles longer than one year due to the long-cycle nature of our business.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Surrender Value of Life Insurance Policies</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maintains whole life and split-dollar life insurance policies primarily on former officers and executives. Whole life insurance policies are recorded at their cash surrender value as determined by the insurance carrier, and split-dollar life insurance policies are recorded at the lesser of their cash surrender value or premiums paid. These policies are utilized as a partial funding source for deferred compensation and other non-qualified employee retirement plans. As of December 31, 2024 and 2023, the carrying values associated with these policies were $416 million and $399 million, respectively, and are recorded in Other non-current assets in the consolidated statements of financial position.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Property, plant and equipment (PP&amp;E) are depreciated over the estimated useful lives of individual assets. Machinery and other equipment is primarily depreciated using declining-balance methods. The other asset categories are generally depreciated using the straight-line method. Depreciation expense is generally an allowable and allocable cost in accordance with applicable FAR and CAS requirements and is recorded in the same segment where the related assets are held. However, the additional depreciation expense related to the step-up in fair value of PP&amp;E acquired through business combinations is recorded in unallocated corporate expense within operating income as such depreciation is not allocable to government contracts and not considered part of management’s evaluation of segment operating performance. Major classes of PP&amp;E and their useful lives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Useful life in years, $ in millions</w:t>
            </w:r>
          </w:p>
        </w:tc>
        <w:tc>
          <w:tcPr>
            <w:tcW w:w="3580" w:type="dxa"/>
            <w:vAlign w:val="bottom"/>
            <w:tcBorders>
              <w:top w:val="single" w:sz="8" w:color="auto"/>
              <w:bottom w:val="single" w:sz="8" w:color="auto"/>
            </w:tcBorders>
          </w:tcPr>
          <w:p>
            <w:pPr>
              <w:jc w:val="center"/>
              <w:ind w:left="1870"/>
              <w:spacing w:after="0"/>
              <w:rPr>
                <w:sz w:val="20"/>
                <w:szCs w:val="20"/>
                <w:color w:val="auto"/>
              </w:rPr>
            </w:pPr>
            <w:r>
              <w:rPr>
                <w:rFonts w:ascii="Times New Roman" w:cs="Times New Roman" w:eastAsia="Times New Roman" w:hAnsi="Times New Roman"/>
                <w:sz w:val="18"/>
                <w:szCs w:val="18"/>
                <w:color w:val="auto"/>
                <w:w w:val="99"/>
              </w:rPr>
              <w:t>Useful Life</w:t>
            </w:r>
          </w:p>
        </w:tc>
        <w:tc>
          <w:tcPr>
            <w:tcW w:w="5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580" w:type="dxa"/>
            <w:vAlign w:val="bottom"/>
            <w:shd w:val="clear" w:color="auto" w:fill="CCEEFF"/>
          </w:tcPr>
          <w:p>
            <w:pPr>
              <w:ind w:left="2440"/>
              <w:spacing w:after="0" w:line="223" w:lineRule="exact"/>
              <w:rPr>
                <w:sz w:val="20"/>
                <w:szCs w:val="20"/>
                <w:color w:val="auto"/>
              </w:rPr>
            </w:pPr>
            <w:r>
              <w:rPr>
                <w:rFonts w:ascii="Times New Roman" w:cs="Times New Roman" w:eastAsia="Times New Roman" w:hAnsi="Times New Roman"/>
                <w:sz w:val="18"/>
                <w:szCs w:val="18"/>
                <w:color w:val="auto"/>
              </w:rPr>
              <w:t>Up to 40</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5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Up to 45</w:t>
            </w: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4,031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 equipment</w:t>
            </w:r>
          </w:p>
        </w:tc>
        <w:tc>
          <w:tcPr>
            <w:tcW w:w="358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Up to 20</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10,389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5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3-5</w:t>
            </w: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9"/>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tcBorders>
              <w:bottom w:val="single" w:sz="8" w:color="auto"/>
            </w:tcBorders>
            <w:shd w:val="clear" w:color="auto" w:fill="CCEEFF"/>
          </w:tcPr>
          <w:p>
            <w:pPr>
              <w:jc w:val="center"/>
              <w:ind w:left="1870"/>
              <w:spacing w:after="0" w:line="230" w:lineRule="exact"/>
              <w:rPr>
                <w:sz w:val="20"/>
                <w:szCs w:val="20"/>
                <w:color w:val="auto"/>
              </w:rPr>
            </w:pPr>
            <w:r>
              <w:rPr>
                <w:rFonts w:ascii="Times New Roman" w:cs="Times New Roman" w:eastAsia="Times New Roman" w:hAnsi="Times New Roman"/>
                <w:sz w:val="18"/>
                <w:szCs w:val="18"/>
                <w:color w:val="auto"/>
                <w:w w:val="94"/>
              </w:rPr>
              <w:t>Lease Term</w:t>
            </w:r>
            <w:r>
              <w:rPr>
                <w:rFonts w:ascii="Times New Roman" w:cs="Times New Roman" w:eastAsia="Times New Roman" w:hAnsi="Times New Roman"/>
                <w:sz w:val="23"/>
                <w:szCs w:val="23"/>
                <w:color w:val="auto"/>
                <w:w w:val="94"/>
                <w:vertAlign w:val="superscript"/>
              </w:rPr>
              <w:t>(2)</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3,288</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19,269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17,617</w:t>
            </w:r>
          </w:p>
        </w:tc>
      </w:tr>
      <w:tr>
        <w:trPr>
          <w:trHeight w:val="229"/>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5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(8,733)</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10,536</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w:t>
            </w:r>
          </w:p>
        </w:tc>
      </w:tr>
    </w:tbl>
    <w:p>
      <w:pPr>
        <w:spacing w:after="0" w:line="154" w:lineRule="exact"/>
        <w:rPr>
          <w:sz w:val="20"/>
          <w:szCs w:val="20"/>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Land is not a depreciable asset.</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Leasehold improvements are depreciated over the shorter of the useful life of the asset or lease term.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2020, the company completed a sale of equipment to a customer on a restricted Aeronautics Systems program for</w:t>
      </w:r>
    </w:p>
    <w:p>
      <w:pPr>
        <w:spacing w:after="0" w:line="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$444 million. The company previously intended to use the equipment for internal purposes so we recognized the acquisition costs as capital expenditures and included the equipment in PP&amp;E. As we regularly sell this type of equipment to customers in the ordinary course of business, we recorded the sale as a revenue transaction and included the net book value of the equipment in Operating costs and expenses. Although we generally classify proceeds from revenue transactions as cash inflows from operating activities, we recognized the proceeds from this transaction as cash inflows from investing activities, consistent with our prior recognition of the cost to acquire the equipment as capital expenditures. The company received the final cash payment of $155 million related to the equipment sale during 2022 and included it in Proceeds from sale of equipment to a customer in the consolidated statements of cash flows.</w:t>
      </w:r>
    </w:p>
    <w:p>
      <w:pPr>
        <w:spacing w:after="0" w:line="67" w:lineRule="exact"/>
        <w:rPr>
          <w:sz w:val="20"/>
          <w:szCs w:val="20"/>
          <w:color w:val="auto"/>
        </w:rPr>
      </w:pPr>
    </w:p>
    <w:p>
      <w:pPr>
        <w:jc w:val="both"/>
        <w:ind w:right="5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acquired $46 million of internal use software through long-term financing directly with the supplier. The software was recorded in PP&amp;E as a non-cash investing activity and the related liability was recorded in long-term debt as a non-cash financing activity. During the year ended December 31, 2023, the company received lease incentives for landlord funded leasehold improvements of $55 million related to Space Systems real estate leases, which were recorded in PP&amp;E and included in non-cash investing activities.</w:t>
      </w:r>
    </w:p>
    <w:p>
      <w:pPr>
        <w:spacing w:after="0" w:line="45"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On December 28, 2022 the company acquired certain leased land in exchange for company-owned land, which had been used previously for production-related activities at Space Systems. The exchange was accounted for as a nonmonetary transaction, and the acquired land, valued at approximately</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$155 million, was recorded in PP&amp;E as a non-cash investing activity. The transaction resulted in a $96 million gain, which was reflected in operating costs and expenses in the consolidated statements of earnings and comprehensive income.</w:t>
      </w:r>
    </w:p>
    <w:p>
      <w:pPr>
        <w:spacing w:after="0" w:line="6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Non-cash investing activities also include capital expenditures incurred but not yet paid of $242 million, $75 million and $113 million as of December 31, 2024, 2023 and 2022,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Minority Investment</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July 2023, the company sold its minority investment in an Australian business for AUD $235 million (the equivalent of $157 million upon settlement). The sale resulted in a pre-tax gain of $97 million, which is reflected in Other, net on the consolidated statements of earnings and comprehensive income for the year ended December 31, 2023. Proceeds from the sale are included in investing activities on the consolidated statement of cash flows for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Purchased Intangible Assets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Goodwill and other purchased intangible asset balances are included in the identifiable assets of their assigned business segment. However, the company includes the amortization of other purchased intangible assets in unallocated corporate expense within operating income as such amortization is not allocable to government contracts and not considered part of management’s evaluation of segment operating performance. The company’s customer-related intangible assets are generally amortized over their respective useful lives based on the pattern in which the future economic benefits of the intangible assets are expected to be consumed. Other intangible assets are generally amortized on a straight-line basis over their estimated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company leases certain buildings, land and equipment. At contract inception, we determine whether a contract is or contains a lease and whether the lease should be classified as an operating or finance lease. Operating lease balances are included in Operating lease right-of-use assets, Other current liabilities, and Operating lease liabilities in our consolidated statements of financial position.</w:t>
      </w:r>
    </w:p>
    <w:p>
      <w:pPr>
        <w:spacing w:after="0" w:line="64"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company recognizes operating lease right-of-use assets and operating lease liabilities based on the present value of the future minimum lease payments over the lease term at commencement date. We use our incremental borrowing rate based on the information available at commencement date to determine the present value of future payments and the appropriate lease classification. Many of our leases include renewal options aligned with our contract terms.</w:t>
      </w:r>
    </w:p>
    <w:p>
      <w:pPr>
        <w:spacing w:after="0" w:line="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define the initial lease term to include renewal options determined to be reasonably certain. We do not recognize a right-of-use asset and a lease liability for leases with an initial term of 12 months or less; we recognize lease expense for these leases on a straight-line basis over the lease term. We elected the practical expedient to not separate lease components from nonlease components and applied that practical expedient to all material classes of leased assets.</w:t>
      </w:r>
    </w:p>
    <w:p>
      <w:pPr>
        <w:spacing w:after="0" w:line="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Many of the company’s real property lease agreements contain incentives for tenant improvements, rent holidays or rent escalation clauses. For tenant improvement incentives received, if the incentive is determined to be a leasehold improvement owned by the company, we generally record the incentives as a reduction to the right-of-use asset, which reduces rent expense over the lease term.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6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Finance leases are not material to our consolidated financial statements and the company is not a lessor in any material arrangements. We do not have any material restrictions or covenants in our lease agreements, sale-leaseback transactions, land easements or residual value guarantees.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Commitments and Contingencies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accrue for litigation, commitments and contingencies when management, after considering the facts and circumstances of each matter as then known to management, has determined it is probable a liability will be found to have been incurred and the amount of the loss can be reasonably estimated. When only a range of amounts is reasonably estimable and no amount within the range is more likely than another, the low end of the range is recorded. Legal fees are generally expensed as incurred. Due to the inherent uncertainties surrounding gain contingencies, we generally do not recognize potential gains until realized.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Costs</w:t>
      </w:r>
    </w:p>
    <w:p>
      <w:pPr>
        <w:spacing w:after="0" w:line="31"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7"/>
          <w:szCs w:val="17"/>
          <w:color w:val="auto"/>
        </w:rPr>
        <w:t>We accrue for environmental liabilities when management determines that, based on the facts and circumstances known to the company, it is probable the company will incur costs to address environmental impacts and the costs are reasonably estimable. When only a range of amounts is reasonably estimable and no amount within the range is more likely than another, we record the low end of the range. The company typically projects environmental costs for up to 30 years, records environmental liabilities on an undiscounted basis, and excludes asset retirement obligations and certain legal costs. At sites involving multiple parties, we accrue environmental liabilities based upon our expected share of liability, considering the financial viability of other liable parties.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sponsors various defined benefit pension plans and defined contribution retirement plans covering substantially all employees. In most cases, our defined contribution plans provide for a company match of employee contributions. The company also provides postretirement benefits other than pensions to eligible retirees and qualifying dependents, consisting principally of health care and life insurance benefits.</w:t>
      </w:r>
    </w:p>
    <w:p>
      <w:pPr>
        <w:spacing w:after="0" w:line="6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liabilities, unamortized prior service credits and annual income or expense of the company’s defined benefit pension and OPB plans are determined using methodologies that involve several actuarial assumptions.</w:t>
      </w:r>
    </w:p>
    <w:p>
      <w:pPr>
        <w:spacing w:after="0" w:line="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U.S. government regulations provide for the costs of pension and OPB plans to be charged to our contracts in accordance with applicable FAR and CAS requirements, we calculate retiree benefit plan costs under both FAS and CAS methods. While both FAS and CAS recognize a normal service cost component in measuring periodic pension cost, there are differences in the way the components of annual pension costs are calculated under each method. Measuring plan obligations under FAS and CAS also includes different assumptions and models, such as in estimating returns on plan assets, calculating interest expense and the periods over which gains/losses related to pension assets and actuarial changes are recognized. As a result, annual retiree benefit plan expense amounts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FAS are different from the amounts for CAS in any given reporting period even though the ultimate cost of providing benefits over the life of the plans is the same under each method. CAS retiree benefit plan costs are charged to contracts and are included in segment operating income, and the difference between the service cost component of FAS expense and total CAS expense (the “FAS/CAS operating adjustment”) is recorded in operating income at the consolidated company level. Not all net periodic pension expense is recognized in net earnings in the year incurred because it is allocated as production costs and a portion remains in inventory at the end of any given reporting period.</w:t>
      </w:r>
    </w:p>
    <w:p>
      <w:pPr>
        <w:spacing w:after="0" w:line="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Actuarial gains and losses are immediately recognized in net periodic benefit cost for FAS through MTM benefit (expense) upon annual remeasurement in the fourth quarter, or on an interim basis as triggering events warrant remeasurement. Prior service credits are recognized as a component of Accumulated other comprehensive loss and amortized into earnings in future periods.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company’s stock compensation plans are classified as equity plans. Compensation expense for stock awards is measured at the grant date based on the fair value of the award and is recognized over the vesting period (generally three years), net of estimated forfeitures. The company issues stock awards in the form of restricted performance stock rights and restricted stock rights. The fair value of stock awards and performance stock awards is determined based on the closing market price of the company’s common stock on the grant date. The fair value of market-based stock awards is determined at the grant date using a Monte Carlo simulation model. For purposes of measuring compensation expense for performance awards, the number of shares ultimately expected to vest is estimated at each reporting date based on management’s expectations regarding the relevant performance criteria. At each reporting date, the number of shares used to calculate compensation expense and diluted earnings per share is adjusted to reflect the number ultimately expected to vest.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On November 27,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Among other new disclosure requirements, ASU 2023-07 requires companies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that are regularly provided to the chief operating decision maker. We adopted the standard effective January 1, 2024 and applied the disclosure requirements retrospectively to all prior periods presented in the financial statements. Adoption of ASU 2023-07 did not have an impact on the company’s consolidated financial position, results of operations and/or cash flows.</w:t>
      </w:r>
    </w:p>
    <w:p>
      <w:pPr>
        <w:spacing w:after="0" w:line="50"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 xml:space="preserve">On December 14,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evaluating the disclosure impact of ASU 2023-09; however, the standard will not have an impact on the company’s consolidated financial position, results of operations and/or cash flows.</w:t>
      </w:r>
    </w:p>
    <w:p>
      <w:pPr>
        <w:spacing w:after="0" w:line="6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On November 4, 2024, the FASB issued ASU No.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xml:space="preserve"> ASU 2024-03 requires disaggregation of certain expense captions into specified categories in disclosures within the footnotes to the financial statements. ASU 2024-03 will be effective for annual periods beginning January 1, 2027 and interim periods beginning January 1, 2028 and will be applied on a prospective basis with the option to apply the standard retrospectively. We are evaluating the disclosure impact of ASU 2023-09; however,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 the standard will have a material impact on the company’s consolidated financial position, results of operations and/or cash flows.</w:t>
      </w:r>
    </w:p>
    <w:p>
      <w:pPr>
        <w:spacing w:after="0" w:line="1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accounting standards updates adopted and/or issued, but not effective until after December 31, 2024, are not expected to have a material effect on the company’s consolidated financial position, annual results of operations and/or cash flows.</w:t>
      </w:r>
    </w:p>
    <w:p>
      <w:pPr>
        <w:spacing w:after="0" w:line="104" w:lineRule="exact"/>
        <w:rPr>
          <w:sz w:val="20"/>
          <w:szCs w:val="20"/>
          <w:color w:val="auto"/>
        </w:rPr>
      </w:pPr>
    </w:p>
    <w:p>
      <w:pPr>
        <w:ind w:right="3520"/>
        <w:spacing w:after="0" w:line="310" w:lineRule="auto"/>
        <w:rPr>
          <w:sz w:val="20"/>
          <w:szCs w:val="20"/>
          <w:color w:val="auto"/>
        </w:rPr>
      </w:pPr>
      <w:r>
        <w:rPr>
          <w:rFonts w:ascii="Times New Roman" w:cs="Times New Roman" w:eastAsia="Times New Roman" w:hAnsi="Times New Roman"/>
          <w:sz w:val="18"/>
          <w:szCs w:val="18"/>
          <w:b w:val="1"/>
          <w:bCs w:val="1"/>
          <w:color w:val="auto"/>
        </w:rPr>
        <w:t>2. EARNINGS PER SHARE, SHARE REPURCHASES AND DIVIDENDS ON COMMON STOCK Basic Earnings Per Share</w:t>
      </w:r>
    </w:p>
    <w:p>
      <w:pPr>
        <w:spacing w:after="0" w:line="1"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8"/>
          <w:szCs w:val="18"/>
          <w:color w:val="auto"/>
        </w:rPr>
        <w:t xml:space="preserve">We calculate basic earnings per share by dividing net earnings by the weighted-average number of shares of common stock outstanding during each period. </w:t>
      </w:r>
      <w:r>
        <w:rPr>
          <w:rFonts w:ascii="Times New Roman" w:cs="Times New Roman" w:eastAsia="Times New Roman" w:hAnsi="Times New Roman"/>
          <w:sz w:val="18"/>
          <w:szCs w:val="18"/>
          <w:b w:val="1"/>
          <w:bCs w:val="1"/>
          <w:color w:val="auto"/>
        </w:rPr>
        <w:t>Diluted Earnings Per Share</w:t>
      </w:r>
    </w:p>
    <w:p>
      <w:pPr>
        <w:ind w:right="260"/>
        <w:spacing w:after="0" w:line="260"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0.3 million, 0.5 million and 0.7 million shares for the years ended December 31, 2024, 2023 and 2022,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9"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On January 25, 2021, the company’s board of directors authorized a share repurchase program of up to $3.0 billion in share repurchases of the company’s common stock (the “2021 Repurchase Program”). Repurchases under the 2021 Repurchase Program commenced in October 2021 and were completed in April 2023.</w:t>
      </w:r>
    </w:p>
    <w:p>
      <w:pPr>
        <w:spacing w:after="0" w:line="5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January 24, 2022, the company’s board of directors authorized a new share repurchase program of up to an additional $2.0 billion in share repurchases of the company’s common stock (the “2022 Repurchase Program”). Repurchases under the 2022 Repurchase Program commenced in April 2023 and were completed in February 2024.</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6, 2023, the company’s board of directors authorized a new share repurchase program of up to an additional $2.5 billion in share repurchases of the company’s common stock (the “2023 Repurchase Program”). Repurchases under the 2023 Repurchase Program commenced in February 2024 upon completion of the 2022 Repurchase Program. As of December 31, 2024, repurchases under the 2023 Repurchase Program totaled $1.4 billion; $1.1 billion remained under this share repurchase authorization. By its terms, the 2023 Repurchase Program will expire when we have used all authorized funds for repurchases.</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December 11, 2024, the company’s board of directors authorized a new share repurchase program of up to an additional $3.0 billion in share repurchases of the company’s common stock (the “2024 Repurchase Program”). Repurchases under the 2024 Repurchase Program will commence upon completion of the 2023 Repurchase Program and will expire when we have used all authorized funds for repurchases. As of December 31, 2024, there have been no repurchases under the 2024 Repurchase Program and the company’s total outstanding share repurchase authorization was $4.1 billion.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Share Repurchase Agreements</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first quarter of 2023, the company entered into an accelerated share repurchase (ASR) agreement with Bank of America, N.A. (Bank of America) to repurchase $500 million of the company’s common stock as part of the 2021 and 2022 Repurchase Programs. Under the agreement, we made a payment of $500 million to Bank of America and received an initial delivery of 0.9 million shares valued at $400 million that were immediately canceled by the company. The remaining balance of $100 million was settled on April 27, 2023 with a final delivery of 0.2 million shares from Bank of America. The final average purchase price was $458.28 per share.</w:t>
      </w:r>
    </w:p>
    <w:p>
      <w:pPr>
        <w:spacing w:after="0" w:line="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During the first quarter of 2024, the company entered into an ASR agreement with Morgan Stanley &amp; Co. LLC (Morgan Stanley) to repurchase $1.0 billion of the company’s common stock as part of the 2022 Repurchase Program. Under the agreement, we made a payment of $1.0 billion to Morgan Stanley and received an initial delivery of 1.8 million shares valued at $800 million that were immediately canceled by the company. The remaining balance of</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$200 million was settled on May 1, 2024 with a final delivery of 0.4 million shares from Morgan Stanley. The final average purchase price was $455.73 per share.</w:t>
      </w:r>
    </w:p>
    <w:p>
      <w:pPr>
        <w:spacing w:after="0" w:line="6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Shares Repurchased</w:t>
            </w:r>
          </w:p>
        </w:tc>
        <w:tc>
          <w:tcPr>
            <w:tcW w:w="0" w:type="dxa"/>
            <w:vAlign w:val="bottom"/>
          </w:tcPr>
          <w:p>
            <w:pPr>
              <w:spacing w:after="0"/>
              <w:rPr>
                <w:sz w:val="1"/>
                <w:szCs w:val="1"/>
                <w:color w:val="auto"/>
              </w:rPr>
            </w:pPr>
          </w:p>
        </w:tc>
      </w:tr>
      <w:tr>
        <w:trPr>
          <w:trHeight w:val="236"/>
        </w:trPr>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Amount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60" w:type="dxa"/>
            <w:vAlign w:val="bottom"/>
          </w:tcPr>
          <w:p>
            <w:pPr>
              <w:spacing w:after="0"/>
              <w:rPr>
                <w:sz w:val="22"/>
                <w:szCs w:val="22"/>
                <w:color w:val="auto"/>
              </w:rPr>
            </w:pPr>
          </w:p>
        </w:tc>
        <w:tc>
          <w:tcPr>
            <w:tcW w:w="12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Average</w:t>
            </w:r>
          </w:p>
        </w:tc>
        <w:tc>
          <w:tcPr>
            <w:tcW w:w="1740" w:type="dxa"/>
            <w:vAlign w:val="bottom"/>
          </w:tcPr>
          <w:p>
            <w:pPr>
              <w:spacing w:after="0"/>
              <w:rPr>
                <w:sz w:val="22"/>
                <w:szCs w:val="22"/>
                <w:color w:val="auto"/>
              </w:rPr>
            </w:pPr>
          </w:p>
        </w:tc>
        <w:tc>
          <w:tcPr>
            <w:tcW w:w="2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0" w:type="dxa"/>
            <w:vAlign w:val="bottom"/>
          </w:tcPr>
          <w:p>
            <w:pPr>
              <w:spacing w:after="0"/>
              <w:rPr>
                <w:sz w:val="1"/>
                <w:szCs w:val="1"/>
                <w:color w:val="auto"/>
              </w:rPr>
            </w:pPr>
          </w:p>
        </w:tc>
      </w:tr>
      <w:tr>
        <w:trPr>
          <w:trHeight w:val="167"/>
        </w:trPr>
        <w:tc>
          <w:tcPr>
            <w:tcW w:w="2180" w:type="dxa"/>
            <w:vAlign w:val="bottom"/>
          </w:tcPr>
          <w:p>
            <w:pPr>
              <w:ind w:left="420"/>
              <w:spacing w:after="0" w:line="156" w:lineRule="exact"/>
              <w:rPr>
                <w:sz w:val="20"/>
                <w:szCs w:val="20"/>
                <w:color w:val="auto"/>
              </w:rPr>
            </w:pPr>
            <w:r>
              <w:rPr>
                <w:rFonts w:ascii="Times New Roman" w:cs="Times New Roman" w:eastAsia="Times New Roman" w:hAnsi="Times New Roman"/>
                <w:sz w:val="18"/>
                <w:szCs w:val="18"/>
                <w:color w:val="auto"/>
              </w:rPr>
              <w:t>Repurchase Program</w:t>
            </w:r>
          </w:p>
        </w:tc>
        <w:tc>
          <w:tcPr>
            <w:tcW w:w="400" w:type="dxa"/>
            <w:vAlign w:val="bottom"/>
          </w:tcPr>
          <w:p>
            <w:pPr>
              <w:spacing w:after="0"/>
              <w:rPr>
                <w:sz w:val="14"/>
                <w:szCs w:val="14"/>
                <w:color w:val="auto"/>
              </w:rPr>
            </w:pPr>
          </w:p>
        </w:tc>
        <w:tc>
          <w:tcPr>
            <w:tcW w:w="1300" w:type="dxa"/>
            <w:vAlign w:val="bottom"/>
          </w:tcPr>
          <w:p>
            <w:pPr>
              <w:jc w:val="center"/>
              <w:ind w:right="190"/>
              <w:spacing w:after="0" w:line="156" w:lineRule="exact"/>
              <w:rPr>
                <w:sz w:val="20"/>
                <w:szCs w:val="20"/>
                <w:color w:val="auto"/>
              </w:rPr>
            </w:pPr>
            <w:r>
              <w:rPr>
                <w:rFonts w:ascii="Times New Roman" w:cs="Times New Roman" w:eastAsia="Times New Roman" w:hAnsi="Times New Roman"/>
                <w:sz w:val="18"/>
                <w:szCs w:val="18"/>
                <w:color w:val="auto"/>
              </w:rPr>
              <w:t>Authorized</w:t>
            </w:r>
          </w:p>
        </w:tc>
        <w:tc>
          <w:tcPr>
            <w:tcW w:w="14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Shares Retired</w:t>
            </w:r>
          </w:p>
        </w:tc>
        <w:tc>
          <w:tcPr>
            <w:tcW w:w="260" w:type="dxa"/>
            <w:vAlign w:val="bottom"/>
          </w:tcPr>
          <w:p>
            <w:pPr>
              <w:spacing w:after="0"/>
              <w:rPr>
                <w:sz w:val="14"/>
                <w:szCs w:val="14"/>
                <w:color w:val="auto"/>
              </w:rPr>
            </w:pPr>
          </w:p>
        </w:tc>
        <w:tc>
          <w:tcPr>
            <w:tcW w:w="1280" w:type="dxa"/>
            <w:vAlign w:val="bottom"/>
          </w:tcPr>
          <w:p>
            <w:pPr>
              <w:jc w:val="center"/>
              <w:ind w:right="230"/>
              <w:spacing w:after="0" w:line="156" w:lineRule="exact"/>
              <w:rPr>
                <w:sz w:val="20"/>
                <w:szCs w:val="20"/>
                <w:color w:val="auto"/>
              </w:rPr>
            </w:pPr>
            <w:r>
              <w:rPr>
                <w:rFonts w:ascii="Times New Roman" w:cs="Times New Roman" w:eastAsia="Times New Roman" w:hAnsi="Times New Roman"/>
                <w:sz w:val="18"/>
                <w:szCs w:val="18"/>
                <w:color w:val="auto"/>
                <w:w w:val="97"/>
              </w:rPr>
              <w:t>Price</w:t>
            </w:r>
          </w:p>
        </w:tc>
        <w:tc>
          <w:tcPr>
            <w:tcW w:w="1740" w:type="dxa"/>
            <w:vAlign w:val="bottom"/>
          </w:tcPr>
          <w:p>
            <w:pPr>
              <w:spacing w:after="0"/>
              <w:rPr>
                <w:sz w:val="14"/>
                <w:szCs w:val="14"/>
                <w:color w:val="auto"/>
              </w:rPr>
            </w:pPr>
          </w:p>
        </w:tc>
        <w:tc>
          <w:tcPr>
            <w:tcW w:w="258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Authorization Date</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(in millions)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line="236"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7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Date Completed</w:t>
            </w: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25, 2021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3,000</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431.05</w:t>
            </w:r>
          </w:p>
        </w:tc>
        <w:tc>
          <w:tcPr>
            <w:tcW w:w="17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April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January 24, 2022</w:t>
            </w:r>
            <w:r>
              <w:rPr>
                <w:rFonts w:ascii="Times New Roman" w:cs="Times New Roman" w:eastAsia="Times New Roman" w:hAnsi="Times New Roman"/>
                <w:sz w:val="23"/>
                <w:szCs w:val="23"/>
                <w:color w:val="auto"/>
                <w:vertAlign w:val="superscript"/>
              </w:rPr>
              <w:t>(2)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2,000</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455.01</w:t>
            </w:r>
          </w:p>
        </w:tc>
        <w:tc>
          <w:tcPr>
            <w:tcW w:w="1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February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6, 2023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2,500</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472.26</w:t>
            </w:r>
          </w:p>
        </w:tc>
        <w:tc>
          <w:tcPr>
            <w:tcW w:w="1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11, 2024</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3,000</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180" w:hanging="172"/>
        <w:spacing w:after="0" w:line="254" w:lineRule="auto"/>
        <w:tabs>
          <w:tab w:leader="none" w:pos="168"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Beginning with the 2022 Repurchase Program, the board of directors has approved that the purchases and authorizations under our repurchase programs be exclusive of brokerage commissions and other costs of execution, including taxes. Commissions paid are included for the 2021 Repurchase Program.</w:t>
      </w:r>
    </w:p>
    <w:p>
      <w:pPr>
        <w:spacing w:after="0" w:line="60" w:lineRule="exact"/>
        <w:rPr>
          <w:rFonts w:ascii="Times New Roman" w:cs="Times New Roman" w:eastAsia="Times New Roman" w:hAnsi="Times New Roman"/>
          <w:sz w:val="20"/>
          <w:szCs w:val="20"/>
          <w:color w:val="auto"/>
          <w:vertAlign w:val="superscript"/>
        </w:rPr>
      </w:pPr>
    </w:p>
    <w:p>
      <w:pPr>
        <w:ind w:left="180" w:right="20" w:hanging="172"/>
        <w:spacing w:after="0"/>
        <w:tabs>
          <w:tab w:leader="none" w:pos="168"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2022 Repurchase Program completed in February 2024; however, it included the $1.0 billion ASR for which the final delivery of shares was outstanding at the end of the first quarter of 2024. On May 1, 2024, the company received a final delivery of 0.4 million shares for that ASR, which are included in the 2022 Repurchase Program authorization.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the company increased the quarterly common stock dividend 10 percent to $2.06 per share from the previous amount of $1.87 per share.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2023, the company increased the quarterly common stock dividend 8 percent to $1.87 per share from the previous amount of $1.73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2022, the company increased the quarterly common stock dividend 10 percent to $1.73 per share from the previous amount of $1.57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 NET</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Accounts receivable, net represent amounts billed and due from customers. Substantially all accounts receivable at December 31, 2024 are expected to be collected in 2025. The company does not believe it has significant exposure to credit risk as the majority of our accounts receivable are due from the U.S. government either as the ultimate customer or in connection with foreign military sales.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8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Due from U.S. government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9"/>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from international and other customers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326</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8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1,277</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23"/>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bl>
    <w:p>
      <w:pPr>
        <w:spacing w:after="0" w:line="167" w:lineRule="exact"/>
        <w:rPr>
          <w:sz w:val="20"/>
          <w:szCs w:val="20"/>
          <w:color w:val="auto"/>
        </w:rPr>
      </w:pPr>
    </w:p>
    <w:p>
      <w:pPr>
        <w:ind w:left="160" w:hanging="152"/>
        <w:spacing w:after="0"/>
        <w:tabs>
          <w:tab w:leader="none" w:pos="1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receivables due from the U.S. government associated with foreign military sales, which are contracted with and paid by the U.S. government.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UNBILLED RECEIVABLES, NET</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Unbilled receivables, net represent revenue recognized under the cost-to-cost method that exceeds amounts billed to customers. A large majority of the company’s unbilled receivables at December 31, 2024 are expected to be billed and collected in 2025. Progress and performance-based payments are reflected as an offset to the related unbilled receivable balances.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8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 net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7"/>
        </w:trPr>
        <w:tc>
          <w:tcPr>
            <w:tcW w:w="8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Due from U.S. government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22,871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23,655</w:t>
            </w:r>
          </w:p>
        </w:tc>
      </w:tr>
      <w:tr>
        <w:trPr>
          <w:trHeight w:val="230"/>
        </w:trPr>
        <w:tc>
          <w:tcPr>
            <w:tcW w:w="8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Progress and performance-based payments received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(17,300)</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due from U.S. government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5,571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international and other customers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30"/>
        </w:trPr>
        <w:tc>
          <w:tcPr>
            <w:tcW w:w="8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Progress and performance-based payments received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due from international and other customers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 of progress and performance-based payments received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r>
      <w:tr>
        <w:trPr>
          <w:trHeight w:val="229"/>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5,908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r>
    </w:tbl>
    <w:p>
      <w:pPr>
        <w:spacing w:after="0" w:line="154" w:lineRule="exact"/>
        <w:rPr>
          <w:sz w:val="20"/>
          <w:szCs w:val="20"/>
          <w:color w:val="auto"/>
        </w:rPr>
      </w:pPr>
    </w:p>
    <w:p>
      <w:pPr>
        <w:ind w:left="160" w:hanging="152"/>
        <w:spacing w:after="0"/>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unbilled receivables due from the U.S. government associated with foreign military sales, which are contracted with and paid by the U.S. government.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INVENTORIED COSTS, NET</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Inventoried costs are principally associated with contracts where the U.S. government is the primary customer, therefore the company does not believe it has significant exposure to recoverability risk related to these amounts. Inventoried costs associated with our commercial businesses, while less significant in total, are subject to a greater level of recoverability risk.</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Inventoried costs, net consisted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7"/>
        </w:trPr>
        <w:tc>
          <w:tcPr>
            <w:tcW w:w="8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8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1,455</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r>
    </w:tbl>
    <w:p>
      <w:pPr>
        <w:spacing w:after="0" w:line="17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Inventoried costs, net increased $346 million, or 31 percent, largely due to an increase in costs incurred for specific anticipated contracts to reduce customer delivery lead times.</w:t>
      </w:r>
    </w:p>
    <w:p>
      <w:pPr>
        <w:spacing w:after="0" w:line="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recorded write-downs of commercial business inventory at Space Systems for which its cost exceeded net realizable value of $43 million during the year ended December 31, 2023. In addition, the company recognized a $45 million reduction of inventoried costs related to the B-21 program at Aeronautics Systems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729"/>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INCOME TAXES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Federal and foreign income tax expense consisted of the following: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7"/>
        </w:trPr>
        <w:tc>
          <w:tcPr>
            <w:tcW w:w="8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federal income tax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832</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expense: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foreign income tax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income taxes associated with the company’s foreign operations are not material in the periods presented.</w:t>
      </w:r>
    </w:p>
    <w:p>
      <w:pPr>
        <w:spacing w:after="0" w:line="104"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Income tax expense differs from the amount computed by multiplying earnings before income taxes by the statutory federal income tax rate due to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3"/>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Borders>
              <w:bottom w:val="single" w:sz="8" w:color="auto"/>
            </w:tcBorders>
          </w:tcPr>
          <w:p>
            <w:pPr>
              <w:spacing w:after="0"/>
              <w:rPr>
                <w:sz w:val="19"/>
                <w:szCs w:val="19"/>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1,053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493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1,226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credit</w:t>
            </w:r>
          </w:p>
        </w:tc>
        <w:tc>
          <w:tcPr>
            <w:tcW w:w="32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(361)</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(7.2)</w:t>
            </w:r>
          </w:p>
        </w:tc>
        <w:tc>
          <w:tcPr>
            <w:tcW w:w="18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(210)</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(177)</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13</w:t>
            </w: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0.3</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(63)</w:t>
            </w: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(66)</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20" w:type="dxa"/>
            <w:vAlign w:val="bottom"/>
          </w:tcPr>
          <w:p>
            <w:pPr>
              <w:spacing w:after="0"/>
              <w:rPr>
                <w:sz w:val="19"/>
                <w:szCs w:val="19"/>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(86)</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145</w:t>
            </w: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2.9</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69</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w:t>
            </w: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(0.2)</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842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16.8 %</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940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r>
    </w:tbl>
    <w:p>
      <w:pPr>
        <w:spacing w:after="0" w:line="15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2024 ETR increased to 16.8 percent from 12.4 percent in 2023 primarily due to the impact of the prior year B-21 charge and the MTM adjustment on our ETR. The 2024 MTM benefit increased the 2024 ETR by 0.4 percentage points, whereas the prior year B-21 charge and MTM expense collectively reduced the 2023 ETR by 3.8 percentage points. The 2024 ETR also reflects a net reduction in tax reserves largely due to a recent federal court decision, partially offset by higher interest expense on unrecognized tax benefits.</w:t>
      </w:r>
    </w:p>
    <w:p>
      <w:pPr>
        <w:spacing w:after="0" w:line="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2023 ETR decreased to 12.4 percent from 16.1 percent in 2022 primarily due to lower earnings before income taxes as a result of the B-21 charge and MTM expense, which collectively reduced the 2023 ETR by 3.8 percentage points. The 2022 MTM benefit increased the 2022 ETR by 1.2 percentage points.</w:t>
      </w:r>
    </w:p>
    <w:p>
      <w:pPr>
        <w:spacing w:after="0" w:line="4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Income tax payments, net of refunds received, were $880 million, $1.2 billion and $1.5 billion for the years ended December 31, 2024, 2023 and 2022, respectively. Taxes receivable, which are included in Prepaid expenses and other current assets in the consolidated statements of financial position, were $517 million and $1.5 billion as of December 31, 2024 and 2023, respectively.</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interest expense within the company’s federal, foreign and state income tax provisions was $164 million, $62 million, and $29 million for the years ended December 31, 2024, 2023, and 2022, respectively.</w:t>
      </w:r>
    </w:p>
    <w:p>
      <w:pPr>
        <w:spacing w:after="0" w:line="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issued Pillar Two model rules for a global minimum tax of 15% effective January 1, 2024. While it is uncertain whether the United States will enact legislation to adopt Pillar Two, certain countries in which we operate have adopted legislation, and other countries are in the process of introducing legislation to implement Pillar Two. Pillar Two had no impact on our 2024 ETR, and we do not currently expect Pillar Two to significantly impact our ETR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During the fourth quarter of 2024, the company entered into an agreed RAR for certain matters related to the company’s 2018-2020 federal income tax returns, largely related to our methods of accounting associated with the timing of revenue recognition and related costs under IRC Section 451(b), resulting in a $766 million reduction to our unrecognized tax benefits and an immaterial impact to income tax expense. The matters not addressed by the agreed RAR related to the company’s 2018-2020 federal tax returns are currently under Internal Revenue Service (IRS) examination.</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the company entered into an agreed RAR for certain matters related to the company’s 2014-2017 federal income tax returns, resulting in a $90 million reduction to our unrecognized tax benefits and an immaterial impact to income tax expense. The matters not addressed by the agreed RAR related to the company’s 2014-2017 federal income tax returns and refund claims related to its 2007-2016 federal tax returns are currently under review by the IRS Appeals Office.</w:t>
      </w:r>
    </w:p>
    <w:p>
      <w:pPr>
        <w:spacing w:after="0" w:line="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second quarter of 2023, the California Franchise Tax Board approved a resolution of the state examination primarily related to California state apportionment in the company’s 2007 to 2016 tax years, resulting in a $95 million reduction to our unrecognized tax benefits and an $11 million reduction to unallocated corporate expense.</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Tax returns for open tax years related to state and foreign jurisdictions remain subject to examination. As state income taxes are generally considered allowable and allocable costs, any individual or aggregate state examination impacts are not expected to have a material impact on our financial results. Amounts currently subject to examination related to foreign jurisdictions are not material.</w:t>
      </w:r>
    </w:p>
    <w:p>
      <w:pPr>
        <w:spacing w:after="0" w:line="54"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8"/>
          <w:szCs w:val="18"/>
          <w:color w:val="auto"/>
        </w:rPr>
        <w:t>The company’s unrecognized tax benefits, excluding accrued interest and penalties of $373 million, $305 million and $216 million as of December 31, 2024, 2023 and 2022, respectively, are presented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the year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1,994</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236</w:t>
            </w:r>
          </w:p>
        </w:tc>
        <w:tc>
          <w:tcPr>
            <w:tcW w:w="2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unrecognized tax benefits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the year</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1,447</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1,994</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r>
    </w:tbl>
    <w:p>
      <w:pPr>
        <w:spacing w:after="0" w:line="15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2024 decrease in unrecognized tax benefits was primarily related to the settlement of certain matters related to the company’s methods of accounting associated with the timing of revenue recognition under IRC Section 451(b) as discussed above, partially offset by additional reserves on current year tax positions related to 451(b) (prior to settlement) and research credits. It is reasonably possible that within the next 12 months the company’s unrecognized tax benefits may increase by approximately $100 million.</w:t>
      </w:r>
    </w:p>
    <w:p>
      <w:pPr>
        <w:spacing w:after="0" w:line="5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the income tax benefits from these tax positions are ultimately realized, $914 million of federal and foreign tax benefits would reduce the company’s ETR.</w:t>
      </w:r>
    </w:p>
    <w:p>
      <w:pPr>
        <w:spacing w:after="0" w:line="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Inclusive of accrued interest and penalties, the company’s current unrecognized tax benefits of $345 million and $964 million as of December 31, 2024 and 2023, respectively, are included in Other current liabilities in the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08"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tax purposes. Net deferred tax assets and liabilities are classified as non-current in the consolidated statements of financial position.</w:t>
      </w:r>
    </w:p>
    <w:p>
      <w:pPr>
        <w:spacing w:after="0" w:line="5"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The tax effects of temporary differences and carryforwards that gave rise to year-end deferred federal, state and foreign tax balances, as presented in the consolidated statements of financial position,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tcBorders>
              <w:bottom w:val="single" w:sz="8" w:color="auto"/>
            </w:tcBorders>
          </w:tcPr>
          <w:p>
            <w:pPr>
              <w:spacing w:after="0"/>
              <w:rPr>
                <w:sz w:val="20"/>
                <w:szCs w:val="20"/>
                <w:color w:val="auto"/>
              </w:rPr>
            </w:pP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Retiree benefits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research and experimental expenditures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4,816</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386</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Provisions for accrued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468</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557</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562</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9"/>
        </w:trPr>
        <w:tc>
          <w:tcPr>
            <w:tcW w:w="8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241</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7,103</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r>
      <w:tr>
        <w:trPr>
          <w:trHeight w:val="223"/>
        </w:trPr>
        <w:tc>
          <w:tcPr>
            <w:tcW w:w="8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6,577</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Retiree benefits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534</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Purchased intangibles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827</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554</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accounting differences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2,714</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29"/>
        </w:trPr>
        <w:tc>
          <w:tcPr>
            <w:tcW w:w="8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4,978</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1,599</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bl>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Realization of deferred tax assets is primarily dependent on generating sufficient taxable income in future periods. The company believes it is more-likely-than-not our net deferred tax assets will be realized.</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has available tax credits and unused net operating losses of $627 million and $318 million, respectively, that may be applied against future taxable income. The majority of tax credits and net operating losses expire between 2025 and 2047, however, some may be carried forward indefinitely. Due to the uncertainty of the realization of the tax credits and net operating losses, the company has recorded valuation allowances of $343 million and $42 million, respectively, as of December 31,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Undistributed Foreign Earnings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has accumulated undistributed earnings generated by our foreign subsidiaries and most have been taxed in the U.S. We intend to indefinitely reinvest these earnings, as well as future earnings from our foreign subsidiaries to fund our international operations. In addition, we expect future U.S. cash generation will be sufficient to meet future U.S. cash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PURCHASED INTANGIBLE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amounts of goodwill for the years ended December 31, 2023 and 2024,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980" w:type="dxa"/>
            <w:vAlign w:val="bottom"/>
          </w:tcPr>
          <w:p>
            <w:pPr>
              <w:spacing w:after="0"/>
              <w:rPr>
                <w:sz w:val="17"/>
                <w:szCs w:val="17"/>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Aeronautics</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Systems</w:t>
            </w: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Defense Systems</w:t>
            </w: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Mission Systems</w:t>
            </w:r>
          </w:p>
        </w:tc>
        <w:tc>
          <w:tcPr>
            <w:tcW w:w="13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Space Systems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3,467</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4,228</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5,881</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3,467</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4,229</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5,881</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3,467</w:t>
            </w:r>
          </w:p>
        </w:tc>
        <w:tc>
          <w:tcPr>
            <w:tcW w:w="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4,224</w:t>
            </w:r>
          </w:p>
        </w:tc>
        <w:tc>
          <w:tcPr>
            <w:tcW w:w="5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5,881</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3,940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17,512</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consists primarily of adjustments for foreign currency translation.</w:t>
      </w:r>
    </w:p>
    <w:p>
      <w:pPr>
        <w:spacing w:after="0" w:line="6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December 31, 2024 and 2023, accumulated goodwill impairment losses totaled $417 million at Aeronautics Systems, $121 million at Space Systems, and $32 million at Defense Systems.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Purchased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customer-related and other intangible assets are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12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customer-related and other intangible assets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3,371</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29"/>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(3,117)</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customer-related and other intangible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254</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for 2024, 2023 and 2022, was $57 million, $80 million and $197 million, respectively. As of December 31, 2024, the expected future amortization of purchased intangibles for each of the next five years is as follows: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Borders>
              <w:top w:val="single" w:sz="8" w:color="auto"/>
            </w:tcBorders>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2025</w:t>
            </w:r>
          </w:p>
        </w:tc>
        <w:tc>
          <w:tcPr>
            <w:tcW w:w="52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2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2026</w:t>
            </w:r>
          </w:p>
        </w:tc>
        <w:tc>
          <w:tcPr>
            <w:tcW w:w="5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2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2027</w:t>
            </w:r>
          </w:p>
        </w:tc>
        <w:tc>
          <w:tcPr>
            <w:tcW w:w="5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2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2028</w:t>
            </w:r>
          </w:p>
        </w:tc>
        <w:tc>
          <w:tcPr>
            <w:tcW w:w="5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5200" w:type="dxa"/>
            <w:vAlign w:val="bottom"/>
            <w:tcBorders>
              <w:bottom w:val="single" w:sz="8" w:color="auto"/>
            </w:tcBorders>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2029</w:t>
            </w:r>
          </w:p>
        </w:tc>
        <w:tc>
          <w:tcPr>
            <w:tcW w:w="5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OF FINANCIAL INSTRUMENTS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 See Note 1 for the definitions of these levels and for further information on our financial instruments.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347</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December 31, 2024 and 2023 was $399 million and $286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portion of notional value designated as a cash flow hedge at December 31, 2024 and 2023 was $273 million and $162 million,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December 31, 2024 and 2023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into or out of Level 3 of the fair value hierarchy during the years ended December 31,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approximates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with capacity to issue unsecured commercial paper notes up to $2.5 billion. There were no commercial paper borrowings outstanding at December 31, 2024 and December 31, 2023,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a five-year senior unsecured credit facility in an aggregate principal amount of $2.5 billion (the “2022 Credit Agreement”) that matures in August 2027. The revolving credit facility established under the 2022 Credit Agreement is intended to support the company’s commercial paper program and other general corporate purposes. Commercial paper borrowings reduce the amount available for borrowing under the 2022 Credit Agreement. At December 31, 2024, there were no borrowings outstanding under this facility.</w:t>
      </w:r>
    </w:p>
    <w:p>
      <w:pPr>
        <w:spacing w:after="0" w:line="6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2022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 At December 31, 2024, the company was in compliance with all covenants under its credit agreement.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Senior 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Senior Notes</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In January 2024, the company issued $2.5 billion of unsecured senior notes for general corporate purposes, including debt repayment, share repurchases, and working capital, as follows:</w:t>
      </w:r>
    </w:p>
    <w:p>
      <w:pPr>
        <w:spacing w:after="0" w:line="6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4.60% senior notes due 2029 (the “2029 Notes”),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 million of 4.90% senior notes due 2034 (the “2034 Notes”),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billion of 5.20% senior notes due 2054 (the “2054 Notes”).</w:t>
      </w:r>
    </w:p>
    <w:p>
      <w:pPr>
        <w:spacing w:after="0" w:line="10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February 2023, the company issued $2.0 billion of unsecured senior notes for general corporate purposes, including debt repayment, share repurchases, and working capital, as follows:</w:t>
      </w:r>
    </w:p>
    <w:p>
      <w:pPr>
        <w:spacing w:after="0" w:line="40"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4.70% senior notes due 2033 (the “2033 Notes”)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4.95% senior notes due 2053 (the “2053 Notes”).</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refer to the 2029 Notes, 2033 Notes, 2034 Notes, 2053 Notes and 2054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Repayments of Senior Notes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2023, the company repaid $1.05 billion of 3.25 percent unsecured senior notes upon maturity.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Subsequent Event </w:t>
      </w:r>
      <w:r>
        <w:rPr>
          <w:rFonts w:ascii="Times New Roman" w:cs="Times New Roman" w:eastAsia="Times New Roman" w:hAnsi="Times New Roman"/>
          <w:sz w:val="18"/>
          <w:szCs w:val="18"/>
          <w:color w:val="auto"/>
        </w:rPr>
        <w:t>- In January 2025, the company repaid $1.5 billion of 2.93 percent unsecured senior notes upon maturity.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Fixed-rate notes and debentures, maturing in</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Interest rate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2.93%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w w:val="99"/>
              </w:rPr>
              <w:t>7.75% - 7.88%</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3.20%</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3.25%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4.60%</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4.40%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2031</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7.75%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2033</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4.70%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2034</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4.90%</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2040</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w w:val="99"/>
              </w:rPr>
              <w:t>5.05% - 5.15%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2043</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4.75%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2045</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3.85%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2047</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4.03%</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2,250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2050</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5.25%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2053</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4.95%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2054</w:t>
            </w:r>
          </w:p>
        </w:tc>
        <w:tc>
          <w:tcPr>
            <w:tcW w:w="35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8"/>
              </w:rPr>
              <w:t>5.20%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4"/>
              </w:rPr>
              <w:t>Various</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16,274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w:t>
            </w:r>
          </w:p>
        </w:tc>
      </w:tr>
      <w:tr>
        <w:trPr>
          <w:trHeight w:val="230"/>
        </w:trPr>
        <w:tc>
          <w:tcPr>
            <w:tcW w:w="55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portion</w:t>
            </w:r>
            <w:r>
              <w:rPr>
                <w:rFonts w:ascii="Times New Roman" w:cs="Times New Roman" w:eastAsia="Times New Roman" w:hAnsi="Times New Roman"/>
                <w:sz w:val="23"/>
                <w:szCs w:val="23"/>
                <w:color w:val="auto"/>
                <w:vertAlign w:val="superscript"/>
              </w:rPr>
              <w:t>(1)</w:t>
            </w:r>
          </w:p>
        </w:tc>
        <w:tc>
          <w:tcPr>
            <w:tcW w:w="3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1,582</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14,692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13,786</w:t>
            </w:r>
          </w:p>
        </w:tc>
      </w:tr>
    </w:tbl>
    <w:p>
      <w:pPr>
        <w:spacing w:after="0" w:line="154"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current portion of long-term debt is recorded in Other current liabilities in the consolidated statements of financial position.</w:t>
      </w:r>
    </w:p>
    <w:p>
      <w:pPr>
        <w:spacing w:after="0" w:line="7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estimated fair value of long-term debt was $15.3 billion and $13.4 billion as of December 31, 2024 and 2023, respectively. We calculated the fair value of long-term debt using Level 2 inputs, based on interest rates available for debt with terms and maturities similar to the company’s existing debt arrangements.</w:t>
      </w:r>
    </w:p>
    <w:p>
      <w:pPr>
        <w:spacing w:after="0" w:line="5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Indentures underlying long-term debt issued by the company or its subsidiaries contain various restrictions with respect to the issuer, including one or more restrictions relating to limitations on liens, sale-leaseback arrangements and funded debt of subsidiaries. The majority of these fixed rate notes and debentures are subject to redemption at the company’s discretion at any time prior to maturity in whole or in part at the principal amount plus any make-whole premium and accrued and unpaid interest. Interest on these fixed rate notes and debentures are payable semi-annually in arrears.</w:t>
      </w:r>
    </w:p>
    <w:p>
      <w:pPr>
        <w:spacing w:after="0" w:line="5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Total interest payments, net of interest received and capitalized, were $475 million, $437 million and $474 million for the years ended December 31, 2024, 2023 and 2022, respectively. The company capitalized interest expense of $113 million, $95 million and $53 million during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long-term debt as of December 31, 2024, are as follows: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0"/>
        </w:trPr>
        <w:tc>
          <w:tcPr>
            <w:tcW w:w="7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3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16,378</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premium on long-term debt, net of discount</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INVESTIGATIONS, CLAIMS AND LITIGATION</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over 25 years, the company has worked closely with the United States Navy, the United States Environmental Protection Agency, the New York State Department of Environmental Conservation, the New York State Department of Health and other federal, state and local governmental authorities, to address environmental conditions allegedly resulting from historic operations at the former United States Navy and Grumman facilities in Bethpage, New York. We have incurred, and expect to continue to incur, as included in Note 11, substantial remediation costs related to these Bethpage environmental conditions, including potential costs relating to unanticipated developments such as new discoveries of potential contaminants. It is also possible that applicable remediation standards and other requirements to which we are subject may continue to change, and that our costs may increase materially. In 2022, we resolved several disputes and regulatory proceedings concerning the scope and allocation of remediation responsibilities and costs related to this site and we continue remediation consistent with agreements through which those disputes were resolved. The company continues to be involved in other remediation-related disputes, none of which are material individually or in the aggregate. We are also a party to various individual lawsuits and a putative class action in the Eastern District of New York alleging personal injury and property damage related to the legacy Bethpage environmental conditions (the “Bethpage EDNY cases”). The court has stayed the filed individual lawsuits, pending its decision on class certification, which the court will undertake if an ongoing mediation between the parties is unsuccessful. We are also a party, and may become a party, to other lawsuits brought by or against insurance carriers, and by other individual plaintiffs and/or putative classes, as well as other parties. We cannot at this time predict or reasonably estimate the potential outcomes or ranges of possible liability of the Bethpage EDNY cases</w:t>
      </w:r>
      <w:r>
        <w:rPr>
          <w:rFonts w:ascii="Arial" w:cs="Arial" w:eastAsia="Arial" w:hAnsi="Arial"/>
          <w:sz w:val="19"/>
          <w:szCs w:val="19"/>
          <w:color w:val="auto"/>
        </w:rPr>
        <w:t>.</w:t>
      </w:r>
    </w:p>
    <w:p>
      <w:pPr>
        <w:spacing w:after="0" w:line="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received from the U.S. Department of Justice (DOJ) a criminal subpoena on December 9, 2022, and a civil investigative demand (CID) on February 2, 2023, both seeking information regarding financial and cost accounting and controls that appears focused on the interest rate assumptions the company used to determine our U.S. Government Cost Accounting Standards (CAS) pension expense, which we discuss in Note 11 below. The company is engaging with the government and responding to the requests. We cannot at this point predict the outcome of these matters.</w:t>
      </w:r>
    </w:p>
    <w:p>
      <w:pPr>
        <w:spacing w:after="0" w:line="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consolidated financial position as of December 31, 2024, or its annual results of operations and/or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consolidated financial position as of December 31, 2024, or its annual results of operations and/or cash flows.</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subsequently continued to exchange correspondence and engage with DCMA on this matter, including responding to requests for and providing additional information. On February 15, 2024, DCMA sent to the company a Contracting Officer’s determination of noncompliance with CAS, which is an interim, non-final determination, and the parties engaged in discussions. As noted in Note 10 above, the company received from the DOJ a criminal subpoena on December 9, 2022 and a CID on February 2, 2023, both seeking information that appears related to the interest rate assumptions at issue in our discussions with DCMA. The company has responded to requests and expects to continue discussions with the DOJ and DCMA as these matters progress. We cannot at this point predict the outcome of these matters. The sensitivity to changes in interest rate assumptions makes it reasonably possible the outcome of the DCMA matter could have a material adverse effect on our financial position, results of operations and/or cash flows, although we are not currently able to estimate a range of any potential loss.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December 31, 2024 and 2023:</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Reasonably Possible Future</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15"/>
                <w:szCs w:val="15"/>
                <w:color w:val="auto"/>
              </w:rPr>
            </w:pPr>
          </w:p>
        </w:tc>
        <w:tc>
          <w:tcPr>
            <w:tcW w:w="21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Costs in Excess of Accrued</w:t>
            </w:r>
          </w:p>
        </w:tc>
        <w:tc>
          <w:tcPr>
            <w:tcW w:w="220" w:type="dxa"/>
            <w:vAlign w:val="bottom"/>
          </w:tcPr>
          <w:p>
            <w:pPr>
              <w:spacing w:after="0"/>
              <w:rPr>
                <w:sz w:val="15"/>
                <w:szCs w:val="15"/>
                <w:color w:val="auto"/>
              </w:rPr>
            </w:pP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3"/>
                <w:szCs w:val="23"/>
                <w:color w:val="auto"/>
                <w:w w:val="96"/>
                <w:vertAlign w:val="superscript"/>
              </w:rPr>
              <w:t>(3)</w:t>
            </w:r>
          </w:p>
        </w:tc>
        <w:tc>
          <w:tcPr>
            <w:tcW w:w="0" w:type="dxa"/>
            <w:vAlign w:val="bottom"/>
          </w:tcPr>
          <w:p>
            <w:pPr>
              <w:spacing w:after="0"/>
              <w:rPr>
                <w:sz w:val="1"/>
                <w:szCs w:val="1"/>
                <w:color w:val="auto"/>
              </w:rPr>
            </w:pPr>
          </w:p>
        </w:tc>
      </w:tr>
      <w:tr>
        <w:trPr>
          <w:trHeight w:val="243"/>
        </w:trPr>
        <w:tc>
          <w:tcPr>
            <w:tcW w:w="3600" w:type="dxa"/>
            <w:vAlign w:val="bottom"/>
            <w:tcBorders>
              <w:bottom w:val="single" w:sz="8" w:color="auto"/>
            </w:tcBorders>
            <w:vMerge w:val="continue"/>
          </w:tcPr>
          <w:p>
            <w:pPr>
              <w:spacing w:after="0"/>
              <w:rPr>
                <w:sz w:val="21"/>
                <w:szCs w:val="21"/>
                <w:color w:val="auto"/>
              </w:rPr>
            </w:pPr>
          </w:p>
        </w:tc>
        <w:tc>
          <w:tcPr>
            <w:tcW w:w="3600" w:type="dxa"/>
            <w:vAlign w:val="bottom"/>
            <w:tcBorders>
              <w:bottom w:val="single" w:sz="8" w:color="auto"/>
            </w:tcBorders>
            <w:gridSpan w:val="2"/>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center"/>
              <w:ind w:right="70"/>
              <w:spacing w:after="0" w:line="243" w:lineRule="exact"/>
              <w:rPr>
                <w:sz w:val="20"/>
                <w:szCs w:val="20"/>
                <w:color w:val="auto"/>
              </w:rPr>
            </w:pPr>
            <w:r>
              <w:rPr>
                <w:rFonts w:ascii="Times New Roman" w:cs="Times New Roman" w:eastAsia="Times New Roman" w:hAnsi="Times New Roman"/>
                <w:sz w:val="18"/>
                <w:szCs w:val="18"/>
                <w:color w:val="auto"/>
                <w:w w:val="93"/>
              </w:rPr>
              <w:t>Costs</w:t>
            </w:r>
            <w:r>
              <w:rPr>
                <w:rFonts w:ascii="Times New Roman" w:cs="Times New Roman" w:eastAsia="Times New Roman" w:hAnsi="Times New Roman"/>
                <w:sz w:val="23"/>
                <w:szCs w:val="23"/>
                <w:color w:val="auto"/>
                <w:w w:val="93"/>
                <w:vertAlign w:val="superscript"/>
              </w:rPr>
              <w:t>(2)</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December 31, 2024, $196 million is recorded in Other current liabilities and $350 million is recorded in Other non-current liabilities.</w:t>
      </w:r>
    </w:p>
    <w:p>
      <w:pPr>
        <w:spacing w:after="0" w:line="73" w:lineRule="exact"/>
        <w:rPr>
          <w:rFonts w:ascii="Times New Roman" w:cs="Times New Roman" w:eastAsia="Times New Roman" w:hAnsi="Times New Roman"/>
          <w:sz w:val="19"/>
          <w:szCs w:val="19"/>
          <w:color w:val="auto"/>
          <w:vertAlign w:val="superscript"/>
        </w:rPr>
      </w:pPr>
    </w:p>
    <w:p>
      <w:pPr>
        <w:ind w:left="180" w:right="240" w:hanging="172"/>
        <w:spacing w:after="0" w:line="238" w:lineRule="auto"/>
        <w:tabs>
          <w:tab w:leader="none" w:pos="168"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3" w:lineRule="exact"/>
        <w:rPr>
          <w:rFonts w:ascii="Times New Roman" w:cs="Times New Roman" w:eastAsia="Times New Roman" w:hAnsi="Times New Roman"/>
          <w:sz w:val="20"/>
          <w:szCs w:val="20"/>
          <w:color w:val="auto"/>
          <w:vertAlign w:val="superscript"/>
        </w:rPr>
      </w:pPr>
    </w:p>
    <w:p>
      <w:pPr>
        <w:jc w:val="both"/>
        <w:ind w:left="180" w:right="80" w:hanging="172"/>
        <w:spacing w:after="0"/>
        <w:tabs>
          <w:tab w:leader="none" w:pos="168"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2024, $186 million is deferred in Prepaid expenses and other current assets and $321 million is deferred in Other non-current assets. These amounts reflect a $26 million increase during the second quarter of 2024 in our estimated recovery of certain environmental remediation costs and are evaluated for recoverability on a routine basis.</w:t>
      </w:r>
    </w:p>
    <w:p>
      <w:pPr>
        <w:spacing w:after="0" w:line="2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consolidated financial position as of December 31, 2024, or its annual results of operations and/or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December 31, 2024, there were $484 million of stand-by letters of credit and guarantees and $272 million of surety bonds outstanding.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31" w:lineRule="exact"/>
        <w:rPr>
          <w:sz w:val="20"/>
          <w:szCs w:val="20"/>
          <w:color w:val="auto"/>
        </w:rPr>
      </w:pPr>
    </w:p>
    <w:p>
      <w:pPr>
        <w:ind w:right="800"/>
        <w:spacing w:after="0" w:line="260" w:lineRule="auto"/>
        <w:rPr>
          <w:sz w:val="20"/>
          <w:szCs w:val="20"/>
          <w:color w:val="auto"/>
        </w:rPr>
      </w:pPr>
      <w:r>
        <w:rPr>
          <w:rFonts w:ascii="Times New Roman" w:cs="Times New Roman" w:eastAsia="Times New Roman" w:hAnsi="Times New Roman"/>
          <w:sz w:val="18"/>
          <w:szCs w:val="18"/>
          <w:color w:val="auto"/>
        </w:rPr>
        <w:t>The company has provided indemnifications for certain environmental, income tax and other potential liabilities in connection with certain of its divestitures. The settlement of these liabilities is not expected to have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 on the company’s consolidated financial position as of December 31, 2024, or its annual results of operations and/or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RETIREMENT BENEFITS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Descriptions</w:t>
      </w:r>
    </w:p>
    <w:p>
      <w:pPr>
        <w:spacing w:after="0" w:line="3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U.S. Defined Benefit Pension Plans </w:t>
      </w:r>
      <w:r>
        <w:rPr>
          <w:rFonts w:ascii="Times New Roman" w:cs="Times New Roman" w:eastAsia="Times New Roman" w:hAnsi="Times New Roman"/>
          <w:sz w:val="18"/>
          <w:szCs w:val="18"/>
          <w:color w:val="auto"/>
        </w:rPr>
        <w:t>– The company sponsors several defined benefit pension plans in the U.S. Pension benefits for most participants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years of service, age and compensation. It is our policy to fund at least the minimum amount required for qualified plans, using actuarial cost methods and assumptions acceptable under U.S. government regulations, by making payments into benefit trusts separate from the company.</w:t>
      </w:r>
    </w:p>
    <w:p>
      <w:pPr>
        <w:spacing w:after="0" w:line="4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 Defined Contribution Plans </w:t>
      </w:r>
      <w:r>
        <w:rPr>
          <w:rFonts w:ascii="Times New Roman" w:cs="Times New Roman" w:eastAsia="Times New Roman" w:hAnsi="Times New Roman"/>
          <w:sz w:val="18"/>
          <w:szCs w:val="18"/>
          <w:color w:val="auto"/>
        </w:rPr>
        <w:t>– The company also sponsors defined contribution plans covering the majority of its employees, including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covered under collective bargaining agreements. Company contributions vary depending on date of hire, with a majority of employees being eligible for employer matching of employee contributions. Based on date of hire, certain employees are eligible to receive a company non-elective contribution or an enhanced matching contribution in lieu of a defined benefit pension plan benefit. The company’s contributions to these defined contribution plans for the years ended December 31, 2024, 2023 and 2022, were $657 million, $634 million and $558 million, respectively.</w:t>
      </w:r>
    </w:p>
    <w:p>
      <w:pPr>
        <w:spacing w:after="0" w:line="6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Non-U.S. Benefit Plans – </w:t>
      </w:r>
      <w:r>
        <w:rPr>
          <w:rFonts w:ascii="Times New Roman" w:cs="Times New Roman" w:eastAsia="Times New Roman" w:hAnsi="Times New Roman"/>
          <w:sz w:val="18"/>
          <w:szCs w:val="18"/>
          <w:color w:val="auto"/>
        </w:rPr>
        <w:t>The company sponsors several benefit plans for non-U.S. employees. These plans are designed to provide benefits appropriate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practice and in accordance with local regulations. Some of these plans are funded using benefit trusts separate from the company.</w:t>
      </w:r>
    </w:p>
    <w:p>
      <w:pPr>
        <w:spacing w:after="0" w:line="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Medical and Life Benefits </w:t>
      </w:r>
      <w:r>
        <w:rPr>
          <w:rFonts w:ascii="Times New Roman" w:cs="Times New Roman" w:eastAsia="Times New Roman" w:hAnsi="Times New Roman"/>
          <w:sz w:val="18"/>
          <w:szCs w:val="18"/>
          <w:color w:val="auto"/>
        </w:rPr>
        <w:t>– The company funds a portion of the costs for certain health care and life insurance benefits for a substantial number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and retired employees. In addition to a company and employee cost-sharing feature, the health plans also have provisions for deductibles, co-payments, coinsurance percentages, out-of-pocket limits, conformance to a schedule of reasonable fees, the use of managed care providers and coordination of benefits with other plans. The plans also provide for a Medicare carve-out. The company reserves the right to amend or terminate the plans at any time.</w:t>
      </w:r>
    </w:p>
    <w:p>
      <w:pPr>
        <w:spacing w:after="0" w:line="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covered employees and dependents are eligible to participate in plans upon retirement if they meet specified age and years of service requirements. The company provides subsidies to reimburse certain retirees for a portion of the cost of individual Medicare-supplemental coverage purchased directly by the retiree through a private insurance exchange. The company has capped the amount of its contributions for substantially all its remaining postretirement medical and life benefit plans. In addition, after January 1, 2005 (or earlier at some businesses), newly hired employees are not eligible for subsidized postretirement medical and life benefits.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Plan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to the company of its retirement benefit plans is shown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Medical and Life Benefits</w:t>
            </w:r>
          </w:p>
        </w:tc>
        <w:tc>
          <w:tcPr>
            <w:tcW w:w="700" w:type="dxa"/>
            <w:vAlign w:val="bottom"/>
            <w:tcBorders>
              <w:bottom w:val="single" w:sz="8" w:color="auto"/>
            </w:tcBorders>
          </w:tcPr>
          <w:p>
            <w:pPr>
              <w:spacing w:after="0"/>
              <w:rPr>
                <w:sz w:val="19"/>
                <w:szCs w:val="19"/>
                <w:color w:val="auto"/>
              </w:rPr>
            </w:pPr>
          </w:p>
        </w:tc>
      </w:tr>
      <w:tr>
        <w:trPr>
          <w:trHeight w:val="22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(benefit)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1,136</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(2,197)</w:t>
            </w:r>
          </w:p>
        </w:tc>
        <w:tc>
          <w:tcPr>
            <w:tcW w:w="34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Mark-to-market (benefit) expense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34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(867)</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unamortized prior service credit for the years ended December 31, 2022, 2023 and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Medical and Life</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tcBorders>
              <w:bottom w:val="single" w:sz="8" w:color="auto"/>
            </w:tcBorders>
            <w:vMerge w:val="continue"/>
          </w:tcPr>
          <w:p>
            <w:pPr>
              <w:spacing w:after="0"/>
              <w:rPr>
                <w:sz w:val="20"/>
                <w:szCs w:val="20"/>
                <w:color w:val="auto"/>
              </w:rPr>
            </w:pPr>
          </w:p>
        </w:tc>
        <w:tc>
          <w:tcPr>
            <w:tcW w:w="244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Pension Benefits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Benefits</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unamortized prior service credit</w:t>
            </w:r>
          </w:p>
        </w:tc>
        <w:tc>
          <w:tcPr>
            <w:tcW w:w="1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6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Decrease (increase) in unamortized prior service credit – 2022</w:t>
            </w:r>
          </w:p>
        </w:tc>
        <w:tc>
          <w:tcPr>
            <w:tcW w:w="1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620" w:type="dxa"/>
            <w:vAlign w:val="bottom"/>
            <w:shd w:val="clear" w:color="auto" w:fill="CCEEFF"/>
          </w:tcPr>
          <w:p>
            <w:pPr>
              <w:spacing w:after="0"/>
              <w:rPr>
                <w:sz w:val="19"/>
                <w:szCs w:val="19"/>
                <w:color w:val="auto"/>
              </w:rPr>
            </w:pPr>
          </w:p>
        </w:tc>
        <w:tc>
          <w:tcPr>
            <w:tcW w:w="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unamortized prior service credit – 2023</w:t>
            </w:r>
          </w:p>
        </w:tc>
        <w:tc>
          <w:tcPr>
            <w:tcW w:w="16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prior service credit</w:t>
            </w:r>
          </w:p>
        </w:tc>
        <w:tc>
          <w:tcPr>
            <w:tcW w:w="1620" w:type="dxa"/>
            <w:vAlign w:val="bottom"/>
          </w:tcPr>
          <w:p>
            <w:pPr>
              <w:spacing w:after="0"/>
              <w:rPr>
                <w:sz w:val="19"/>
                <w:szCs w:val="19"/>
                <w:color w:val="auto"/>
              </w:rPr>
            </w:pP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620" w:type="dxa"/>
            <w:vAlign w:val="bottom"/>
            <w:shd w:val="clear" w:color="auto" w:fill="CCEEFF"/>
          </w:tcPr>
          <w:p>
            <w:pPr>
              <w:spacing w:after="0"/>
              <w:rPr>
                <w:sz w:val="19"/>
                <w:szCs w:val="19"/>
                <w:color w:val="auto"/>
              </w:rPr>
            </w:pPr>
          </w:p>
        </w:tc>
        <w:tc>
          <w:tcPr>
            <w:tcW w:w="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unamortized prior service credit – 2024</w:t>
            </w:r>
          </w:p>
        </w:tc>
        <w:tc>
          <w:tcPr>
            <w:tcW w:w="1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funded status and amounts recognized in the consolidated statements of financial position for the company’s defined benefit retirement plans. Pension benefits data includes the qualified plans, foreign plans and U.S. unfunded non-qualified plans for benefits provided to directors, officers and certain employees. The company uses a December 31 measurement date for its plans.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Pension Benefits</w:t>
            </w: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Medical and Life Benefits</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30,251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 on 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1,358</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3,104</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(1,942)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29,769</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30,251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30,443</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29,067</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239</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1,526</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1,568</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Actuarial (gain) loss</w:t>
            </w:r>
          </w:p>
        </w:tc>
        <w:tc>
          <w:tcPr>
            <w:tcW w:w="24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(1,295)</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1,447</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(1,942)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28,992</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30,443</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1,150</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71"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decrease in the fair value of plan assets for the year ended December 31, 2024 was principally driven by $2.1 billion of benefit payments, partially offset by net returns on plan assets of 4.7 percent. The decrease in our projected benefit obligation for the year ended December 31, 2024, was primarily driven by $2.1 billion of benefit payments and a 58 basis point increase in the discount rate from year end 2023, partially offset by $1.6 billion of interest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769"/>
        </w:trPr>
        <w:tc>
          <w:tcPr>
            <w:tcW w:w="6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Pension Benefits</w:t>
            </w: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Medical and Life Benefits</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169"/>
        </w:trPr>
        <w:tc>
          <w:tcPr>
            <w:tcW w:w="65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Classification of amounts recognized in the consolidated statements of financial</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1,851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Non-current liability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all defined benefit pension plans was $28.7 billion and $30.1 billion at December 31,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for pension plans with accumulated benefit obligations in excess of fair value of plan assets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00" w:type="dxa"/>
            <w:vAlign w:val="bottom"/>
            <w:tcBorders>
              <w:bottom w:val="single" w:sz="8" w:color="auto"/>
            </w:tcBorders>
          </w:tcPr>
          <w:p>
            <w:pPr>
              <w:spacing w:after="0"/>
              <w:rPr>
                <w:sz w:val="20"/>
                <w:szCs w:val="20"/>
                <w:color w:val="auto"/>
              </w:rPr>
            </w:pPr>
          </w:p>
        </w:tc>
      </w:tr>
      <w:tr>
        <w:trPr>
          <w:trHeight w:val="223"/>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1,076</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1,066</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30"/>
        </w:trPr>
        <w:tc>
          <w:tcPr>
            <w:tcW w:w="8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Assumptions</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On a weighted-average basis, the following assumptions were used to determine benefit obligations at December 31 of each year and net periodic benefit cost for the following year:</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Pension Benefits</w:t>
            </w:r>
          </w:p>
        </w:tc>
        <w:tc>
          <w:tcPr>
            <w:tcW w:w="1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Medical and Life Benefits</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5.73 %</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5.15 %</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5.54 %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5.69 %</w:t>
            </w: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5.20 %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7.50 %</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7.50 %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7.50 %</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7.08 %</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7.12 %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Initial cash balance crediting rate assumed for the next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4.78 %</w:t>
            </w:r>
          </w:p>
        </w:tc>
        <w:tc>
          <w:tcPr>
            <w:tcW w:w="1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060" w:type="dxa"/>
            <w:vAlign w:val="bottom"/>
            <w:vMerge w:val="continue"/>
            <w:shd w:val="clear" w:color="auto" w:fill="CCEEFF"/>
          </w:tcPr>
          <w:p>
            <w:pPr>
              <w:spacing w:after="0"/>
              <w:rPr>
                <w:sz w:val="20"/>
                <w:szCs w:val="20"/>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4.02 %</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3.96 %</w:t>
            </w:r>
          </w:p>
        </w:tc>
        <w:tc>
          <w:tcPr>
            <w:tcW w:w="1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Rate to which the cash balance crediting rate is assumed to</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4.90 %</w:t>
            </w: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(the ultimate rate)</w:t>
            </w:r>
          </w:p>
        </w:tc>
        <w:tc>
          <w:tcPr>
            <w:tcW w:w="1060" w:type="dxa"/>
            <w:vAlign w:val="bottom"/>
            <w:vMerge w:val="continue"/>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4.02 %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3.88 %</w:t>
            </w:r>
          </w:p>
        </w:tc>
        <w:tc>
          <w:tcPr>
            <w:tcW w:w="1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Year that the cash balance crediting rate reaches the</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2030</w:t>
            </w:r>
          </w:p>
        </w:tc>
        <w:tc>
          <w:tcPr>
            <w:tcW w:w="1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rate</w:t>
            </w:r>
          </w:p>
        </w:tc>
        <w:tc>
          <w:tcPr>
            <w:tcW w:w="1060" w:type="dxa"/>
            <w:vAlign w:val="bottom"/>
            <w:vMerge w:val="continue"/>
            <w:shd w:val="clear" w:color="auto" w:fill="CCEEFF"/>
          </w:tcPr>
          <w:p>
            <w:pPr>
              <w:spacing w:after="0"/>
              <w:rPr>
                <w:sz w:val="20"/>
                <w:szCs w:val="20"/>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2029</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2028</w:t>
            </w:r>
          </w:p>
        </w:tc>
        <w:tc>
          <w:tcPr>
            <w:tcW w:w="1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3.00 %</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3.00 %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3.00 %</w:t>
            </w: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health care cost trend rate assumed for the next year</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5.90 %</w:t>
            </w: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6.20 %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Rate to which the health care cost trend rate is assumed to</w:t>
            </w:r>
          </w:p>
        </w:tc>
        <w:tc>
          <w:tcPr>
            <w:tcW w:w="1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5.00 %</w:t>
            </w: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decline (the ultimate trend rate)</w:t>
            </w:r>
          </w:p>
        </w:tc>
        <w:tc>
          <w:tcPr>
            <w:tcW w:w="1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5.00 %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Year that the health care cost trend rate reaches the</w:t>
            </w:r>
          </w:p>
        </w:tc>
        <w:tc>
          <w:tcPr>
            <w:tcW w:w="10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10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 and Investment Policy</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Plan assets are invested in various asset classes that are expected to produce a sufficient level of diversification and investment return over the long term. Liability studies are conducted on a regular basis to provide guidance in setting investment goals with an objective to balance risk. Risk targets are established and monitored against acceptable ranges.</w:t>
      </w:r>
    </w:p>
    <w:p>
      <w:pPr>
        <w:spacing w:after="0" w:line="5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investment policies and procedures are designed to ensure the plans’ investments comply with ERISA. Guidelines are established defining permitted investments within each asset class. Derivatives are used for transitioning assets, asset class rebalancing, managing currency risk and for management of fixed-income and alternative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majority of the plans’ assets, the investment policies require that the asset allocation be maintained within the following ranges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bottom w:val="single" w:sz="8" w:color="auto"/>
            </w:tcBorders>
          </w:tcPr>
          <w:p>
            <w:pPr>
              <w:spacing w:after="0"/>
              <w:rPr>
                <w:sz w:val="20"/>
                <w:szCs w:val="20"/>
                <w:color w:val="auto"/>
              </w:rPr>
            </w:pPr>
          </w:p>
        </w:tc>
        <w:tc>
          <w:tcPr>
            <w:tcW w:w="576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8"/>
                <w:szCs w:val="18"/>
                <w:color w:val="auto"/>
              </w:rPr>
              <w:t>Asset Allocation Ranges</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7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9"/>
              </w:rPr>
              <w:t>0% - 12%</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public equities</w:t>
            </w:r>
          </w:p>
        </w:tc>
        <w:tc>
          <w:tcPr>
            <w:tcW w:w="57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8"/>
              </w:rPr>
              <w:t>18% - 38%</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57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8"/>
              </w:rPr>
              <w:t>35% - 55%</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57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8"/>
              </w:rPr>
              <w:t>10% - 30%</w:t>
            </w:r>
          </w:p>
        </w:tc>
      </w:tr>
      <w:tr>
        <w:trPr>
          <w:trHeight w:val="230"/>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credit</w:t>
            </w:r>
          </w:p>
        </w:tc>
        <w:tc>
          <w:tcPr>
            <w:tcW w:w="5760" w:type="dxa"/>
            <w:vAlign w:val="bottom"/>
            <w:tcBorders>
              <w:bottom w:val="single" w:sz="8" w:color="auto"/>
            </w:tcBorders>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9"/>
              </w:rPr>
              <w:t>0% - 15%</w:t>
            </w:r>
          </w:p>
        </w:tc>
      </w:tr>
    </w:tbl>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table below provides the fair values of the company’s pension and Voluntary Employees’ Beneficiary Association (VEBA) trust plan assets at December 31, 2024 and 2023, by asset category. The table also identifies the level of inputs used to determine the fair value of assets in each category. See Note 1 for the definitions of these levels. Certain investments that are measured at fair value using NAV per share (or its equivalent) as a practical expedient are not required to be categorized in the fair value hierarchy table. The total fair value of these investments is included in the table below to permit reconciliation of the fair value hierarchy to amounts presented in the funded status table. As of December 31, 2024 and 2023, there were no investments expected to be sold at a value materially different than NAV.</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751</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1,824</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1,824</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1,570</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w:t>
            </w:r>
          </w:p>
        </w:tc>
        <w:tc>
          <w:tcPr>
            <w:tcW w:w="3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3,520</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3,537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 Government</w:t>
            </w:r>
          </w:p>
        </w:tc>
        <w:tc>
          <w:tcPr>
            <w:tcW w:w="18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282</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3,664</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3,743</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30"/>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backed</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1,301</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High yield debt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loans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and other assets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75"/>
        </w:trPr>
        <w:tc>
          <w:tcPr>
            <w:tcW w:w="2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valued using NAV as a</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practical expedient</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equities</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1,486</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30"/>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4,071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Fixed-income funds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3,559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30"/>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Hedge funds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Opportunistic investments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1,816</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0" w:type="dxa"/>
            <w:vAlign w:val="bottom"/>
          </w:tcPr>
          <w:p>
            <w:pPr>
              <w:spacing w:after="0"/>
              <w:rPr>
                <w:sz w:val="1"/>
                <w:szCs w:val="1"/>
                <w:color w:val="auto"/>
              </w:rPr>
            </w:pPr>
          </w:p>
        </w:tc>
      </w:tr>
      <w:tr>
        <w:trPr>
          <w:trHeight w:val="230"/>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Private equity funds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3,521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funds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1,860</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30"/>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Private credit</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 net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69"/>
        </w:trPr>
        <w:tc>
          <w:tcPr>
            <w:tcW w:w="2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Fair value of plan assets at the end of</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3,671</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9,750</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31,006</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year</w:t>
            </w:r>
          </w:p>
        </w:tc>
        <w:tc>
          <w:tcPr>
            <w:tcW w:w="18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31,525</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plan assets into or out of Level 3 of the fair value hierarchy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Generally, investments are valued based on information in financial publications of general circulation, statistical and valuation services, records of security exchanges, appraisal by qualified persons, transactions and bona fide offers. Cash and cash equivalents are predominantly held in money market or short-term investment funds. U.S. and international equities consist primarily of common stocks and institutional common trust funds. Investments in certain equity securities, which include domestic and international securities and registered investment companies, and exchange-traded funds with fixed income strategies are valued at the last reported sales or quoted price on the last business day of the reporting period. Fair values for certain fixed-income securities, which are not exchange-traded, are valued using third-party pricing services.</w:t>
      </w:r>
    </w:p>
    <w:p>
      <w:pPr>
        <w:spacing w:after="0" w:line="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Derivatives and other assets include derivative assets with a fair value of $107 million and $172 million, derivative liabilities with a fair value of $123 million and $101 million, and net notional amounts of $9.2 billion and $4.9 billion, as of December 31, 2024 and 2023, respectively. Derivative instruments may include exchange traded futures contracts, interest rate swaps, options on futures and swaps, currency contracts, total return swaps and credit default swaps. Notional amounts do not quantify risk or represent assets or liabilities of the pension and VEBA trusts, but are used in the calculation of cash settlement under the contracts. Certain derivative financial instruments within the pension trust are subject to master netting agreements with certain counterparties.</w:t>
      </w:r>
    </w:p>
    <w:p>
      <w:pPr>
        <w:spacing w:after="0" w:line="5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Investments in certain equity and fixed-income funds, which include common/collective trust funds, and alternative investments, including hedge funds, opportunistic investments, private equity funds and real estate funds, are valued based on the NAV derived by the investment managers, as a practical expedient, and are described further below.</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U.S. and International equities: Generally, redemption periods are daily, monthly or quarterly with a notice requirement less than 90 days. As of December 31, 2024 and 2023, there were no unfunded commitments.</w:t>
      </w:r>
    </w:p>
    <w:p>
      <w:pPr>
        <w:spacing w:after="0" w:line="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Fixed-income funds: Generally, redemption periods are daily, monthly or quarterly with a notice requirement of two days. As of December 31, 2024 and 2023 there were no unfunded commitments.</w:t>
      </w:r>
    </w:p>
    <w:p>
      <w:pPr>
        <w:spacing w:after="0" w:line="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Hedge funds: Consist of closed-end funds with a 5-10 year life as well as funds that allow redemption requests subject to the liquidity limitations of the underlying investments. As of December 31, 2024 and 2023, unfunded commitments were $6 million.</w:t>
      </w:r>
    </w:p>
    <w:p>
      <w:pPr>
        <w:spacing w:after="0" w:line="40"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Opportunistic investments: Consist of closed-end funds with a 5-10 year life as well as funds that allow redemption requests subject to the liquidity limitations of the underlying investments. As of December 31, 2024 and 2023, unfunded commitments were $1.3 billion and $1.6 billion, respectively.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equity funds: The term of each fund is typically 10 or more years and the fund’s investors do not have an option to redeem their interest in the fund.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unfunded commitments were $1.6 billion and $1.9 billion, respectively.</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Real estate funds: Consist primarily of open-end funds that generally allow investors to redeem their interests in the funds. Certain closed-end real estate funds have terms of 10 or more years. As of December 31, 2024 and 2023, unfunded commitments were $24 million and $28 million, respectively.</w:t>
      </w:r>
    </w:p>
    <w:p>
      <w:pPr>
        <w:spacing w:after="0" w:line="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Private credit: Consist of closed-end funds with a 5-10 year life as well as funds that allow redemption requests subject to the liquidity limitations of the underlying investments. As of December 31, 2024, unfunded commitments were $721 million.</w:t>
      </w:r>
    </w:p>
    <w:p>
      <w:pPr>
        <w:spacing w:after="0" w:line="4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At December 31, 2024 and 2023, the defined benefit pension trust held $1 million and $0, respectively, of Northrop Grumman common stock. At December 31, 2024 and 2023, the VEBA trust did not hold any Northrop Grumman common stock.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The following table reflects estimated future benefit payments for the next ten years, based upon the same assumptions used to measure the benefit obligation, and includes expected future employee service, as of December 31,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Medical and Life</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Pension Plans</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Plans</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2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2,138</w:t>
            </w:r>
          </w:p>
        </w:tc>
        <w:tc>
          <w:tcPr>
            <w:tcW w:w="2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2,164</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2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2,183</w:t>
            </w:r>
          </w:p>
        </w:tc>
        <w:tc>
          <w:tcPr>
            <w:tcW w:w="2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2030 through 2034</w:t>
            </w:r>
          </w:p>
        </w:tc>
        <w:tc>
          <w:tcPr>
            <w:tcW w:w="2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10,909</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the company expects to contribute the required minimum funding of approximately $94 million to its pension plans and approximately $33 million to its medical and life benefit plans. During the year ended December 31, 2024, the company made no discretionary pension contributions.</w:t>
      </w:r>
    </w:p>
    <w:p>
      <w:pPr>
        <w:spacing w:after="0" w:line="104" w:lineRule="exact"/>
        <w:rPr>
          <w:sz w:val="20"/>
          <w:szCs w:val="20"/>
          <w:color w:val="auto"/>
        </w:rPr>
      </w:pPr>
    </w:p>
    <w:p>
      <w:pPr>
        <w:ind w:right="3940"/>
        <w:spacing w:after="0" w:line="318" w:lineRule="auto"/>
        <w:rPr>
          <w:sz w:val="20"/>
          <w:szCs w:val="20"/>
          <w:color w:val="auto"/>
        </w:rPr>
      </w:pPr>
      <w:r>
        <w:rPr>
          <w:rFonts w:ascii="Times New Roman" w:cs="Times New Roman" w:eastAsia="Times New Roman" w:hAnsi="Times New Roman"/>
          <w:sz w:val="18"/>
          <w:szCs w:val="18"/>
          <w:b w:val="1"/>
          <w:bCs w:val="1"/>
          <w:color w:val="auto"/>
        </w:rPr>
        <w:t>13. STOCK COMPENSATION PLANS AND OTHER COMPENSATION ARRANGEMENTS Stock Compensation Plans</w:t>
      </w:r>
    </w:p>
    <w:p>
      <w:pPr>
        <w:ind w:right="200"/>
        <w:spacing w:after="0" w:line="255" w:lineRule="auto"/>
        <w:rPr>
          <w:sz w:val="20"/>
          <w:szCs w:val="20"/>
          <w:color w:val="auto"/>
        </w:rPr>
      </w:pPr>
      <w:r>
        <w:rPr>
          <w:rFonts w:ascii="Times New Roman" w:cs="Times New Roman" w:eastAsia="Times New Roman" w:hAnsi="Times New Roman"/>
          <w:sz w:val="18"/>
          <w:szCs w:val="18"/>
          <w:color w:val="auto"/>
        </w:rPr>
        <w:t>At December 31, 2024, the company had stock-based compensation awards outstanding under the following shareholder-approved plans: the 2024 Long-Term Incentive Stock Plan (2024 Plan) and the 2011 Long-Term Incentive Stock Plan (2011 Plan), both applicable to employees and non-employee directors, and the 1993 Stock Plan for Non-Employee Directors (1993 SPND).</w:t>
      </w:r>
    </w:p>
    <w:p>
      <w:pPr>
        <w:spacing w:after="0" w:line="4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Employee Plans </w:t>
      </w:r>
      <w:r>
        <w:rPr>
          <w:rFonts w:ascii="Times New Roman" w:cs="Times New Roman" w:eastAsia="Times New Roman" w:hAnsi="Times New Roman"/>
          <w:sz w:val="18"/>
          <w:szCs w:val="18"/>
          <w:color w:val="auto"/>
        </w:rPr>
        <w:t>– On May 15, 2024, the company’s shareholders approved the company’s new 2024 Plan, which replaced the 2011 Plan. The 2024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5.75 million new shares (less the number of shares subject to any new awards under the 2011 Plan between March 1 and May 15, 2024). Under the terms of the 2024 Plan, in the event outstanding awards under the 2011 Plan expire or terminate without being exercised or paid, as the case may be, such forfeited shares will become available for award under the 2024 Plan and increase the authorization. As of December 31, 2024, 5.8 million shares remain available for issuance under the 2024 Plan.</w:t>
      </w:r>
    </w:p>
    <w:p>
      <w:pPr>
        <w:spacing w:after="0" w:line="6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2011 Plan provided for and the 2024 Plan provides for the following equity awards: stock options, stock appreciation rights (SARs) and stock awards. Under the 2011 Plan and 2024 Plan, no SARs have been granted and there are no outstanding stock options. Stock awards include restricted performance stock rights (RPSR) and restricted stock rights (RSR). RPSRs generally vest and are paid following the completion of a three-year performance period, based primarily on achievement of certain performance metrics determined by the Board. RSRs generally vest 100% after three years. Each includes dividend equivalents, which are paid concurrently with the RPSR or RSR. The terms of equity awards granted under the 2011 Plan and 2024 Plan provide for accelerated vesting, and in some instances forfeiture, of all or a portion of an award upon termination of employment.</w:t>
      </w:r>
    </w:p>
    <w:p>
      <w:pPr>
        <w:spacing w:after="0" w:line="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Non-Employee Director Plans </w:t>
      </w:r>
      <w:r>
        <w:rPr>
          <w:rFonts w:ascii="Times New Roman" w:cs="Times New Roman" w:eastAsia="Times New Roman" w:hAnsi="Times New Roman"/>
          <w:sz w:val="18"/>
          <w:szCs w:val="18"/>
          <w:color w:val="auto"/>
        </w:rPr>
        <w:t>– Awards to non-employee directors are made pursuant to the Northrop Grumman Corporation Equity Grant Program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Directors (the Director Program). The Director Program was amended and restated effective January 1, 2016 (the Amended Director Program). The Director Program was again amended and restated effective May 15, 2024, consistent with the shareholder-approved 2024 Plan (the Restated Director Program). Under the Restated Director Program, each non-employee director is awarded an annual equity grant in the form of Automatic Stock Units, which vest on the one-year anniversary of the annual shareholder meeting. Directors may elect to have all or any portion of their Automatic Stock Units paid on (A) the earlier of (i) the beginning of a specified calendar year after the vesting date or (ii) their separation from service as a member of the Board, or (B) on the vesting date.</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Directors also may elect to defer to a later year all or a portion of their remaining cash retainer or committee retainer fees into a stock unit account as Elective Stock Units or in alternative investment options. Elective Stock Units are awarded on a quarterly basis. Directors may elect to have all or a portion of their Elective Stock Units paid on the earlier of (i) the beginning of a specified calendar year or (ii) their separation from service as a member of the Board. Stock units awarded under the Amended Director Program and Restated Director Program are paid out in an equivalent number of shares of Northrop Grumman common stock. Directors are credited with dividend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accumulated stock units until the shares of common stock relating to such stock units are issued.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Stock-based compensation expense for the years ended December 31, 2024, 2023 and 2022 was $101 million, $87 million and $99 million, respectively. The related tax benefits for stock-based compensation for the years ended December 31, 2024, 2023 and 2022 were $15 million, $9 million and $10 million, respectively.</w:t>
      </w:r>
    </w:p>
    <w:p>
      <w:pPr>
        <w:spacing w:after="0" w:line="5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At December 31, 2024, there was $102 million of unrecognized compensation expense related to unvested stock awards granted under the company’s stock-based compensation plans. These amounts are expected to be charged to expense over a weighted-average period of 1.3 years.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Stock award activity for the years ended December 31, 2022, 2023 and 2024, is presented in the table below. Vested awards do not include any adjustments to reflect the final performance measure for issued shares.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3340" w:type="dxa"/>
            <w:vAlign w:val="bottom"/>
            <w:vMerge w:val="restart"/>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3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334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22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3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327</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320</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3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373</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3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238</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465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366</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450</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3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462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stock awards are granted annually during the first quarter.</w:t>
      </w:r>
    </w:p>
    <w:p>
      <w:pPr>
        <w:spacing w:after="0" w:line="10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grant date fair value of shares issued in settlement of fully vested stock awards was $86 million, $99 million and $93 million during the years ended December 31, 2024, 2023 and 2022,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company grants certain employees cash units (CUs) and cash performance units (CPUs). Depending on actual performance against financial objectives, recipients of CPUs earn between 0 and 200 percent of the original grant. The following table presents the minimum and maximum aggregate payout amounts related to those cash awards granted for the periods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bl>
    <w:p>
      <w:pPr>
        <w:spacing w:after="0" w:line="1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majority of our cash awards are granted annually during the first quarter. CUs typically vest and settle in cash on the third anniversary of the grant date, while CPUs generally vest and pay out in cash based primarily on the achievement of certain performance metrics over a three-year period. At December 31, 2024, there was $120 million of unrecognized compensation expense related to cash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Cost</w:t>
      </w:r>
    </w:p>
    <w:p>
      <w:pPr>
        <w:spacing w:after="0" w:line="3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Total lease cost is included in Product and Service costs in the consolidated statement of earnings and comprehensive income and is recorded net of immaterial sublease income. Total lease cost is comprised of the following: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1340" w:type="dxa"/>
            <w:vAlign w:val="bottom"/>
            <w:tcBorders>
              <w:bottom w:val="single" w:sz="8" w:color="auto"/>
            </w:tcBorders>
          </w:tcPr>
          <w:p>
            <w:pPr>
              <w:spacing w:after="0"/>
              <w:rPr>
                <w:sz w:val="20"/>
                <w:szCs w:val="20"/>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387"/>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operating lease balance sheet information consists of the following:</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6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1340" w:type="dxa"/>
            <w:vAlign w:val="bottom"/>
            <w:tcBorders>
              <w:bottom w:val="single" w:sz="8" w:color="auto"/>
            </w:tcBorders>
          </w:tcPr>
          <w:p>
            <w:pPr>
              <w:spacing w:after="0"/>
              <w:rPr>
                <w:sz w:val="22"/>
                <w:szCs w:val="22"/>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1,770</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1,798</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w:t>
            </w:r>
          </w:p>
        </w:tc>
        <w:tc>
          <w:tcPr>
            <w:tcW w:w="6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37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Supplemental Information</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supplemental operating lease information consists of the following:</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6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Year Ended December 31</w:t>
            </w:r>
          </w:p>
        </w:tc>
        <w:tc>
          <w:tcPr>
            <w:tcW w:w="1340" w:type="dxa"/>
            <w:vAlign w:val="bottom"/>
            <w:tcBorders>
              <w:bottom w:val="single" w:sz="8" w:color="auto"/>
            </w:tcBorders>
          </w:tcPr>
          <w:p>
            <w:pPr>
              <w:spacing w:after="0"/>
              <w:rPr>
                <w:sz w:val="22"/>
                <w:szCs w:val="22"/>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373</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272</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r>
      <w:tr>
        <w:trPr>
          <w:trHeight w:val="270"/>
        </w:trPr>
        <w:tc>
          <w:tcPr>
            <w:tcW w:w="6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10.4 years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years</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4.0 %</w:t>
            </w:r>
          </w:p>
        </w:tc>
        <w:tc>
          <w:tcPr>
            <w:tcW w:w="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2024 are as follows: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3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3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60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39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30"/>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9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r>
    </w:tbl>
    <w:p>
      <w:pPr>
        <w:spacing w:after="0" w:line="15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2024, we have approximately $498 million in rental commitments for real estate leases that have not yet commenced. These leases are expected to commence in 2025 and 2026 with lease terms of 3 to 20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 We generally organize our segments based on the nature of products and services offered.</w:t>
      </w:r>
    </w:p>
    <w:p>
      <w:pPr>
        <w:spacing w:after="0" w:line="4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is the Chair, Chief Executive Officer and President. The CODM is responsible for allocating resources and assessing performance of the consolidated enterprise and operating sectors. The profitability measure the CODM uses to assess segment performance and allocate resources is segment operating income (and related margin rate, calculated as segment operating income divided by sales) by comparing historical, actual, and forecasted amounts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7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sales, operating costs and expenses, and operating income by segment: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7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4"/>
                <w:szCs w:val="24"/>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12,030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10,786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w:t>
            </w: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8,248</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8,942</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r>
      <w:tr>
        <w:trPr>
          <w:trHeight w:val="229"/>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2,382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2,099</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29"/>
        </w:trPr>
        <w:tc>
          <w:tcPr>
            <w:tcW w:w="7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218</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7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Aeronautics Systems operating income (loss)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1,182</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8,560</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8,289</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5,304</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4,819</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29"/>
        </w:trPr>
        <w:tc>
          <w:tcPr>
            <w:tcW w:w="7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1,641</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1,959</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29"/>
        </w:trPr>
        <w:tc>
          <w:tcPr>
            <w:tcW w:w="77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749</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682</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7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Defense Systems operating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11,399</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10,895</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7,000</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6,669</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r>
      <w:tr>
        <w:trPr>
          <w:trHeight w:val="229"/>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1,805</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1,730</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29"/>
        </w:trPr>
        <w:tc>
          <w:tcPr>
            <w:tcW w:w="7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23"/>
        </w:trPr>
        <w:tc>
          <w:tcPr>
            <w:tcW w:w="7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Mission Systems 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1,598</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1,609</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11,731</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11,873</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w:t>
            </w:r>
          </w:p>
        </w:tc>
      </w:tr>
      <w:tr>
        <w:trPr>
          <w:trHeight w:val="230"/>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8,711</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8,844</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r>
      <w:tr>
        <w:trPr>
          <w:trHeight w:val="230"/>
        </w:trPr>
        <w:tc>
          <w:tcPr>
            <w:tcW w:w="7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1,398</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1,468</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30"/>
        </w:trPr>
        <w:tc>
          <w:tcPr>
            <w:tcW w:w="77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368</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3"/>
        </w:trPr>
        <w:tc>
          <w:tcPr>
            <w:tcW w:w="7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Space Systems operating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3"/>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profit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4,544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2,760</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23"/>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3"/>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4,370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656</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benefit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443</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30"/>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5,016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FAR and CAS requirements. The FAS/CAS operating adjustment reflects the difference between CAS pension expense included as cost in segment operating income and the service cost component of FAS expense included in total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 Income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Unallocated corporate (expense) income includes the portion of corporate costs not considered allowable or allocable under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income also includes costs not considered part of management’s evaluation of segment operating performance, such as amortization of purchased intangible assets and the additional depreciation expense related to the step-up in fair value of PP&amp;E acquired through business combinations, as well as certain compensation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72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41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3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10,087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9,132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8,930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1,678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1,379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1,344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243</w:t>
            </w: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240</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239</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12,030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10,786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10,531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6,333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5,946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5,406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1,301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1,491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1,358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855</w:t>
            </w: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776</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794</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8,560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8,289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7,629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8,322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7,999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7,471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1,809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1,757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1,809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1,177</w:t>
            </w: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1,054</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1,015</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11,399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10,895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10,396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10,694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10,805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9,516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212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412</w:t>
            </w: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483</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476</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11,731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11,873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10,570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35,436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33,882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31,323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4,905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4,848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597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503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431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20" w:type="dxa"/>
            <w:vAlign w:val="bottom"/>
          </w:tcPr>
          <w:p>
            <w:pPr>
              <w:spacing w:after="0"/>
              <w:rPr>
                <w:sz w:val="20"/>
                <w:szCs w:val="20"/>
                <w:color w:val="auto"/>
              </w:rPr>
            </w:pPr>
          </w:p>
        </w:tc>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41,033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39,290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36,602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62" w:lineRule="exact"/>
        <w:rPr>
          <w:sz w:val="20"/>
          <w:szCs w:val="20"/>
          <w:color w:val="auto"/>
        </w:rPr>
      </w:pPr>
    </w:p>
    <w:p>
      <w:pPr>
        <w:ind w:left="180" w:right="500" w:hanging="172"/>
        <w:spacing w:after="0" w:line="238" w:lineRule="auto"/>
        <w:tabs>
          <w:tab w:leader="none" w:pos="168"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a substantial percentage of its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200" w:hanging="172"/>
        <w:spacing w:after="0" w:line="232" w:lineRule="auto"/>
        <w:tabs>
          <w:tab w:leader="none" w:pos="181"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3"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513"/>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tcBorders>
              <w:bottom w:val="single" w:sz="8" w:color="auto"/>
            </w:tcBorders>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59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75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5,373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46 %  </w:t>
            </w:r>
            <w:r>
              <w:rPr>
                <w:rFonts w:ascii="Times New Roman" w:cs="Times New Roman" w:eastAsia="Times New Roman" w:hAnsi="Times New Roman"/>
                <w:sz w:val="18"/>
                <w:szCs w:val="18"/>
                <w:color w:val="auto"/>
              </w:rPr>
              <w:t>$</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5,235</w:t>
            </w: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50 %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5,013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6,414</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54 %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5,311</w:t>
            </w:r>
          </w:p>
        </w:tc>
        <w:tc>
          <w:tcPr>
            <w:tcW w:w="12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50 %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5,279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20" w:type="dxa"/>
            <w:vAlign w:val="bottom"/>
          </w:tcPr>
          <w:p>
            <w:pPr>
              <w:spacing w:after="0"/>
              <w:rPr>
                <w:sz w:val="19"/>
                <w:szCs w:val="19"/>
                <w:color w:val="auto"/>
              </w:rPr>
            </w:pPr>
          </w:p>
        </w:tc>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243</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240</w:t>
            </w: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239</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12,030</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10,786</w:t>
            </w:r>
          </w:p>
        </w:tc>
        <w:tc>
          <w:tcPr>
            <w:tcW w:w="1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10,531</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4,002</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52 %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3,991</w:t>
            </w:r>
          </w:p>
        </w:tc>
        <w:tc>
          <w:tcPr>
            <w:tcW w:w="12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53 %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3,516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3,703</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48 %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3,522</w:t>
            </w: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47 %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855</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776</w:t>
            </w:r>
          </w:p>
        </w:tc>
        <w:tc>
          <w:tcPr>
            <w:tcW w:w="1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794</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8,560</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8,289</w:t>
            </w: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7,629</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4,589</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45 %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4,116</w:t>
            </w: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42 %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3,622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5,633</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55 %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5,725</w:t>
            </w:r>
          </w:p>
        </w:tc>
        <w:tc>
          <w:tcPr>
            <w:tcW w:w="12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58 %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5,759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9"/>
        </w:trPr>
        <w:tc>
          <w:tcPr>
            <w:tcW w:w="20" w:type="dxa"/>
            <w:vAlign w:val="bottom"/>
          </w:tcPr>
          <w:p>
            <w:pPr>
              <w:spacing w:after="0"/>
              <w:rPr>
                <w:sz w:val="19"/>
                <w:szCs w:val="19"/>
                <w:color w:val="auto"/>
              </w:rPr>
            </w:pPr>
          </w:p>
        </w:tc>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1,177</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1,054</w:t>
            </w: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1,015</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11,399</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10,895</w:t>
            </w:r>
          </w:p>
        </w:tc>
        <w:tc>
          <w:tcPr>
            <w:tcW w:w="1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10,396</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7,000</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62 %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7,637</w:t>
            </w:r>
          </w:p>
        </w:tc>
        <w:tc>
          <w:tcPr>
            <w:tcW w:w="12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67 %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6,560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4,319</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38 %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3,753</w:t>
            </w: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33 %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3,534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412</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483</w:t>
            </w:r>
          </w:p>
        </w:tc>
        <w:tc>
          <w:tcPr>
            <w:tcW w:w="1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476</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11,731</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11,873</w:t>
            </w: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10,570</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20,964</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51 %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20,979</w:t>
            </w: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53 %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18,711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20,069</w:t>
            </w: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49 %</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18,311</w:t>
            </w:r>
          </w:p>
        </w:tc>
        <w:tc>
          <w:tcPr>
            <w:tcW w:w="124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47 %</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17,891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20" w:type="dxa"/>
            <w:vAlign w:val="bottom"/>
          </w:tcPr>
          <w:p>
            <w:pPr>
              <w:spacing w:after="0"/>
              <w:rPr>
                <w:sz w:val="20"/>
                <w:szCs w:val="20"/>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41,033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39,290</w:t>
            </w: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36,602</w:t>
            </w:r>
          </w:p>
        </w:tc>
        <w:tc>
          <w:tcPr>
            <w:tcW w:w="84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512"/>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tcBorders>
              <w:bottom w:val="single" w:sz="8" w:color="auto"/>
            </w:tcBorders>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(3)</w:t>
            </w: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75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(3)</w:t>
            </w: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(3)</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10,109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86 %  </w:t>
            </w:r>
            <w:r>
              <w:rPr>
                <w:rFonts w:ascii="Times New Roman" w:cs="Times New Roman" w:eastAsia="Times New Roman" w:hAnsi="Times New Roman"/>
                <w:sz w:val="18"/>
                <w:szCs w:val="18"/>
                <w:color w:val="auto"/>
              </w:rPr>
              <w:t>$</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9,167</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87 %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8,948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694</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607</w:t>
            </w:r>
          </w:p>
        </w:tc>
        <w:tc>
          <w:tcPr>
            <w:tcW w:w="12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708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947</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736</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7 %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585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37</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c>
          <w:tcPr>
            <w:tcW w:w="12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20" w:type="dxa"/>
            <w:vAlign w:val="bottom"/>
          </w:tcPr>
          <w:p>
            <w:pPr>
              <w:spacing w:after="0"/>
              <w:rPr>
                <w:sz w:val="19"/>
                <w:szCs w:val="19"/>
                <w:color w:val="auto"/>
              </w:rPr>
            </w:pPr>
          </w:p>
        </w:tc>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243</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240</w:t>
            </w: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239</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12,030</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10,786</w:t>
            </w:r>
          </w:p>
        </w:tc>
        <w:tc>
          <w:tcPr>
            <w:tcW w:w="1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10,531</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6,404</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83 %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6,022</w:t>
            </w:r>
          </w:p>
        </w:tc>
        <w:tc>
          <w:tcPr>
            <w:tcW w:w="12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80 %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5,477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344</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419</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454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766</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10 %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601</w:t>
            </w:r>
          </w:p>
        </w:tc>
        <w:tc>
          <w:tcPr>
            <w:tcW w:w="12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8 %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477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191</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471</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855</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776</w:t>
            </w:r>
          </w:p>
        </w:tc>
        <w:tc>
          <w:tcPr>
            <w:tcW w:w="1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794</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8,560</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8,289</w:t>
            </w: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7,629</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8,413</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82 %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8,084</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82 %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7,572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472</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460</w:t>
            </w:r>
          </w:p>
        </w:tc>
        <w:tc>
          <w:tcPr>
            <w:tcW w:w="12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990</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10 %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959</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977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347</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338</w:t>
            </w:r>
          </w:p>
        </w:tc>
        <w:tc>
          <w:tcPr>
            <w:tcW w:w="12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301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1,177</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1,054</w:t>
            </w: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1,015</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11,399</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10,895</w:t>
            </w:r>
          </w:p>
        </w:tc>
        <w:tc>
          <w:tcPr>
            <w:tcW w:w="1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10,396</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11,107</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98 %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11,112</w:t>
            </w:r>
          </w:p>
        </w:tc>
        <w:tc>
          <w:tcPr>
            <w:tcW w:w="12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98 %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9,757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42</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82</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134</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159</w:t>
            </w:r>
          </w:p>
        </w:tc>
        <w:tc>
          <w:tcPr>
            <w:tcW w:w="12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36</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412</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483</w:t>
            </w:r>
          </w:p>
        </w:tc>
        <w:tc>
          <w:tcPr>
            <w:tcW w:w="1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476</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11,731</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11,873</w:t>
            </w: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10,570</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36,033</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88 %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34,385</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88 %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31,754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1,552</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1,568</w:t>
            </w:r>
          </w:p>
        </w:tc>
        <w:tc>
          <w:tcPr>
            <w:tcW w:w="12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4 %</w:t>
            </w: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1,802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2,837</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2,455</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6 %</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2,252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611</w:t>
            </w: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1 %</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882</w:t>
            </w:r>
          </w:p>
        </w:tc>
        <w:tc>
          <w:tcPr>
            <w:tcW w:w="12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2 %</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794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0" w:type="dxa"/>
            <w:vAlign w:val="bottom"/>
          </w:tcPr>
          <w:p>
            <w:pPr>
              <w:spacing w:after="0"/>
              <w:rPr>
                <w:sz w:val="20"/>
                <w:szCs w:val="20"/>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41,033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39,290</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36,602</w:t>
            </w:r>
          </w:p>
        </w:tc>
        <w:tc>
          <w:tcPr>
            <w:tcW w:w="84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 country other than the United States represents greater than 10% of total company sales.</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geographic regions are principally comprised of the Middle East.</w:t>
      </w:r>
    </w:p>
    <w:p>
      <w:pPr>
        <w:spacing w:after="0" w:line="71"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711"/>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Sales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sales for each of our reportable segments and total intersegment eliminations: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51"/>
        </w:trPr>
        <w:tc>
          <w:tcPr>
            <w:tcW w:w="7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4"/>
                <w:szCs w:val="24"/>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12,030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10,786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8,560</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8,289</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11,399</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10,895</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11,731</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11,873</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w:t>
            </w:r>
          </w:p>
        </w:tc>
      </w:tr>
      <w:tr>
        <w:trPr>
          <w:trHeight w:val="230"/>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41,033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39,290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36,602</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Intersegment Sales and Operating Income</w:t>
      </w:r>
    </w:p>
    <w:p>
      <w:pPr>
        <w:spacing w:after="0" w:line="3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Sales between segments are recorded at values that include intercompany operating income for the performing segment based on that segment’s estimated average operating margin rate for external sales. Such intercompany operating income is eliminated in consolidation, so that the company’s total sales and total operating income reflect only those transactions with external customers. See Note 1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intersegment sales and operating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2022</w:t>
            </w: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20" w:type="dxa"/>
            <w:vAlign w:val="bottom"/>
            <w:gridSpan w:val="2"/>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Operating</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vMerge w:val="continue"/>
          </w:tcPr>
          <w:p>
            <w:pPr>
              <w:spacing w:after="0"/>
              <w:rPr>
                <w:sz w:val="21"/>
                <w:szCs w:val="21"/>
                <w:color w:val="auto"/>
              </w:rPr>
            </w:pPr>
          </w:p>
        </w:tc>
        <w:tc>
          <w:tcPr>
            <w:tcW w:w="12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Sales</w:t>
            </w: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 and operating income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300" w:type="dxa"/>
            <w:vAlign w:val="bottom"/>
          </w:tcPr>
          <w:p>
            <w:pPr>
              <w:spacing w:after="0"/>
              <w:rPr>
                <w:sz w:val="19"/>
                <w:szCs w:val="19"/>
                <w:color w:val="auto"/>
              </w:rPr>
            </w:pPr>
          </w:p>
        </w:tc>
        <w:tc>
          <w:tcPr>
            <w:tcW w:w="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243</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855</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1,177</w:t>
            </w: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7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412</w:t>
            </w: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7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Expenditures and Depreciation and Amortization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for each of our reportable segments and for Corporate:</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380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7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180</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7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255</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362</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7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193</w:t>
            </w: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7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1,767</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1,435</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1,370</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180" w:hanging="172"/>
        <w:spacing w:after="0" w:line="254" w:lineRule="auto"/>
        <w:tabs>
          <w:tab w:leader="none" w:pos="168"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Corporate amounts include the amortization of purchased intangible assets and the additional depreciation expense related to the step-up in fair value of PP&amp;E acquired through business combinations as they are not considered part of management’s evaluation of segment operating performance.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CODM does not use assets by segment to evaluate segment performance or allocate resources. Therefore, we do not disclose assets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29, 2025, the company entered into a definitive agreement to sell substantially all of the Immersive Mission Solutions (IMS) operating unit of Defense Systems for $327 million in cash. IMS is a provider of mission training and satellite ground network communications software for U.S. government customers. The transaction, which is subject to final government approvals and closing conditions, is expected to be completed mid-year 2025. We expect to recognize an after-tax gain of approximately $150 million when the transaction closes.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ind w:right="376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December 31, 2024,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 change occurred in our internal control over financial reporting that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management of Northrop Grumman Corporation (the company) prepared and is responsible for the consolidated financial statements and all related financial information contained in this Annual Report. This responsibility includes establishing and maintaining effective internal control over financial reporting.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4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To comply with the requirements of Section 404 of the Sarbanes–Oxley Act of 2002, the company designed and implemented a structured and comprehensive assessment process to evaluate its internal control over financial reporting across the enterprise. The assessment of the effectiveness of the company’s internal control over financial reporting is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Because of its inherent limitations, a system of internal control over financial reporting can provide only reasonable assurance and may not prevent or detect misstatements. Management regularly monitors its internal control over financial reporting, and actions are taken to correct deficiencies as they are identified. Based on its assessment, management has concluded that the company’s internal control over financial reporting was effective as of December 31, 2024.</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Deloitte &amp; Touche LLP issued an attestation report dated January 29, 2025, concerning the company’s internal control over financial reporting, which is contained in this Annual Report. The company’s consolidated financial statements as of and for the year ended December 31, 2024, have been audited by the independent registered public accounting firm of Deloitte &amp; Touche LLP in accordance with the standards of the Public Company Accounting Oversight Board (United States).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Kathy J. Warden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B. Crews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January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Northrop Grumman Corporation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January 29, 2025 expressed an unqualified opinion on those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jc w:val="center"/>
        <w:ind w:right="928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9" w:lineRule="exact"/>
        <w:rPr>
          <w:sz w:val="20"/>
          <w:szCs w:val="20"/>
          <w:color w:val="auto"/>
        </w:rPr>
      </w:pPr>
    </w:p>
    <w:p>
      <w:pPr>
        <w:jc w:val="center"/>
        <w:ind w:right="9260"/>
        <w:spacing w:after="0"/>
        <w:rPr>
          <w:sz w:val="20"/>
          <w:szCs w:val="20"/>
          <w:color w:val="auto"/>
        </w:rPr>
      </w:pPr>
      <w:r>
        <w:rPr>
          <w:rFonts w:ascii="Times New Roman" w:cs="Times New Roman" w:eastAsia="Times New Roman" w:hAnsi="Times New Roman"/>
          <w:sz w:val="18"/>
          <w:szCs w:val="18"/>
          <w:color w:val="auto"/>
        </w:rPr>
        <w:t>McLean, Virginia</w:t>
      </w:r>
    </w:p>
    <w:p>
      <w:pPr>
        <w:spacing w:after="0" w:line="9"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color w:val="auto"/>
        </w:rPr>
        <w:t>January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CERTAIN TRADING AGREEMENTS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none of our directors or officers (as defined in Rule 16a-1(f) of the Exchange Act) adopted or terminated a “Rule 10b5-1 trading arrangement” or “non-Rule 10b5-1 trading arrangement”, as those terms are defined in Item 408 of Regulation S-K.</w:t>
      </w:r>
    </w:p>
    <w:p>
      <w:pPr>
        <w:spacing w:after="0" w:line="185" w:lineRule="exact"/>
        <w:rPr>
          <w:sz w:val="20"/>
          <w:szCs w:val="20"/>
          <w:color w:val="auto"/>
        </w:rPr>
      </w:pPr>
    </w:p>
    <w:p>
      <w:pPr>
        <w:ind w:right="502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32" w:right="5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Information about our Directors will be incorporated herein by reference to the Proxy Statement for the 2025 Annual Meeting of Shareholders, to be filed with the SEC within 120 days after the end of the company’s fiscal year.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08"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color w:val="auto"/>
        </w:rPr>
        <w:t>Our executive officers as of January 29, 2025, are listed below, along with their ages on that date, positions and offices held with the company, and principal occupations and employment, focused primarily on the past five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w:t>
            </w:r>
          </w:p>
        </w:tc>
        <w:tc>
          <w:tcPr>
            <w:tcW w:w="21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Office Held</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48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Recent Business Experience</w:t>
            </w:r>
          </w:p>
        </w:tc>
      </w:tr>
      <w:tr>
        <w:trPr>
          <w:trHeight w:val="169"/>
        </w:trPr>
        <w:tc>
          <w:tcPr>
            <w:tcW w:w="24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Kathy J. Warden</w:t>
            </w:r>
          </w:p>
        </w:tc>
        <w:tc>
          <w:tcPr>
            <w:tcW w:w="18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4"/>
                <w:szCs w:val="14"/>
                <w:color w:val="auto"/>
              </w:rPr>
            </w:pPr>
          </w:p>
        </w:tc>
        <w:tc>
          <w:tcPr>
            <w:tcW w:w="1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Chair, Chief Executive</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14"/>
                <w:szCs w:val="14"/>
                <w:color w:val="auto"/>
              </w:rPr>
            </w:pPr>
          </w:p>
        </w:tc>
        <w:tc>
          <w:tcPr>
            <w:tcW w:w="4820" w:type="dxa"/>
            <w:vAlign w:val="bottom"/>
            <w:tcBorders>
              <w:top w:val="single" w:sz="8" w:color="auto"/>
            </w:tcBorders>
          </w:tcPr>
          <w:p>
            <w:pPr>
              <w:spacing w:after="0"/>
              <w:rPr>
                <w:sz w:val="14"/>
                <w:szCs w:val="14"/>
                <w:color w:val="auto"/>
              </w:rPr>
            </w:pP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 and President</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184"/>
        </w:trPr>
        <w:tc>
          <w:tcPr>
            <w:tcW w:w="2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Kenneth B. Crews</w:t>
            </w: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Vice President and Chief Financial Officer, Space Systems Sector</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Chief Financial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(2023-2024); Vice President and Chief Financial Officer, Mission</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Officer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Systems Sector (2021-2023); Vice President and Chief Financial</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Officer, Land and Avionics C4ISR Division, Mission Systems</w:t>
            </w: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Sector (2017-2020)</w:t>
            </w:r>
          </w:p>
        </w:tc>
      </w:tr>
      <w:tr>
        <w:trPr>
          <w:trHeight w:val="184"/>
        </w:trPr>
        <w:tc>
          <w:tcPr>
            <w:tcW w:w="2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Benjamin R. Davies</w:t>
            </w: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Vice President and General Manager, Strategic Deterrent Systems</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President, Defense</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Division, Space Systems Sector (2023-2024); Vice President and</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General Manager, Networked Information Solutions Division,</w:t>
            </w:r>
          </w:p>
        </w:tc>
      </w:tr>
      <w:tr>
        <w:trPr>
          <w:trHeight w:val="176"/>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Mission Systems Sector (2021-2023); Vice President and General</w:t>
            </w: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Manager, B-2 Program, Aeronautics Systems Sector (2019-2021)</w:t>
            </w:r>
          </w:p>
        </w:tc>
      </w:tr>
      <w:tr>
        <w:trPr>
          <w:trHeight w:val="184"/>
        </w:trPr>
        <w:tc>
          <w:tcPr>
            <w:tcW w:w="2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Robert J. Fleming</w:t>
            </w: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Vice President and General Manager, Strategic Space Systems</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President, Space</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Division, Space Systems Sector (2021-2023); Vice President,</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Business Development and Strategy, Space Systems Sector</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(2020-2021); Vice President, Space Programs, Strategic Force</w:t>
            </w: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 Mission Systems Sector (2019-2020)</w:t>
            </w:r>
          </w:p>
        </w:tc>
      </w:tr>
      <w:tr>
        <w:trPr>
          <w:trHeight w:val="184"/>
        </w:trPr>
        <w:tc>
          <w:tcPr>
            <w:tcW w:w="2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Michael A. Hardesty</w:t>
            </w: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2013</w:t>
            </w:r>
          </w:p>
        </w:tc>
        <w:tc>
          <w:tcPr>
            <w:tcW w:w="18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Controller, and Chief</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230"/>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Thomas H. Jones</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and General Manager, Airborne C4ISR Division,</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President,</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Mission Systems Sector (2017-2020)</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Aeronautics Systems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Sector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Roshan S. Roeder</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 and President, Defense Systems Sector</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President, Mission</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(2022-2024); Vice President and General Manager, Airborne</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Multifunction Sensors, Mission Systems Sector (2020-2022);</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Vice President Program Management, Communications Business</w:t>
            </w: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 Mission Systems Sector (2018-2020)</w:t>
            </w:r>
          </w:p>
        </w:tc>
      </w:tr>
      <w:tr>
        <w:trPr>
          <w:trHeight w:val="184"/>
        </w:trPr>
        <w:tc>
          <w:tcPr>
            <w:tcW w:w="2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Kathryn G. Simpson</w:t>
            </w: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Vice President, Associate General Counsel, Mission Systems</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General Counsel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Sector (2021-2023); Vice President, Deputy General Counsel</w:t>
            </w: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(2012-2021)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FINANCIAL EXPERT</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as to the Audit and Risk Committee and the Audit and Risk Committee Financial Expert will be incorporated herein by reference to the Proxy Statement for the 2025 Annual Meeting of Shareholders.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0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have adopted Standards of Business Conduct for our employees, including the principal executive officer, principal financial officer and principal accounting officer. The Standards of Business Conduct can be found on our website at www.northropgrumman.com under “Who We Are – Investors – Corporate Governance – Overview – Standards of Business Conduct.” A copy of the Standards of Business Conduct is available to any stockholder who requests it by writing to: Northrop Grumman Corporation, c/o Office of the Secretary, 2980 Fairview Park Drive, Falls Church, VA 22042. We disclose amendments to provisions of our Standards of Business Conduct by posting amendments on our website. Waivers of the provisions of our Standards of Business Conduct that apply to our directors and executive officers are disclosed in a Current Report on Form 8-K.</w:t>
      </w:r>
    </w:p>
    <w:p>
      <w:pPr>
        <w:spacing w:after="0" w:line="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website and information contained on it or incorporated in it are not intended to be incorporated in this Annual Report on Form 10-K or other filings with the SEC.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DISCLOSURES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disclosures required by this Item, including with respect to insider trading arrangements and policies, will be incorporated herein by reference to the Proxy Statement for the 2025 Annual Meeting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9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Information concerning Executive Compensation required by this Item 11, including information concerning Compensation Committee Interlocks and Insider Participation and the Compensation Committee Report, will be incorporated herein by reference to the Proxy Statement for the 2025 Annual Meeting of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as to Securities Authorized for Issuance Under Equity Compensation Plans and Security Ownership of Certain Beneficial Owners and Management will be incorporated herein by reference to the Proxy Statement for the 2025 Annual Meeting of Shareholders.</w:t>
      </w:r>
    </w:p>
    <w:p>
      <w:pPr>
        <w:spacing w:after="0" w:line="40" w:lineRule="exact"/>
        <w:rPr>
          <w:sz w:val="20"/>
          <w:szCs w:val="20"/>
          <w:color w:val="auto"/>
        </w:rPr>
      </w:pPr>
    </w:p>
    <w:p>
      <w:pPr>
        <w:ind w:right="1700"/>
        <w:spacing w:after="0" w:line="391" w:lineRule="auto"/>
        <w:rPr>
          <w:sz w:val="20"/>
          <w:szCs w:val="20"/>
          <w:color w:val="auto"/>
        </w:rPr>
      </w:pPr>
      <w:r>
        <w:rPr>
          <w:rFonts w:ascii="Times New Roman" w:cs="Times New Roman" w:eastAsia="Times New Roman" w:hAnsi="Times New Roman"/>
          <w:sz w:val="18"/>
          <w:szCs w:val="18"/>
          <w:color w:val="auto"/>
        </w:rPr>
        <w:t xml:space="preserve">For a description of securities authorized under our equity compensation plans, see Note 13 to the consolidated financial statements. </w:t>
      </w: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as to Certain Relationships and Related Transactions and Director Independence will be incorporated herein by reference to the Proxy Statement for the 2025 Annual Meeting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as to Principal Accountant Fees and Services will be incorporated herein by reference to the Proxy Statement for the 2025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72" w:lineRule="exact"/>
        <w:rPr>
          <w:sz w:val="20"/>
          <w:szCs w:val="20"/>
          <w:color w:val="auto"/>
        </w:rPr>
      </w:pPr>
    </w:p>
    <w:p>
      <w:pPr>
        <w:ind w:left="740" w:right="4700" w:hanging="489"/>
        <w:spacing w:after="0" w:line="360" w:lineRule="auto"/>
        <w:tabs>
          <w:tab w:leader="none" w:pos="5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Report of Independent Registered Public Accounting Firm (PCAOB ID No. 34) Financial Statements</w:t>
      </w: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Earnings and Comprehensive Income</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Financial Position</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Changes in Shareholders’ Equity</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72" w:lineRule="exact"/>
        <w:rPr>
          <w:sz w:val="20"/>
          <w:szCs w:val="20"/>
          <w:color w:val="auto"/>
        </w:rPr>
      </w:pPr>
    </w:p>
    <w:p>
      <w:pPr>
        <w:ind w:left="760" w:hanging="185"/>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03"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they are not applicable, not required, or the information has been otherwise supplied in the consolidated financial statements or notes to the consolidated financial statements.</w:t>
      </w:r>
    </w:p>
    <w:p>
      <w:pPr>
        <w:spacing w:after="0" w:line="40"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Agreement and Plan of Merger dated as of September 17, 2017, among Northrop Grumman Corporation, Neptune Merger, Inc.</w:t>
              </w:r>
            </w:hyperlink>
          </w:p>
        </w:tc>
      </w:tr>
      <w:tr>
        <w:trPr>
          <w:trHeight w:val="169"/>
        </w:trPr>
        <w:tc>
          <w:tcPr>
            <w:tcW w:w="1060" w:type="dxa"/>
            <w:vAlign w:val="bottom"/>
          </w:tcPr>
          <w:p>
            <w:pPr>
              <w:spacing w:after="0"/>
              <w:rPr>
                <w:sz w:val="14"/>
                <w:szCs w:val="14"/>
                <w:color w:val="auto"/>
              </w:rPr>
            </w:pPr>
          </w:p>
        </w:tc>
        <w:tc>
          <w:tcPr>
            <w:tcW w:w="89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and Orbital ATK, Inc. (incorporated by reference to Exhibit 2.1 to Form 8-K filed September 18, 2017, File No. 001-16411)</w:t>
              </w:r>
            </w:hyperlink>
          </w:p>
        </w:tc>
        <w:tc>
          <w:tcPr>
            <w:tcW w:w="20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2(b)</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Transaction Agreement dated as of April 28, 2014, among Alliant Techsystems Inc., Vista Spinco Inc., Vista Merger Sub Inc. and</w:t>
              </w:r>
            </w:hyperlink>
          </w:p>
        </w:tc>
      </w:tr>
      <w:tr>
        <w:trPr>
          <w:trHeight w:val="156"/>
        </w:trPr>
        <w:tc>
          <w:tcPr>
            <w:tcW w:w="1060" w:type="dxa"/>
            <w:vAlign w:val="bottom"/>
          </w:tcPr>
          <w:p>
            <w:pPr>
              <w:spacing w:after="0"/>
              <w:rPr>
                <w:sz w:val="13"/>
                <w:szCs w:val="13"/>
                <w:color w:val="auto"/>
              </w:rPr>
            </w:pPr>
          </w:p>
        </w:tc>
        <w:tc>
          <w:tcPr>
            <w:tcW w:w="93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Orbital Sciences Corporation (incorporated by reference to Exhibit 2.1 to Alliant Techsystems Inc. (now known as Northrop</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Grumman Innovation Systems, Inc.) Form 8-K filed May 2, 2014, File No. 001-16411)</w:t>
              </w:r>
            </w:hyperlink>
          </w:p>
        </w:tc>
        <w:tc>
          <w:tcPr>
            <w:tcW w:w="2700" w:type="dxa"/>
            <w:vAlign w:val="bottom"/>
            <w:tcBorders>
              <w:top w:val="single" w:sz="8" w:color="0000FF"/>
            </w:tcBorders>
            <w:gridSpan w:val="9"/>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2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3(a)</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Restated Certificate of Incorporation of Northrop Grumman Corporation, dated May 15, 2024 (incorporated by reference to</w:t>
              </w:r>
            </w:hyperlink>
          </w:p>
        </w:tc>
      </w:tr>
      <w:tr>
        <w:trPr>
          <w:trHeight w:val="155"/>
        </w:trPr>
        <w:tc>
          <w:tcPr>
            <w:tcW w:w="1060" w:type="dxa"/>
            <w:vAlign w:val="bottom"/>
          </w:tcPr>
          <w:p>
            <w:pPr>
              <w:spacing w:after="0"/>
              <w:rPr>
                <w:sz w:val="13"/>
                <w:szCs w:val="13"/>
                <w:color w:val="auto"/>
              </w:rPr>
            </w:pPr>
          </w:p>
        </w:tc>
        <w:tc>
          <w:tcPr>
            <w:tcW w:w="89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Exhibit 3.1 to Form 8-K filed May 16, 2024,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3(b)</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 and Restated Bylaws of Northrop Grumman Corporation dated May 17, 2023 (incorporated by reference to Exhibit 3.2</w:t>
              </w:r>
            </w:hyperlink>
          </w:p>
        </w:tc>
      </w:tr>
      <w:tr>
        <w:trPr>
          <w:trHeight w:val="169"/>
        </w:trPr>
        <w:tc>
          <w:tcPr>
            <w:tcW w:w="1060" w:type="dxa"/>
            <w:vAlign w:val="bottom"/>
          </w:tcPr>
          <w:p>
            <w:pPr>
              <w:spacing w:after="0"/>
              <w:rPr>
                <w:sz w:val="14"/>
                <w:szCs w:val="14"/>
                <w:color w:val="auto"/>
              </w:rPr>
            </w:pPr>
          </w:p>
        </w:tc>
        <w:tc>
          <w:tcPr>
            <w:tcW w:w="93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to Form 8-K filed May 19, 2023, File No. 001-16411)</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4(a)</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Indenture dated as of October 15, 1994, between Northrop Grumman Corporation (now Northrop Grumman Systems Corporation)</w:t>
              </w:r>
            </w:hyperlink>
          </w:p>
        </w:tc>
      </w:tr>
      <w:tr>
        <w:trPr>
          <w:trHeight w:val="155"/>
        </w:trPr>
        <w:tc>
          <w:tcPr>
            <w:tcW w:w="1060" w:type="dxa"/>
            <w:vAlign w:val="bottom"/>
          </w:tcPr>
          <w:p>
            <w:pPr>
              <w:spacing w:after="0"/>
              <w:rPr>
                <w:sz w:val="13"/>
                <w:szCs w:val="13"/>
                <w:color w:val="auto"/>
              </w:rPr>
            </w:pPr>
          </w:p>
        </w:tc>
        <w:tc>
          <w:tcPr>
            <w:tcW w:w="94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and The Chase Manhattan Bank (National Association), Trustee (incorporated by reference to Exhibit 4.1 to Form 8-K filed</w:t>
              </w:r>
            </w:hyperlink>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9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October 25, 1994, File No. 001-3229)</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4(b)</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First Supplemental Indenture dated as of March 30, 2011 by and among Northrop Grumman Systems Corporation, The Bank of</w:t>
              </w:r>
            </w:hyperlink>
          </w:p>
        </w:tc>
      </w:tr>
      <w:tr>
        <w:trPr>
          <w:trHeight w:val="156"/>
        </w:trPr>
        <w:tc>
          <w:tcPr>
            <w:tcW w:w="106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New York Mellon (successor trustee to JPMorgan Chase Bank and The Chase Manhattan Bank, N.A.), Titan II, Inc. (formerly</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known as Northrop Grumman Corporation), and Titan Holdings II, L.P., to Indenture dated as of October 15, 1994, between</w:t>
              </w:r>
            </w:hyperlink>
          </w:p>
        </w:tc>
        <w:tc>
          <w:tcPr>
            <w:tcW w:w="120" w:type="dxa"/>
            <w:vAlign w:val="bottom"/>
            <w:tcBorders>
              <w:top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6"/>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Northrop Grumman Corporation (now Northrop Grumman Systems Corporation) and The Chase Manhattan Bank, N.A., Trustee</w:t>
              </w:r>
            </w:hyperlink>
          </w:p>
        </w:tc>
      </w:tr>
      <w:tr>
        <w:trPr>
          <w:trHeight w:val="156"/>
        </w:trPr>
        <w:tc>
          <w:tcPr>
            <w:tcW w:w="106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(incorporated by reference to Exhibit 4.1 to Form 10-Q for the quarter ended March 31, 2011, filed April 27, 2011, File No. 001-</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13">
              <w:r>
                <w:rPr>
                  <w:rFonts w:ascii="Times New Roman" w:cs="Times New Roman" w:eastAsia="Times New Roman" w:hAnsi="Times New Roman"/>
                  <w:sz w:val="18"/>
                  <w:szCs w:val="18"/>
                  <w:color w:val="0000FF"/>
                  <w:w w:val="94"/>
                </w:rPr>
                <w:t>16411)</w:t>
              </w:r>
            </w:hyperlink>
          </w:p>
        </w:tc>
        <w:tc>
          <w:tcPr>
            <w:tcW w:w="2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4(c)</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Second Supplemental Indenture dated as of March 30, 2011 by and among Northrop Grumman Systems Corporation, The Bank of</w:t>
              </w:r>
            </w:hyperlink>
          </w:p>
        </w:tc>
      </w:tr>
      <w:tr>
        <w:trPr>
          <w:trHeight w:val="169"/>
        </w:trPr>
        <w:tc>
          <w:tcPr>
            <w:tcW w:w="1060" w:type="dxa"/>
            <w:vAlign w:val="bottom"/>
          </w:tcPr>
          <w:p>
            <w:pPr>
              <w:spacing w:after="0"/>
              <w:rPr>
                <w:sz w:val="14"/>
                <w:szCs w:val="14"/>
                <w:color w:val="auto"/>
              </w:rPr>
            </w:pPr>
          </w:p>
        </w:tc>
        <w:tc>
          <w:tcPr>
            <w:tcW w:w="940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New York Mellon (successor trustee to JPMorgan Chase Bank and The Chase Manhattan Bank, N.A.), Titan Holdings II, L.P., and</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9420" w:type="dxa"/>
            <w:vAlign w:val="bottom"/>
            <w:gridSpan w:val="24"/>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Northrop Grumman Corporation (formerly known as New P, Inc.), to Indenture dated as of October 15, 1994, between Northrop</w:t>
              </w:r>
            </w:hyperlink>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2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Grumman Corporation (now Northrop Grumman Systems Corporation) and The Chase Manhattan Bank, N.A., Trustee</w:t>
              </w:r>
            </w:hyperlink>
          </w:p>
        </w:tc>
        <w:tc>
          <w:tcPr>
            <w:tcW w:w="240" w:type="dxa"/>
            <w:vAlign w:val="bottom"/>
            <w:gridSpan w:val="7"/>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58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(incorporated by reference to Exhibit 4.2 to Form 10-Q for the quarter ended March 31, 2011, filed April 27, 2011, File</w:t>
              </w:r>
            </w:hyperlink>
          </w:p>
        </w:tc>
        <w:tc>
          <w:tcPr>
            <w:tcW w:w="880" w:type="dxa"/>
            <w:vAlign w:val="bottom"/>
            <w:gridSpan w:val="17"/>
          </w:tcPr>
          <w:p>
            <w:pPr>
              <w:ind w:left="60"/>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14">
              <w:r>
                <w:rPr>
                  <w:rFonts w:ascii="Times New Roman" w:cs="Times New Roman" w:eastAsia="Times New Roman" w:hAnsi="Times New Roman"/>
                  <w:sz w:val="18"/>
                  <w:szCs w:val="18"/>
                  <w:color w:val="0000FF"/>
                  <w:w w:val="94"/>
                </w:rPr>
                <w:t>16411)</w:t>
              </w:r>
            </w:hyperlink>
          </w:p>
        </w:tc>
        <w:tc>
          <w:tcPr>
            <w:tcW w:w="222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4(d)</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Officers’ Certificate (without exhibits) establishing the terms of Northrop Grumman Corporation’s (now Northrop</w:t>
              </w:r>
            </w:hyperlink>
          </w:p>
        </w:tc>
      </w:tr>
      <w:tr>
        <w:trPr>
          <w:trHeight w:val="155"/>
        </w:trPr>
        <w:tc>
          <w:tcPr>
            <w:tcW w:w="1060" w:type="dxa"/>
            <w:vAlign w:val="bottom"/>
          </w:tcPr>
          <w:p>
            <w:pPr>
              <w:spacing w:after="0"/>
              <w:rPr>
                <w:sz w:val="13"/>
                <w:szCs w:val="13"/>
                <w:color w:val="auto"/>
              </w:rPr>
            </w:pPr>
          </w:p>
        </w:tc>
        <w:tc>
          <w:tcPr>
            <w:tcW w:w="88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Grumman Systems Corporation’s) 7.875% Debentures due 2026 (incorporated by reference to Exhibit 4.3 to Form S-4</w:t>
              </w:r>
            </w:hyperlink>
          </w:p>
        </w:tc>
        <w:tc>
          <w:tcPr>
            <w:tcW w:w="60" w:type="dxa"/>
            <w:vAlign w:val="bottom"/>
            <w:gridSpan w:val="2"/>
          </w:tcPr>
          <w:p>
            <w:pPr>
              <w:spacing w:after="0"/>
              <w:rPr>
                <w:sz w:val="13"/>
                <w:szCs w:val="13"/>
                <w:color w:val="auto"/>
              </w:rPr>
            </w:pPr>
          </w:p>
        </w:tc>
        <w:tc>
          <w:tcPr>
            <w:tcW w:w="540" w:type="dxa"/>
            <w:vAlign w:val="bottom"/>
            <w:gridSpan w:val="14"/>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Registration Statement No. 333-02653 filed April 19, 1996)</w:t>
              </w:r>
            </w:hyperlink>
          </w:p>
        </w:tc>
        <w:tc>
          <w:tcPr>
            <w:tcW w:w="4220" w:type="dxa"/>
            <w:vAlign w:val="bottom"/>
            <w:tcBorders>
              <w:top w:val="single" w:sz="8" w:color="0000FF"/>
            </w:tcBorders>
            <w:gridSpan w:val="4"/>
          </w:tcPr>
          <w:p>
            <w:pPr>
              <w:spacing w:after="0"/>
              <w:rPr>
                <w:sz w:val="14"/>
                <w:szCs w:val="14"/>
                <w:color w:val="auto"/>
              </w:rPr>
            </w:pPr>
          </w:p>
        </w:tc>
        <w:tc>
          <w:tcPr>
            <w:tcW w:w="380" w:type="dxa"/>
            <w:vAlign w:val="bottom"/>
            <w:gridSpan w:val="4"/>
          </w:tcPr>
          <w:p>
            <w:pPr>
              <w:spacing w:after="0"/>
              <w:rPr>
                <w:sz w:val="14"/>
                <w:szCs w:val="14"/>
                <w:color w:val="auto"/>
              </w:rPr>
            </w:pPr>
          </w:p>
        </w:tc>
        <w:tc>
          <w:tcPr>
            <w:tcW w:w="540" w:type="dxa"/>
            <w:vAlign w:val="bottom"/>
            <w:gridSpan w:val="14"/>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4(e)</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Northrop Grumman Corporation’s (now Northrop Grumman Systems Corporation’s) 7.875% Debentures due 2026</w:t>
              </w:r>
            </w:hyperlink>
          </w:p>
        </w:tc>
      </w:tr>
      <w:tr>
        <w:trPr>
          <w:trHeight w:val="155"/>
        </w:trPr>
        <w:tc>
          <w:tcPr>
            <w:tcW w:w="106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(incorporated by reference to Exhibit 4.6 to Form S-4 Registration Statement No. 333-02653 filed April 19, 1996)</w:t>
              </w:r>
            </w:hyperlink>
          </w:p>
        </w:tc>
        <w:tc>
          <w:tcPr>
            <w:tcW w:w="700" w:type="dxa"/>
            <w:vAlign w:val="bottom"/>
            <w:tcBorders>
              <w:top w:val="single" w:sz="8" w:color="0000FF"/>
            </w:tcBorders>
            <w:gridSpan w:val="5"/>
          </w:tcPr>
          <w:p>
            <w:pPr>
              <w:spacing w:after="0"/>
              <w:rPr>
                <w:sz w:val="13"/>
                <w:szCs w:val="13"/>
                <w:color w:val="auto"/>
              </w:rPr>
            </w:pPr>
          </w:p>
        </w:tc>
        <w:tc>
          <w:tcPr>
            <w:tcW w:w="540" w:type="dxa"/>
            <w:vAlign w:val="bottom"/>
            <w:gridSpan w:val="14"/>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4(f)</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Officers’ Certificate establishing the terms of Northrop Grumman Corporation’s (now Northrop Grumman Systems</w:t>
              </w:r>
            </w:hyperlink>
          </w:p>
        </w:tc>
      </w:tr>
      <w:tr>
        <w:trPr>
          <w:trHeight w:val="156"/>
        </w:trPr>
        <w:tc>
          <w:tcPr>
            <w:tcW w:w="1060" w:type="dxa"/>
            <w:vAlign w:val="bottom"/>
          </w:tcPr>
          <w:p>
            <w:pPr>
              <w:spacing w:after="0"/>
              <w:rPr>
                <w:sz w:val="13"/>
                <w:szCs w:val="13"/>
                <w:color w:val="auto"/>
              </w:rPr>
            </w:pPr>
          </w:p>
        </w:tc>
        <w:tc>
          <w:tcPr>
            <w:tcW w:w="89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Corporation’s) 7.75% Debentures due 2031 (incorporated by reference to Exhibit 10.9 to Form 8-K filed April 17, 2001, File</w:t>
              </w:r>
            </w:hyperlink>
          </w:p>
        </w:tc>
        <w:tc>
          <w:tcPr>
            <w:tcW w:w="20" w:type="dxa"/>
            <w:vAlign w:val="bottom"/>
          </w:tcPr>
          <w:p>
            <w:pPr>
              <w:spacing w:after="0"/>
              <w:rPr>
                <w:sz w:val="13"/>
                <w:szCs w:val="13"/>
                <w:color w:val="auto"/>
              </w:rPr>
            </w:pPr>
          </w:p>
        </w:tc>
        <w:tc>
          <w:tcPr>
            <w:tcW w:w="500" w:type="dxa"/>
            <w:vAlign w:val="bottom"/>
            <w:gridSpan w:val="14"/>
          </w:tcPr>
          <w:p>
            <w:pPr>
              <w:ind w:left="80"/>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No.</w:t>
              </w:r>
            </w:hyperlink>
          </w:p>
        </w:tc>
      </w:tr>
      <w:tr>
        <w:trPr>
          <w:trHeight w:val="169"/>
        </w:trPr>
        <w:tc>
          <w:tcPr>
            <w:tcW w:w="1060" w:type="dxa"/>
            <w:vAlign w:val="bottom"/>
          </w:tcPr>
          <w:p>
            <w:pPr>
              <w:spacing w:after="0"/>
              <w:rPr>
                <w:sz w:val="14"/>
                <w:szCs w:val="14"/>
                <w:color w:val="auto"/>
              </w:rPr>
            </w:pPr>
          </w:p>
        </w:tc>
        <w:tc>
          <w:tcPr>
            <w:tcW w:w="8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17">
              <w:r>
                <w:rPr>
                  <w:rFonts w:ascii="Times New Roman" w:cs="Times New Roman" w:eastAsia="Times New Roman" w:hAnsi="Times New Roman"/>
                  <w:sz w:val="18"/>
                  <w:szCs w:val="18"/>
                  <w:color w:val="0000FF"/>
                  <w:w w:val="97"/>
                </w:rPr>
                <w:t>001-16411)</w:t>
              </w:r>
            </w:hyperlink>
          </w:p>
        </w:tc>
        <w:tc>
          <w:tcPr>
            <w:tcW w:w="43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9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4(g)</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Senior Indenture dated as of December 15, 1991, between Litton Industries, Inc. (predecessor-in-interest to Northrop Grumman</w:t>
              </w:r>
            </w:hyperlink>
          </w:p>
        </w:tc>
      </w:tr>
      <w:tr>
        <w:trPr>
          <w:trHeight w:val="155"/>
        </w:trPr>
        <w:tc>
          <w:tcPr>
            <w:tcW w:w="1060" w:type="dxa"/>
            <w:vAlign w:val="bottom"/>
          </w:tcPr>
          <w:p>
            <w:pPr>
              <w:spacing w:after="0"/>
              <w:rPr>
                <w:sz w:val="13"/>
                <w:szCs w:val="13"/>
                <w:color w:val="auto"/>
              </w:rPr>
            </w:pPr>
          </w:p>
        </w:tc>
        <w:tc>
          <w:tcPr>
            <w:tcW w:w="92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Systems Corporation) and The Bank of New York, as trustee, under which its 7.75% and 6.98% debentures due 2026 and 2036</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were issued, and specimens of such debentures (incorporated by reference to Exhibit 4.1 to the Form 10-Q of Litton Industries,</w:t>
              </w:r>
            </w:hyperlink>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160" w:type="dxa"/>
            <w:vAlign w:val="bottom"/>
            <w:gridSpan w:val="13"/>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Inc. for the quarter ended April 30, 1996, filed June 11, 1996, File No. 001-3998)</w:t>
              </w:r>
            </w:hyperlink>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4(h)</w:t>
            </w:r>
          </w:p>
        </w:tc>
        <w:tc>
          <w:tcPr>
            <w:tcW w:w="89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Supplemental Indenture with respect to Senior Indenture dated December 15, 1991, dated as of April 3, 2001, among Litton</w:t>
              </w:r>
            </w:hyperlink>
          </w:p>
        </w:tc>
        <w:tc>
          <w:tcPr>
            <w:tcW w:w="540" w:type="dxa"/>
            <w:vAlign w:val="bottom"/>
            <w:gridSpan w:val="16"/>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5"/>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Industries, Inc. (predecessor-in-interest to Northrop Grumman Systems Corporation), Northrop Grumman Corporation, Northrop</w:t>
              </w:r>
            </w:hyperlink>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460" w:type="dxa"/>
            <w:vAlign w:val="bottom"/>
            <w:gridSpan w:val="25"/>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Grumman Systems Corporation and The Bank of New York, as trustee (incorporated by reference to Exhibit 4.7 to Form 10-Q for</w:t>
              </w:r>
            </w:hyperlink>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the quarter ended March 31, 2001, filed May 10, 2001, 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4(i)</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Supplemental Indenture with respect to Senior Indenture dated December 15, 1991, dated as of December 20, 2002, among Litton</w:t>
              </w:r>
            </w:hyperlink>
          </w:p>
        </w:tc>
      </w:tr>
      <w:tr>
        <w:trPr>
          <w:trHeight w:val="156"/>
        </w:trPr>
        <w:tc>
          <w:tcPr>
            <w:tcW w:w="1060" w:type="dxa"/>
            <w:vAlign w:val="bottom"/>
          </w:tcPr>
          <w:p>
            <w:pPr>
              <w:spacing w:after="0"/>
              <w:rPr>
                <w:sz w:val="13"/>
                <w:szCs w:val="13"/>
                <w:color w:val="auto"/>
              </w:rPr>
            </w:pPr>
          </w:p>
        </w:tc>
        <w:tc>
          <w:tcPr>
            <w:tcW w:w="93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Industries, Inc. (predecessor-in-interest to Northrop Grumman Systems Corporation), Northrop Grumman Corporation, Northrop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5"/>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Grumman Systems Corporation and The Bank of New York, as trustee (incorporated by reference to Exhibit 4(t) to Form 10-K for</w:t>
              </w:r>
            </w:hyperlink>
          </w:p>
        </w:tc>
      </w:tr>
      <w:tr>
        <w:trPr>
          <w:trHeight w:val="156"/>
        </w:trPr>
        <w:tc>
          <w:tcPr>
            <w:tcW w:w="106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the year ended December 31, 2002, filed March 24, 2003, File No. 001-16411)</w:t>
              </w:r>
            </w:hyperlink>
          </w:p>
        </w:tc>
        <w:tc>
          <w:tcPr>
            <w:tcW w:w="37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4(j)</w:t>
            </w:r>
          </w:p>
        </w:tc>
        <w:tc>
          <w:tcPr>
            <w:tcW w:w="93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Third Supplemental Indenture dated as of March 30, 2011 by and among Northrop Grumman Systems Corporation (successor-in-</w:t>
              </w:r>
            </w:hyperlink>
          </w:p>
        </w:tc>
        <w:tc>
          <w:tcPr>
            <w:tcW w:w="120" w:type="dxa"/>
            <w:vAlign w:val="bottom"/>
            <w:gridSpan w:val="6"/>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60" w:type="dxa"/>
            <w:vAlign w:val="bottom"/>
            <w:gridSpan w:val="25"/>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interest to Litton Industries, Inc.), The Bank of New York Mellon (formerly known as The Bank of New York), as trustee, Titan II,</w:t>
              </w:r>
            </w:hyperlink>
          </w:p>
        </w:tc>
      </w:tr>
      <w:tr>
        <w:trPr>
          <w:trHeight w:val="155"/>
        </w:trPr>
        <w:tc>
          <w:tcPr>
            <w:tcW w:w="1060" w:type="dxa"/>
            <w:vAlign w:val="bottom"/>
          </w:tcPr>
          <w:p>
            <w:pPr>
              <w:spacing w:after="0"/>
              <w:rPr>
                <w:sz w:val="13"/>
                <w:szCs w:val="13"/>
                <w:color w:val="auto"/>
              </w:rPr>
            </w:pPr>
          </w:p>
        </w:tc>
        <w:tc>
          <w:tcPr>
            <w:tcW w:w="94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Inc. (formerly known as Northrop Grumman Corporation), and Titan Holdings II, L.P., to Senior Indenture dated December 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5"/>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1991, between Litton Industries, Inc. and The Bank of New York, as trustee (incorporated by reference to Exhibit 4.5 to Form 10-</w:t>
              </w:r>
            </w:hyperlink>
          </w:p>
        </w:tc>
      </w:tr>
      <w:tr>
        <w:trPr>
          <w:trHeight w:val="156"/>
        </w:trPr>
        <w:tc>
          <w:tcPr>
            <w:tcW w:w="106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Q for the quarter ended March 31, 2011, filed April 27, 2011, File No. 001-16411)</w:t>
              </w:r>
            </w:hyperlink>
          </w:p>
        </w:tc>
        <w:tc>
          <w:tcPr>
            <w:tcW w:w="3400" w:type="dxa"/>
            <w:vAlign w:val="bottom"/>
            <w:tcBorders>
              <w:top w:val="single" w:sz="8" w:color="0000FF"/>
            </w:tcBorders>
            <w:gridSpan w:val="1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4(k)</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Fourth Supplemental Indenture dated as of March 30, 2011 by and among Northrop Grumman Systems Corporation (successor-in-</w:t>
              </w:r>
            </w:hyperlink>
          </w:p>
        </w:tc>
      </w:tr>
      <w:tr>
        <w:trPr>
          <w:trHeight w:val="169"/>
        </w:trPr>
        <w:tc>
          <w:tcPr>
            <w:tcW w:w="1060" w:type="dxa"/>
            <w:vAlign w:val="bottom"/>
          </w:tcPr>
          <w:p>
            <w:pPr>
              <w:spacing w:after="0"/>
              <w:rPr>
                <w:sz w:val="14"/>
                <w:szCs w:val="14"/>
                <w:color w:val="auto"/>
              </w:rPr>
            </w:pPr>
          </w:p>
        </w:tc>
        <w:tc>
          <w:tcPr>
            <w:tcW w:w="91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interest to Litton Industries, Inc.), The Bank of New York Mellon (formerly known as The Bank of New York) as trustee, Titan</w:t>
              </w:r>
            </w:hyperlink>
          </w:p>
        </w:tc>
        <w:tc>
          <w:tcPr>
            <w:tcW w:w="2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9460" w:type="dxa"/>
            <w:vAlign w:val="bottom"/>
            <w:gridSpan w:val="25"/>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Holdings II, L.P., and Northrop Grumman Corporation (formerly known as New P, Inc.), to Senior Indenture dated December 15,</w:t>
              </w:r>
            </w:hyperlink>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36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460" w:type="dxa"/>
            <w:vAlign w:val="bottom"/>
            <w:gridSpan w:val="25"/>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1991, between Litton Industries, Inc. and The Bank of New York, as trustee (incorporated by reference to Exhibit 4.6 to Form 10-</w:t>
              </w:r>
            </w:hyperlink>
          </w:p>
        </w:tc>
      </w:tr>
      <w:tr>
        <w:trPr>
          <w:trHeight w:val="169"/>
        </w:trPr>
        <w:tc>
          <w:tcPr>
            <w:tcW w:w="1060" w:type="dxa"/>
            <w:vAlign w:val="bottom"/>
          </w:tcPr>
          <w:p>
            <w:pPr>
              <w:spacing w:after="0"/>
              <w:rPr>
                <w:sz w:val="14"/>
                <w:szCs w:val="14"/>
                <w:color w:val="auto"/>
              </w:rPr>
            </w:pPr>
          </w:p>
        </w:tc>
        <w:tc>
          <w:tcPr>
            <w:tcW w:w="59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Q for the quarter ended March 31, 2011, filed April 27, 2011, File No. 001-16411)</w:t>
              </w:r>
            </w:hyperlink>
          </w:p>
        </w:tc>
        <w:tc>
          <w:tcPr>
            <w:tcW w:w="3400" w:type="dxa"/>
            <w:vAlign w:val="bottom"/>
            <w:tcBorders>
              <w:top w:val="single" w:sz="8" w:color="0000FF"/>
            </w:tcBorders>
            <w:gridSpan w:val="13"/>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4(l)</w:t>
            </w: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Indenture between TRW Inc. (predecessor-in-interest to Northrop Grumman Systems Corporation) and Mellon Bank, N.A., as</w:t>
            </w:r>
          </w:p>
        </w:tc>
      </w:tr>
      <w:tr>
        <w:trPr>
          <w:trHeight w:val="184"/>
        </w:trPr>
        <w:tc>
          <w:tcPr>
            <w:tcW w:w="1060" w:type="dxa"/>
            <w:vAlign w:val="bottom"/>
          </w:tcPr>
          <w:p>
            <w:pPr>
              <w:spacing w:after="0"/>
              <w:rPr>
                <w:sz w:val="16"/>
                <w:szCs w:val="16"/>
                <w:color w:val="auto"/>
              </w:rPr>
            </w:pPr>
          </w:p>
        </w:tc>
        <w:tc>
          <w:tcPr>
            <w:tcW w:w="946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w w:val="99"/>
              </w:rPr>
              <w:t>trustee, dated as of May 1, 1986 (incorporated by reference to Exhibit 2 to the Form 8-A Registration Statement of TRW Inc. dated</w:t>
            </w:r>
          </w:p>
        </w:tc>
      </w:tr>
      <w:tr>
        <w:trPr>
          <w:trHeight w:val="234"/>
        </w:trPr>
        <w:tc>
          <w:tcPr>
            <w:tcW w:w="1060" w:type="dxa"/>
            <w:vAlign w:val="bottom"/>
          </w:tcPr>
          <w:p>
            <w:pPr>
              <w:spacing w:after="0"/>
              <w:rPr>
                <w:sz w:val="20"/>
                <w:szCs w:val="20"/>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July 3, 1986, File No. 001-02384)</w:t>
            </w: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4(m)</w:t>
            </w: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First Supplemental Indenture between TRW Inc. (predecessor-in-interest to Northrop Grumman Systems Corporation) and Mellon</w:t>
            </w:r>
          </w:p>
        </w:tc>
      </w:tr>
      <w:tr>
        <w:trPr>
          <w:trHeight w:val="175"/>
        </w:trPr>
        <w:tc>
          <w:tcPr>
            <w:tcW w:w="1060" w:type="dxa"/>
            <w:vAlign w:val="bottom"/>
          </w:tcPr>
          <w:p>
            <w:pPr>
              <w:spacing w:after="0"/>
              <w:rPr>
                <w:sz w:val="15"/>
                <w:szCs w:val="15"/>
                <w:color w:val="auto"/>
              </w:rPr>
            </w:pPr>
          </w:p>
        </w:tc>
        <w:tc>
          <w:tcPr>
            <w:tcW w:w="94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auto"/>
              </w:rPr>
              <w:t>Bank, N.A., as trustee, dated as of August 24, 1989 (incorporated by reference to Exhibit 4(b) to Form S-3 Registration Statement</w:t>
            </w:r>
          </w:p>
        </w:tc>
      </w:tr>
      <w:tr>
        <w:trPr>
          <w:trHeight w:val="234"/>
        </w:trPr>
        <w:tc>
          <w:tcPr>
            <w:tcW w:w="1060" w:type="dxa"/>
            <w:vAlign w:val="bottom"/>
          </w:tcPr>
          <w:p>
            <w:pPr>
              <w:spacing w:after="0"/>
              <w:rPr>
                <w:sz w:val="20"/>
                <w:szCs w:val="20"/>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No. 33-30350 of TRW Inc.)</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4(n)</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Fifth Supplemental Indenture between TRW Inc. (predecessor-in-interest to Northrop Grumman Systems Corporation) and The</w:t>
              </w:r>
            </w:hyperlink>
          </w:p>
        </w:tc>
      </w:tr>
      <w:tr>
        <w:trPr>
          <w:trHeight w:val="169"/>
        </w:trPr>
        <w:tc>
          <w:tcPr>
            <w:tcW w:w="1060" w:type="dxa"/>
            <w:vAlign w:val="bottom"/>
          </w:tcPr>
          <w:p>
            <w:pPr>
              <w:spacing w:after="0"/>
              <w:rPr>
                <w:sz w:val="14"/>
                <w:szCs w:val="14"/>
                <w:color w:val="auto"/>
              </w:rPr>
            </w:pPr>
          </w:p>
        </w:tc>
        <w:tc>
          <w:tcPr>
            <w:tcW w:w="91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Chase Manhattan Bank, as successor trustee, dated as of June 2, 1999 (incorporated by reference to Exhibit 4(f) to Form S-4</w:t>
              </w:r>
            </w:hyperlink>
          </w:p>
        </w:tc>
        <w:tc>
          <w:tcPr>
            <w:tcW w:w="280" w:type="dxa"/>
            <w:vAlign w:val="bottom"/>
            <w:gridSpan w:val="10"/>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89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Registration Statement No. 333-83227 of TRW Inc. filed July 20, 1999)</w:t>
              </w:r>
            </w:hyperlink>
          </w:p>
        </w:tc>
        <w:tc>
          <w:tcPr>
            <w:tcW w:w="500" w:type="dxa"/>
            <w:vAlign w:val="bottom"/>
            <w:gridSpan w:val="14"/>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17"/>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4(o)</w:t>
            </w:r>
          </w:p>
        </w:tc>
        <w:tc>
          <w:tcPr>
            <w:tcW w:w="9460" w:type="dxa"/>
            <w:vAlign w:val="bottom"/>
            <w:gridSpan w:val="25"/>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Ninth Supplemental Indenture dated as of December 31, 2009 among Northrop Grumman Space &amp; Mission Systems Corp.</w:t>
              </w:r>
            </w:hyperlink>
          </w:p>
        </w:tc>
      </w:tr>
      <w:tr>
        <w:trPr>
          <w:trHeight w:val="155"/>
        </w:trPr>
        <w:tc>
          <w:tcPr>
            <w:tcW w:w="106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(predecessor–in-interest to Northrop Grumman Systems Corporation); The Bank of New York Mellon, as successor trustee;</w:t>
              </w:r>
            </w:hyperlink>
          </w:p>
        </w:tc>
        <w:tc>
          <w:tcPr>
            <w:tcW w:w="40" w:type="dxa"/>
            <w:vAlign w:val="bottom"/>
            <w:tcBorders>
              <w:bottom w:val="single" w:sz="8" w:color="0000FF"/>
            </w:tcBorders>
          </w:tcPr>
          <w:p>
            <w:pPr>
              <w:spacing w:after="0"/>
              <w:rPr>
                <w:sz w:val="13"/>
                <w:szCs w:val="13"/>
                <w:color w:val="auto"/>
              </w:rPr>
            </w:pPr>
          </w:p>
        </w:tc>
        <w:tc>
          <w:tcPr>
            <w:tcW w:w="560" w:type="dxa"/>
            <w:vAlign w:val="bottom"/>
            <w:gridSpan w:val="17"/>
          </w:tcPr>
          <w:p>
            <w:pPr>
              <w:spacing w:after="0"/>
              <w:rPr>
                <w:sz w:val="13"/>
                <w:szCs w:val="13"/>
                <w:color w:val="auto"/>
              </w:rPr>
            </w:pPr>
          </w:p>
        </w:tc>
      </w:tr>
    </w:tbl>
    <w:p>
      <w:pPr>
        <w:ind w:left="1780" w:right="20"/>
        <w:spacing w:after="0" w:line="226"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Northrop Grumman Corporation; and Northrop Grumman Systems Corporation (incorporated by reference to Exhibit 4(p) to Form</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10-K for the year ended December 31, 2009, filed February 9, 2010, File No. 001-16411)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4(p)</w:t>
            </w:r>
          </w:p>
        </w:tc>
        <w:tc>
          <w:tcPr>
            <w:tcW w:w="9520" w:type="dxa"/>
            <w:vAlign w:val="bottom"/>
            <w:gridSpan w:val="39"/>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Tenth Supplemental Indenture dated as of March 30, 2011, by and among Northrop Grumman Systems Corporation (successor-in-</w:t>
              </w:r>
            </w:hyperlink>
          </w:p>
        </w:tc>
      </w:tr>
      <w:tr>
        <w:trPr>
          <w:trHeight w:val="155"/>
        </w:trPr>
        <w:tc>
          <w:tcPr>
            <w:tcW w:w="1060" w:type="dxa"/>
            <w:vAlign w:val="bottom"/>
          </w:tcPr>
          <w:p>
            <w:pPr>
              <w:spacing w:after="0"/>
              <w:rPr>
                <w:sz w:val="13"/>
                <w:szCs w:val="13"/>
                <w:color w:val="auto"/>
              </w:rPr>
            </w:pPr>
          </w:p>
        </w:tc>
        <w:tc>
          <w:tcPr>
            <w:tcW w:w="94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interest to Northrop Grumman Space &amp; Mission Systems Corp. and TRW, Inc.), The Bank of New York Mellon, as successor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04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trustee to JPMorgan Chase Bank and to Mellon Bank, N.A., Titan II Inc. (formerly known as Northrop Grumman Corporation),</w:t>
              </w:r>
            </w:hyperlink>
          </w:p>
        </w:tc>
        <w:tc>
          <w:tcPr>
            <w:tcW w:w="1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9200" w:type="dxa"/>
            <w:vAlign w:val="bottom"/>
            <w:gridSpan w:val="23"/>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and Titan Holdings II, L.P., to Indenture between TRW Inc. and Mellon Bank, N.A., as trustee, dated as of May 1, 1986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6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(incorporated by reference to Exhibit 4.7 to Form 10-Q for the quarter ended March 31, 2011, filed April 27, 2011, File</w:t>
              </w:r>
            </w:hyperlink>
          </w:p>
        </w:tc>
        <w:tc>
          <w:tcPr>
            <w:tcW w:w="20" w:type="dxa"/>
            <w:vAlign w:val="bottom"/>
          </w:tcPr>
          <w:p>
            <w:pPr>
              <w:spacing w:after="0"/>
              <w:rPr>
                <w:sz w:val="13"/>
                <w:szCs w:val="13"/>
                <w:color w:val="auto"/>
              </w:rPr>
            </w:pPr>
          </w:p>
        </w:tc>
        <w:tc>
          <w:tcPr>
            <w:tcW w:w="900" w:type="dxa"/>
            <w:vAlign w:val="bottom"/>
            <w:gridSpan w:val="27"/>
          </w:tcPr>
          <w:p>
            <w:pPr>
              <w:jc w:val="right"/>
              <w:ind w:right="240"/>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No. 001-</w:t>
              </w:r>
            </w:hyperlink>
          </w:p>
        </w:tc>
      </w:tr>
      <w:tr>
        <w:trPr>
          <w:trHeight w:val="169"/>
        </w:trPr>
        <w:tc>
          <w:tcPr>
            <w:tcW w:w="1060" w:type="dxa"/>
            <w:vAlign w:val="bottom"/>
          </w:tcPr>
          <w:p>
            <w:pPr>
              <w:spacing w:after="0"/>
              <w:rPr>
                <w:sz w:val="14"/>
                <w:szCs w:val="14"/>
                <w:color w:val="auto"/>
              </w:rPr>
            </w:pPr>
          </w:p>
        </w:tc>
        <w:tc>
          <w:tcPr>
            <w:tcW w:w="5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26">
              <w:r>
                <w:rPr>
                  <w:rFonts w:ascii="Times New Roman" w:cs="Times New Roman" w:eastAsia="Times New Roman" w:hAnsi="Times New Roman"/>
                  <w:sz w:val="18"/>
                  <w:szCs w:val="18"/>
                  <w:color w:val="0000FF"/>
                  <w:w w:val="97"/>
                </w:rPr>
                <w:t>16411)</w:t>
              </w:r>
            </w:hyperlink>
          </w:p>
        </w:tc>
        <w:tc>
          <w:tcPr>
            <w:tcW w:w="940" w:type="dxa"/>
            <w:vAlign w:val="bottom"/>
            <w:tcBorders>
              <w:top w:val="single" w:sz="8" w:color="0000FF"/>
            </w:tcBorders>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4(q)</w:t>
            </w:r>
          </w:p>
        </w:tc>
        <w:tc>
          <w:tcPr>
            <w:tcW w:w="9520" w:type="dxa"/>
            <w:vAlign w:val="bottom"/>
            <w:gridSpan w:val="3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Eleventh Supplemental Indenture dated as of March 30, 2011, by and among Northrop Grumman Systems Corporation (successor-</w:t>
              </w:r>
            </w:hyperlink>
          </w:p>
        </w:tc>
      </w:tr>
      <w:tr>
        <w:trPr>
          <w:trHeight w:val="156"/>
        </w:trPr>
        <w:tc>
          <w:tcPr>
            <w:tcW w:w="1060" w:type="dxa"/>
            <w:vAlign w:val="bottom"/>
          </w:tcPr>
          <w:p>
            <w:pPr>
              <w:spacing w:after="0"/>
              <w:rPr>
                <w:sz w:val="13"/>
                <w:szCs w:val="13"/>
                <w:color w:val="auto"/>
              </w:rPr>
            </w:pPr>
          </w:p>
        </w:tc>
        <w:tc>
          <w:tcPr>
            <w:tcW w:w="950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in-interest to Northrop Grumman Space &amp; Mission Systems Corp. and TRW Inc.), The Bank of New York Mellon, as successor</w:t>
              </w:r>
            </w:hyperlink>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2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trustee to JPMorgan Chase Bank and to Mellon Bank, N.A., Titan Holdings II, L.P., and Northrop Grumman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72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(formerly known as New P, Inc.) to Indenture between TRW Inc. and Mellon Bank, N.A., as trustee, dated as of May 1,</w:t>
              </w:r>
            </w:hyperlink>
          </w:p>
        </w:tc>
        <w:tc>
          <w:tcPr>
            <w:tcW w:w="440" w:type="dxa"/>
            <w:vAlign w:val="bottom"/>
            <w:gridSpan w:val="8"/>
          </w:tcPr>
          <w:p>
            <w:pPr>
              <w:jc w:val="right"/>
              <w:ind w:right="160"/>
              <w:spacing w:after="0" w:line="169" w:lineRule="exact"/>
              <w:rPr>
                <w:rFonts w:ascii="Times New Roman" w:cs="Times New Roman" w:eastAsia="Times New Roman" w:hAnsi="Times New Roman"/>
                <w:sz w:val="18"/>
                <w:szCs w:val="18"/>
                <w:color w:val="0000FF"/>
                <w:w w:val="72"/>
              </w:rPr>
            </w:pPr>
            <w:hyperlink r:id="rId127">
              <w:r>
                <w:rPr>
                  <w:rFonts w:ascii="Times New Roman" w:cs="Times New Roman" w:eastAsia="Times New Roman" w:hAnsi="Times New Roman"/>
                  <w:sz w:val="18"/>
                  <w:szCs w:val="18"/>
                  <w:color w:val="0000FF"/>
                  <w:w w:val="72"/>
                </w:rPr>
                <w:t>1986</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(incorporated by reference to Exhibit 4.8 to Form 10-Q for the quarter ended March 31, 2011, filed April 27, 2011, File No.</w:t>
              </w:r>
            </w:hyperlink>
          </w:p>
        </w:tc>
        <w:tc>
          <w:tcPr>
            <w:tcW w:w="300" w:type="dxa"/>
            <w:vAlign w:val="bottom"/>
            <w:tcBorders>
              <w:bottom w:val="single" w:sz="8" w:color="0000FF"/>
            </w:tcBorders>
            <w:gridSpan w:val="9"/>
          </w:tcPr>
          <w:p>
            <w:pPr>
              <w:jc w:val="right"/>
              <w:ind w:right="20"/>
              <w:spacing w:after="0" w:line="156" w:lineRule="exact"/>
              <w:rPr>
                <w:rFonts w:ascii="Times New Roman" w:cs="Times New Roman" w:eastAsia="Times New Roman" w:hAnsi="Times New Roman"/>
                <w:sz w:val="18"/>
                <w:szCs w:val="18"/>
                <w:color w:val="0000FF"/>
                <w:w w:val="78"/>
              </w:rPr>
            </w:pPr>
            <w:hyperlink r:id="rId127">
              <w:r>
                <w:rPr>
                  <w:rFonts w:ascii="Times New Roman" w:cs="Times New Roman" w:eastAsia="Times New Roman" w:hAnsi="Times New Roman"/>
                  <w:sz w:val="18"/>
                  <w:szCs w:val="18"/>
                  <w:color w:val="0000FF"/>
                  <w:w w:val="78"/>
                </w:rPr>
                <w:t>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52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27">
              <w:r>
                <w:rPr>
                  <w:rFonts w:ascii="Times New Roman" w:cs="Times New Roman" w:eastAsia="Times New Roman" w:hAnsi="Times New Roman"/>
                  <w:sz w:val="18"/>
                  <w:szCs w:val="18"/>
                  <w:color w:val="0000FF"/>
                  <w:w w:val="97"/>
                </w:rPr>
                <w:t>16411)</w:t>
              </w:r>
            </w:hyperlink>
          </w:p>
        </w:tc>
        <w:tc>
          <w:tcPr>
            <w:tcW w:w="9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4(r)</w:t>
            </w:r>
          </w:p>
        </w:tc>
        <w:tc>
          <w:tcPr>
            <w:tcW w:w="92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Twelfth Supplemental Indenture, dated as of August 25, 2021, to the Indenture dated as of May 1, 1986, by and among Northrop</w:t>
              </w:r>
            </w:hyperlink>
          </w:p>
        </w:tc>
        <w:tc>
          <w:tcPr>
            <w:tcW w:w="240" w:type="dxa"/>
            <w:vAlign w:val="bottom"/>
            <w:gridSpan w:val="12"/>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520" w:type="dxa"/>
            <w:vAlign w:val="bottom"/>
            <w:gridSpan w:val="39"/>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Grumman Systems Corporation, Northrop Grumman Corporation and The Bank of New York Mellon, as trustee (incorporated by</w:t>
              </w:r>
            </w:hyperlink>
          </w:p>
        </w:tc>
      </w:tr>
      <w:tr>
        <w:trPr>
          <w:trHeight w:val="156"/>
        </w:trPr>
        <w:tc>
          <w:tcPr>
            <w:tcW w:w="106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reference to Exhibit 4.1 to Form 8-K filed August 27, 2021, File No. 001-16411)</w:t>
              </w:r>
            </w:hyperlink>
          </w:p>
        </w:tc>
        <w:tc>
          <w:tcPr>
            <w:tcW w:w="35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4(s)</w:t>
            </w:r>
          </w:p>
        </w:tc>
        <w:tc>
          <w:tcPr>
            <w:tcW w:w="9520" w:type="dxa"/>
            <w:vAlign w:val="bottom"/>
            <w:gridSpan w:val="3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Thirteenth Supplemental Indenture, dated as of August 25, 2021, to the Indenture dated as of May 1, 1986, by and among</w:t>
              </w:r>
            </w:hyperlink>
          </w:p>
        </w:tc>
      </w:tr>
      <w:tr>
        <w:trPr>
          <w:trHeight w:val="183"/>
        </w:trPr>
        <w:tc>
          <w:tcPr>
            <w:tcW w:w="1060" w:type="dxa"/>
            <w:vAlign w:val="bottom"/>
          </w:tcPr>
          <w:p>
            <w:pPr>
              <w:spacing w:after="0"/>
              <w:rPr>
                <w:sz w:val="15"/>
                <w:szCs w:val="15"/>
                <w:color w:val="auto"/>
              </w:rPr>
            </w:pPr>
          </w:p>
        </w:tc>
        <w:tc>
          <w:tcPr>
            <w:tcW w:w="876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Northrop Grumman Systems Corporation, Northrop Grumman Corporation and The Bank of New York Mellon, as trustee</w:t>
              </w:r>
            </w:hyperlink>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7060" w:type="dxa"/>
            <w:vAlign w:val="bottom"/>
            <w:tcBorders>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(incorporated by reference to Exhibit 4.2 to Form 8-K filed August 27, 2021, File No. 001-16411)</w:t>
              </w:r>
            </w:hyperlink>
          </w:p>
        </w:tc>
        <w:tc>
          <w:tcPr>
            <w:tcW w:w="176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4(t)</w:t>
            </w:r>
          </w:p>
        </w:tc>
        <w:tc>
          <w:tcPr>
            <w:tcW w:w="9520" w:type="dxa"/>
            <w:vAlign w:val="bottom"/>
            <w:gridSpan w:val="3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Indenture dated as of November 21, 2001, between Northrop Grumman Corporation and JPMorgan Chase Bank, as trustee</w:t>
              </w:r>
            </w:hyperlink>
          </w:p>
        </w:tc>
      </w:tr>
      <w:tr>
        <w:trPr>
          <w:trHeight w:val="156"/>
        </w:trPr>
        <w:tc>
          <w:tcPr>
            <w:tcW w:w="106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(incorporated by reference to Exhibit 4.1 to Form 8-K filed November 21, 2001, File No. 001-16411)</w:t>
              </w:r>
            </w:hyperlink>
          </w:p>
        </w:tc>
        <w:tc>
          <w:tcPr>
            <w:tcW w:w="154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4(u)</w:t>
            </w:r>
          </w:p>
        </w:tc>
        <w:tc>
          <w:tcPr>
            <w:tcW w:w="92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Second Supplemental Indenture dated as of November 8, 2010, between Northrop Grumman Corporation and The Bank of New</w:t>
              </w:r>
            </w:hyperlink>
          </w:p>
        </w:tc>
        <w:tc>
          <w:tcPr>
            <w:tcW w:w="260" w:type="dxa"/>
            <w:vAlign w:val="bottom"/>
            <w:gridSpan w:val="13"/>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520" w:type="dxa"/>
            <w:vAlign w:val="bottom"/>
            <w:gridSpan w:val="39"/>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York Mellon, as successor trustee, to Indenture dated as of November 21, 2001 (incorporated by reference to Exhibit 4(a) to Form</w:t>
              </w:r>
            </w:hyperlink>
          </w:p>
        </w:tc>
      </w:tr>
      <w:tr>
        <w:trPr>
          <w:trHeight w:val="155"/>
        </w:trPr>
        <w:tc>
          <w:tcPr>
            <w:tcW w:w="1060" w:type="dxa"/>
            <w:vAlign w:val="bottom"/>
          </w:tcPr>
          <w:p>
            <w:pPr>
              <w:spacing w:after="0"/>
              <w:rPr>
                <w:sz w:val="13"/>
                <w:szCs w:val="13"/>
                <w:color w:val="auto"/>
              </w:rPr>
            </w:pPr>
          </w:p>
        </w:tc>
        <w:tc>
          <w:tcPr>
            <w:tcW w:w="93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8-K filed November 8, 2010, File No. 001-16411)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4(v)</w:t>
            </w:r>
          </w:p>
        </w:tc>
        <w:tc>
          <w:tcPr>
            <w:tcW w:w="9520" w:type="dxa"/>
            <w:vAlign w:val="bottom"/>
            <w:gridSpan w:val="3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Northrop Grumman Corporation’s 5.050% Senior Note due 2040 (incorporated by reference to Exhibit C to Exhibit 4(a)</w:t>
              </w:r>
            </w:hyperlink>
          </w:p>
        </w:tc>
      </w:tr>
      <w:tr>
        <w:trPr>
          <w:trHeight w:val="155"/>
        </w:trPr>
        <w:tc>
          <w:tcPr>
            <w:tcW w:w="1060" w:type="dxa"/>
            <w:vAlign w:val="bottom"/>
          </w:tcPr>
          <w:p>
            <w:pPr>
              <w:spacing w:after="0"/>
              <w:rPr>
                <w:sz w:val="13"/>
                <w:szCs w:val="13"/>
                <w:color w:val="auto"/>
              </w:rPr>
            </w:pPr>
          </w:p>
        </w:tc>
        <w:tc>
          <w:tcPr>
            <w:tcW w:w="93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to Form 8-K filed November 8, 2010, File No. 001-16411)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4(w)</w:t>
            </w:r>
          </w:p>
        </w:tc>
        <w:tc>
          <w:tcPr>
            <w:tcW w:w="9520" w:type="dxa"/>
            <w:vAlign w:val="bottom"/>
            <w:gridSpan w:val="39"/>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Third Supplemental Indenture dated as of March 30, 2011, by and among Titan II, Inc. (formerly known as Northrop Grumman</w:t>
              </w:r>
            </w:hyperlink>
          </w:p>
        </w:tc>
      </w:tr>
      <w:tr>
        <w:trPr>
          <w:trHeight w:val="155"/>
        </w:trPr>
        <w:tc>
          <w:tcPr>
            <w:tcW w:w="1060" w:type="dxa"/>
            <w:vAlign w:val="bottom"/>
          </w:tcPr>
          <w:p>
            <w:pPr>
              <w:spacing w:after="0"/>
              <w:rPr>
                <w:sz w:val="13"/>
                <w:szCs w:val="13"/>
                <w:color w:val="auto"/>
              </w:rPr>
            </w:pPr>
          </w:p>
        </w:tc>
        <w:tc>
          <w:tcPr>
            <w:tcW w:w="91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Corporation), The Bank of New York Mellon, as successor trustee to JPMorgan Chase Bank, and Titan Holdings II, L.P., to</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Indenture dated as of November 21, 2001 between Northrop Grumman Corporation and JPMorgan Chase Bank, as trustee</w:t>
              </w:r>
            </w:hyperlink>
          </w:p>
        </w:tc>
        <w:tc>
          <w:tcPr>
            <w:tcW w:w="80" w:type="dxa"/>
            <w:vAlign w:val="bottom"/>
            <w:tcBorders>
              <w:top w:val="single" w:sz="8" w:color="0000FF"/>
            </w:tcBorders>
            <w:gridSpan w:val="3"/>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520" w:type="dxa"/>
            <w:vAlign w:val="bottom"/>
            <w:gridSpan w:val="39"/>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(incorporated by reference to Exhibit 4.9 to Form 10-Q for the quarter ended March 31, 2011, filed April 27, 2011, File No. 001-</w:t>
              </w:r>
            </w:hyperlink>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32">
              <w:r>
                <w:rPr>
                  <w:rFonts w:ascii="Times New Roman" w:cs="Times New Roman" w:eastAsia="Times New Roman" w:hAnsi="Times New Roman"/>
                  <w:sz w:val="18"/>
                  <w:szCs w:val="18"/>
                  <w:color w:val="0000FF"/>
                  <w:w w:val="94"/>
                </w:rPr>
                <w:t>16411)</w:t>
              </w:r>
            </w:hyperlink>
          </w:p>
        </w:tc>
        <w:tc>
          <w:tcPr>
            <w:tcW w:w="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4(x)</w:t>
            </w:r>
          </w:p>
        </w:tc>
        <w:tc>
          <w:tcPr>
            <w:tcW w:w="9520" w:type="dxa"/>
            <w:vAlign w:val="bottom"/>
            <w:gridSpan w:val="3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Fourth Supplemental Indenture dated as of March 30, 2011, by and among Titan Holdings II, L.P., The Bank of New York Mellon,</w:t>
              </w:r>
            </w:hyperlink>
          </w:p>
        </w:tc>
      </w:tr>
      <w:tr>
        <w:trPr>
          <w:trHeight w:val="169"/>
        </w:trPr>
        <w:tc>
          <w:tcPr>
            <w:tcW w:w="1060" w:type="dxa"/>
            <w:vAlign w:val="bottom"/>
          </w:tcPr>
          <w:p>
            <w:pPr>
              <w:spacing w:after="0"/>
              <w:rPr>
                <w:sz w:val="14"/>
                <w:szCs w:val="14"/>
                <w:color w:val="auto"/>
              </w:rPr>
            </w:pPr>
          </w:p>
        </w:tc>
        <w:tc>
          <w:tcPr>
            <w:tcW w:w="946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as successor trustee to JPMorgan Chase Bank, and Northrop Grumman Corporation (formerly known as New P, Inc.), to Indenture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94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dated as of November 21, 2001 between Northrop Grumman Corporation and JPMorgan Chase Bank, as trustee (incorporated by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reference to Exhibit 4.10 to Form 10-Q for the quarter ended March 31, 2011, filed April 27, 2011, File No. 001-16411)</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3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60" w:type="dxa"/>
            <w:vAlign w:val="bottom"/>
            <w:gridSpan w:val="5"/>
            <w:shd w:val="clear" w:color="auto" w:fill="0000FF"/>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4(y)</w:t>
            </w:r>
          </w:p>
        </w:tc>
        <w:tc>
          <w:tcPr>
            <w:tcW w:w="9520" w:type="dxa"/>
            <w:vAlign w:val="bottom"/>
            <w:gridSpan w:val="3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Fifth Supplemental Indenture, dated as of May 31, 2013, between Northrop Grumman Corporation and The Bank of New York</w:t>
              </w:r>
            </w:hyperlink>
          </w:p>
        </w:tc>
      </w:tr>
      <w:tr>
        <w:trPr>
          <w:trHeight w:val="155"/>
        </w:trPr>
        <w:tc>
          <w:tcPr>
            <w:tcW w:w="1060" w:type="dxa"/>
            <w:vAlign w:val="bottom"/>
          </w:tcPr>
          <w:p>
            <w:pPr>
              <w:spacing w:after="0"/>
              <w:rPr>
                <w:sz w:val="13"/>
                <w:szCs w:val="13"/>
                <w:color w:val="auto"/>
              </w:rPr>
            </w:pPr>
          </w:p>
        </w:tc>
        <w:tc>
          <w:tcPr>
            <w:tcW w:w="91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Mellon, as successor to JPMorgan Chase Bank, Trustee, to Indenture dated as of November 21, 2001 (incorporated by reference</w:t>
              </w:r>
            </w:hyperlink>
          </w:p>
        </w:tc>
        <w:tc>
          <w:tcPr>
            <w:tcW w:w="60" w:type="dxa"/>
            <w:vAlign w:val="bottom"/>
            <w:gridSpan w:val="3"/>
          </w:tcPr>
          <w:p>
            <w:pPr>
              <w:spacing w:after="0"/>
              <w:rPr>
                <w:sz w:val="13"/>
                <w:szCs w:val="13"/>
                <w:color w:val="auto"/>
              </w:rPr>
            </w:pPr>
          </w:p>
        </w:tc>
        <w:tc>
          <w:tcPr>
            <w:tcW w:w="300" w:type="dxa"/>
            <w:vAlign w:val="bottom"/>
            <w:gridSpan w:val="15"/>
          </w:tcPr>
          <w:p>
            <w:pPr>
              <w:ind w:left="40"/>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to</w:t>
              </w:r>
            </w:hyperlink>
          </w:p>
        </w:tc>
      </w:tr>
      <w:tr>
        <w:trPr>
          <w:trHeight w:val="169"/>
        </w:trPr>
        <w:tc>
          <w:tcPr>
            <w:tcW w:w="106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Exhibit 4(a) to Form 8-K filed May 31, 2013, File No. 001-16411)</w:t>
              </w:r>
            </w:hyperlink>
          </w:p>
        </w:tc>
        <w:tc>
          <w:tcPr>
            <w:tcW w:w="4640" w:type="dxa"/>
            <w:vAlign w:val="bottom"/>
            <w:tcBorders>
              <w:top w:val="single" w:sz="8" w:color="0000FF"/>
            </w:tcBorders>
            <w:gridSpan w:val="29"/>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4(z)</w:t>
            </w:r>
          </w:p>
        </w:tc>
        <w:tc>
          <w:tcPr>
            <w:tcW w:w="9520" w:type="dxa"/>
            <w:vAlign w:val="bottom"/>
            <w:gridSpan w:val="3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4.750% Senior Note due 2043 (incorporated by reference to Exhibit C to Exhibit 4(a) to Form 8-K filed May 31, 2013,</w:t>
              </w:r>
            </w:hyperlink>
          </w:p>
        </w:tc>
      </w:tr>
      <w:tr>
        <w:trPr>
          <w:trHeight w:val="155"/>
        </w:trPr>
        <w:tc>
          <w:tcPr>
            <w:tcW w:w="1060" w:type="dxa"/>
            <w:vAlign w:val="bottom"/>
          </w:tcPr>
          <w:p>
            <w:pPr>
              <w:spacing w:after="0"/>
              <w:rPr>
                <w:sz w:val="13"/>
                <w:szCs w:val="13"/>
                <w:color w:val="auto"/>
              </w:rPr>
            </w:pPr>
          </w:p>
        </w:tc>
        <w:tc>
          <w:tcPr>
            <w:tcW w:w="92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File No. 001-16411)</w:t>
              </w:r>
            </w:hyperlink>
          </w:p>
        </w:tc>
        <w:tc>
          <w:tcPr>
            <w:tcW w:w="160" w:type="dxa"/>
            <w:vAlign w:val="bottom"/>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4420" w:type="dxa"/>
            <w:vAlign w:val="bottom"/>
            <w:gridSpan w:val="2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4(aa)</w:t>
            </w:r>
          </w:p>
        </w:tc>
        <w:tc>
          <w:tcPr>
            <w:tcW w:w="9520" w:type="dxa"/>
            <w:vAlign w:val="bottom"/>
            <w:gridSpan w:val="3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Sixth Supplemental Indenture, dated as of February 6, 2015, between Northrop Grumman Corporation and The Bank of New York</w:t>
              </w:r>
            </w:hyperlink>
          </w:p>
        </w:tc>
      </w:tr>
      <w:tr>
        <w:trPr>
          <w:trHeight w:val="169"/>
        </w:trPr>
        <w:tc>
          <w:tcPr>
            <w:tcW w:w="1060" w:type="dxa"/>
            <w:vAlign w:val="bottom"/>
          </w:tcPr>
          <w:p>
            <w:pPr>
              <w:spacing w:after="0"/>
              <w:rPr>
                <w:sz w:val="14"/>
                <w:szCs w:val="14"/>
                <w:color w:val="auto"/>
              </w:rPr>
            </w:pPr>
          </w:p>
        </w:tc>
        <w:tc>
          <w:tcPr>
            <w:tcW w:w="948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Mellon, as successor to JPMorgan Chase Bank, Trustee, to Indenture dated as of November 21, 2001 (incorporated by reference to</w:t>
              </w:r>
            </w:hyperlink>
          </w:p>
        </w:tc>
        <w:tc>
          <w:tcPr>
            <w:tcW w:w="40" w:type="dxa"/>
            <w:vAlign w:val="bottom"/>
            <w:gridSpan w:val="2"/>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Exhibit 4.1 to Form 8-K filed February 6, 2015, File No. 001-16411)</w:t>
              </w:r>
            </w:hyperlink>
          </w:p>
        </w:tc>
        <w:tc>
          <w:tcPr>
            <w:tcW w:w="4480" w:type="dxa"/>
            <w:vAlign w:val="bottom"/>
            <w:tcBorders>
              <w:top w:val="single" w:sz="8" w:color="0000FF"/>
            </w:tcBorders>
            <w:gridSpan w:val="2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4(bb)</w:t>
            </w:r>
          </w:p>
        </w:tc>
        <w:tc>
          <w:tcPr>
            <w:tcW w:w="9520" w:type="dxa"/>
            <w:vAlign w:val="bottom"/>
            <w:gridSpan w:val="3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3.850% Senior Note due 2045 (incorporated by reference to Exhibit A to Exhibit 4.1 to Form 8-K filed February 6, 2015,</w:t>
              </w:r>
            </w:hyperlink>
          </w:p>
        </w:tc>
      </w:tr>
      <w:tr>
        <w:trPr>
          <w:trHeight w:val="155"/>
        </w:trPr>
        <w:tc>
          <w:tcPr>
            <w:tcW w:w="1060" w:type="dxa"/>
            <w:vAlign w:val="bottom"/>
          </w:tcPr>
          <w:p>
            <w:pPr>
              <w:spacing w:after="0"/>
              <w:rPr>
                <w:sz w:val="13"/>
                <w:szCs w:val="13"/>
                <w:color w:val="auto"/>
              </w:rPr>
            </w:pPr>
          </w:p>
        </w:tc>
        <w:tc>
          <w:tcPr>
            <w:tcW w:w="93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File No. 001-16411)</w:t>
              </w:r>
            </w:hyperlink>
          </w:p>
        </w:tc>
        <w:tc>
          <w:tcPr>
            <w:tcW w:w="140" w:type="dxa"/>
            <w:vAlign w:val="bottom"/>
            <w:gridSpan w:val="7"/>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4(cc)</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Seventh Supplemental Indenture, dated as of December 1, 2016, between Northrop Grumman Corporation and The Bank of New</w:t>
              </w:r>
            </w:hyperlink>
          </w:p>
        </w:tc>
      </w:tr>
      <w:tr>
        <w:trPr>
          <w:trHeight w:val="156"/>
        </w:trPr>
        <w:tc>
          <w:tcPr>
            <w:tcW w:w="1060" w:type="dxa"/>
            <w:vAlign w:val="bottom"/>
          </w:tcPr>
          <w:p>
            <w:pPr>
              <w:spacing w:after="0"/>
              <w:rPr>
                <w:sz w:val="13"/>
                <w:szCs w:val="13"/>
                <w:color w:val="auto"/>
              </w:rPr>
            </w:pPr>
          </w:p>
        </w:tc>
        <w:tc>
          <w:tcPr>
            <w:tcW w:w="93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90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reference to Exhibit 4.1 to Form 8-K filed December 1, 2016, File No. 001-16411)</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4(dd)</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3.200% Senior Note due 2027 (incorporated by reference to Exhibit A to Exhibit 4.1 to Form 8-K filed December 1,</w:t>
              </w:r>
            </w:hyperlink>
          </w:p>
        </w:tc>
      </w:tr>
      <w:tr>
        <w:trPr>
          <w:trHeight w:val="156"/>
        </w:trPr>
        <w:tc>
          <w:tcPr>
            <w:tcW w:w="106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2016, File No. 001-16411)</w:t>
              </w:r>
            </w:hyperlink>
          </w:p>
        </w:tc>
        <w:tc>
          <w:tcPr>
            <w:tcW w:w="70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4(ee)</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Eighth Supplemental Indenture, dated as of October 13, 2017, between Northrop Grumman Corporation and The Bank of New</w:t>
              </w:r>
            </w:hyperlink>
          </w:p>
        </w:tc>
      </w:tr>
      <w:tr>
        <w:trPr>
          <w:trHeight w:val="169"/>
        </w:trPr>
        <w:tc>
          <w:tcPr>
            <w:tcW w:w="1060" w:type="dxa"/>
            <w:vAlign w:val="bottom"/>
          </w:tcPr>
          <w:p>
            <w:pPr>
              <w:spacing w:after="0"/>
              <w:rPr>
                <w:sz w:val="14"/>
                <w:szCs w:val="14"/>
                <w:color w:val="auto"/>
              </w:rPr>
            </w:pPr>
          </w:p>
        </w:tc>
        <w:tc>
          <w:tcPr>
            <w:tcW w:w="91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reference to Exhibit 4.1 to Form 8-K filed October 13, 2017, File No. 001-16411)</w:t>
              </w:r>
            </w:hyperlink>
          </w:p>
        </w:tc>
        <w:tc>
          <w:tcPr>
            <w:tcW w:w="296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4(ff)</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Ninth Supplemental Indenture, dated as of March 23, 2020, between Northrop Grumman Corporation and The Bank of New York</w:t>
              </w:r>
            </w:hyperlink>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Mellon, as successor to JPMorgan Chase, Trustee, to Indenture dated as of November 21, 2001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9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Exhibit 4.1 to Form 8-K filed March 24, 2020, File No. 001-16411)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4(gg)</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2.930% Senior Note due 2025 (incorporated by reference to Exhibit C to Exhibit 4.1 to Form 8-K filed October 13, 2017,</w:t>
              </w:r>
            </w:hyperlink>
          </w:p>
        </w:tc>
      </w:tr>
      <w:tr>
        <w:trPr>
          <w:trHeight w:val="155"/>
        </w:trPr>
        <w:tc>
          <w:tcPr>
            <w:tcW w:w="1060" w:type="dxa"/>
            <w:vAlign w:val="bottom"/>
          </w:tcPr>
          <w:p>
            <w:pPr>
              <w:spacing w:after="0"/>
              <w:rPr>
                <w:sz w:val="13"/>
                <w:szCs w:val="13"/>
                <w:color w:val="auto"/>
              </w:rPr>
            </w:pPr>
          </w:p>
        </w:tc>
        <w:tc>
          <w:tcPr>
            <w:tcW w:w="94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4(hh)</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3.250% Senior Note due 2028 (incorporated by reference to Exhibit D to Exhibit 4.1 to Form 8-K filed October 13, 2017,</w:t>
              </w:r>
            </w:hyperlink>
          </w:p>
        </w:tc>
      </w:tr>
      <w:tr>
        <w:trPr>
          <w:trHeight w:val="169"/>
        </w:trPr>
        <w:tc>
          <w:tcPr>
            <w:tcW w:w="1060" w:type="dxa"/>
            <w:vAlign w:val="bottom"/>
          </w:tcPr>
          <w:p>
            <w:pPr>
              <w:spacing w:after="0"/>
              <w:rPr>
                <w:sz w:val="14"/>
                <w:szCs w:val="14"/>
                <w:color w:val="auto"/>
              </w:rPr>
            </w:pPr>
          </w:p>
        </w:tc>
        <w:tc>
          <w:tcPr>
            <w:tcW w:w="94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File No. 001-16411)</w:t>
              </w:r>
            </w:hyperlink>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4(ii)</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4.030% Senior Note due 2047 (incorporated by reference to Exhibit E to Exhibit 4.1 to Form 8-K filed October 13, 2017,</w:t>
              </w:r>
            </w:hyperlink>
          </w:p>
        </w:tc>
      </w:tr>
      <w:tr>
        <w:trPr>
          <w:trHeight w:val="156"/>
        </w:trPr>
        <w:tc>
          <w:tcPr>
            <w:tcW w:w="1060" w:type="dxa"/>
            <w:vAlign w:val="bottom"/>
          </w:tcPr>
          <w:p>
            <w:pPr>
              <w:spacing w:after="0"/>
              <w:rPr>
                <w:sz w:val="13"/>
                <w:szCs w:val="13"/>
                <w:color w:val="auto"/>
              </w:rPr>
            </w:pPr>
          </w:p>
        </w:tc>
        <w:tc>
          <w:tcPr>
            <w:tcW w:w="93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File No. 001-16411)</w:t>
              </w:r>
            </w:hyperlink>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4(jj)</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4.400% Senior Note due 2030 (incorporated by reference to Exhibit 4.1 to Form 8-K filed March 24, 2020, File 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39">
              <w:r>
                <w:rPr>
                  <w:rFonts w:ascii="Times New Roman" w:cs="Times New Roman" w:eastAsia="Times New Roman" w:hAnsi="Times New Roman"/>
                  <w:sz w:val="18"/>
                  <w:szCs w:val="18"/>
                  <w:color w:val="0000FF"/>
                  <w:w w:val="94"/>
                </w:rPr>
                <w:t>16411)</w:t>
              </w:r>
            </w:hyperlink>
          </w:p>
        </w:tc>
        <w:tc>
          <w:tcPr>
            <w:tcW w:w="9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9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4(kk)</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5.150% Senior Note due 2040 (incorporated by reference to Exhibit 4.1 to Form 8-K filed March 24, 2020, File No. 001-</w:t>
              </w:r>
            </w:hyperlink>
          </w:p>
        </w:tc>
      </w:tr>
      <w:tr>
        <w:trPr>
          <w:trHeight w:val="169"/>
        </w:trPr>
        <w:tc>
          <w:tcPr>
            <w:tcW w:w="106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39">
              <w:r>
                <w:rPr>
                  <w:rFonts w:ascii="Times New Roman" w:cs="Times New Roman" w:eastAsia="Times New Roman" w:hAnsi="Times New Roman"/>
                  <w:sz w:val="18"/>
                  <w:szCs w:val="18"/>
                  <w:color w:val="0000FF"/>
                  <w:w w:val="94"/>
                </w:rPr>
                <w:t>16411)</w:t>
              </w:r>
            </w:hyperlink>
          </w:p>
        </w:tc>
        <w:tc>
          <w:tcPr>
            <w:tcW w:w="9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4(ll)</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5.250% Senior Note due 2050 (incorporated by reference to Exhibit 4.1 to Form 8-K filed March 24, 2020, File No. 001-</w:t>
              </w:r>
            </w:hyperlink>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39">
              <w:r>
                <w:rPr>
                  <w:rFonts w:ascii="Times New Roman" w:cs="Times New Roman" w:eastAsia="Times New Roman" w:hAnsi="Times New Roman"/>
                  <w:sz w:val="18"/>
                  <w:szCs w:val="18"/>
                  <w:color w:val="0000FF"/>
                  <w:w w:val="94"/>
                </w:rPr>
                <w:t>16411)</w:t>
              </w:r>
            </w:hyperlink>
          </w:p>
        </w:tc>
        <w:tc>
          <w:tcPr>
            <w:tcW w:w="9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9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4(mm)</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Tenth Supplemental Indenture, dated as of September 2, 2021, between Northrop Grumman Corporation and The Bank of New</w:t>
              </w:r>
            </w:hyperlink>
          </w:p>
        </w:tc>
      </w:tr>
      <w:tr>
        <w:trPr>
          <w:trHeight w:val="169"/>
        </w:trPr>
        <w:tc>
          <w:tcPr>
            <w:tcW w:w="1060" w:type="dxa"/>
            <w:vAlign w:val="bottom"/>
          </w:tcPr>
          <w:p>
            <w:pPr>
              <w:spacing w:after="0"/>
              <w:rPr>
                <w:sz w:val="14"/>
                <w:szCs w:val="14"/>
                <w:color w:val="auto"/>
              </w:rPr>
            </w:pPr>
          </w:p>
        </w:tc>
        <w:tc>
          <w:tcPr>
            <w:tcW w:w="916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12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r>
      <w:tr>
        <w:trPr>
          <w:trHeight w:val="183"/>
        </w:trPr>
        <w:tc>
          <w:tcPr>
            <w:tcW w:w="1060" w:type="dxa"/>
            <w:vAlign w:val="bottom"/>
          </w:tcPr>
          <w:p>
            <w:pPr>
              <w:spacing w:after="0"/>
              <w:rPr>
                <w:sz w:val="15"/>
                <w:szCs w:val="15"/>
                <w:color w:val="auto"/>
              </w:rPr>
            </w:pPr>
          </w:p>
        </w:tc>
        <w:tc>
          <w:tcPr>
            <w:tcW w:w="598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reference to Exhibit 4.1 to Form 8-K filed September 3, 2021, File No. 001-16411)</w:t>
              </w:r>
            </w:hyperlink>
          </w:p>
        </w:tc>
        <w:tc>
          <w:tcPr>
            <w:tcW w:w="2920" w:type="dxa"/>
            <w:vAlign w:val="bottom"/>
            <w:tcBorders>
              <w:top w:val="single" w:sz="8" w:color="0000FF"/>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4(nn)</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7.875% Senior Note due 2026 (incorporated by reference to Exhibit A in Exhibit 4.1 to Form 8-K filed September 3,</w:t>
              </w:r>
            </w:hyperlink>
          </w:p>
        </w:tc>
      </w:tr>
      <w:tr>
        <w:trPr>
          <w:trHeight w:val="183"/>
        </w:trPr>
        <w:tc>
          <w:tcPr>
            <w:tcW w:w="10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2021, File No. 001-16411)</w:t>
              </w:r>
            </w:hyperlink>
          </w:p>
        </w:tc>
        <w:tc>
          <w:tcPr>
            <w:tcW w:w="7160" w:type="dxa"/>
            <w:vAlign w:val="bottom"/>
            <w:tcBorders>
              <w:top w:val="single" w:sz="8" w:color="0000FF"/>
            </w:tcBorders>
            <w:gridSpan w:val="12"/>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4(oo)</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7.750% Senior Note due 2026 (incorporated by reference to Exhibit B in Exhibit 4.1 to Form 8-K filed September 3,</w:t>
              </w:r>
            </w:hyperlink>
          </w:p>
        </w:tc>
      </w:tr>
      <w:tr>
        <w:trPr>
          <w:trHeight w:val="183"/>
        </w:trPr>
        <w:tc>
          <w:tcPr>
            <w:tcW w:w="10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2021, File No. 001-16411)</w:t>
              </w:r>
            </w:hyperlink>
          </w:p>
        </w:tc>
        <w:tc>
          <w:tcPr>
            <w:tcW w:w="7140" w:type="dxa"/>
            <w:vAlign w:val="bottom"/>
            <w:tcBorders>
              <w:top w:val="single" w:sz="8" w:color="0000FF"/>
            </w:tcBorders>
            <w:gridSpan w:val="11"/>
          </w:tcPr>
          <w:p>
            <w:pPr>
              <w:spacing w:after="0"/>
              <w:rPr>
                <w:sz w:val="15"/>
                <w:szCs w:val="15"/>
                <w:color w:val="auto"/>
              </w:rPr>
            </w:pPr>
          </w:p>
        </w:tc>
        <w:tc>
          <w:tcPr>
            <w:tcW w:w="6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4(pp)</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6.650% Senior Note due 2028 (incorporated by reference to Exhibit C in Exhibit 4.1 to Form 8-K filed September 3,</w:t>
              </w:r>
            </w:hyperlink>
          </w:p>
        </w:tc>
      </w:tr>
      <w:tr>
        <w:trPr>
          <w:trHeight w:val="169"/>
        </w:trPr>
        <w:tc>
          <w:tcPr>
            <w:tcW w:w="106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2021, File No. 001-16411)</w:t>
              </w:r>
            </w:hyperlink>
          </w:p>
        </w:tc>
        <w:tc>
          <w:tcPr>
            <w:tcW w:w="7140" w:type="dxa"/>
            <w:vAlign w:val="bottom"/>
            <w:tcBorders>
              <w:top w:val="single" w:sz="8" w:color="0000FF"/>
            </w:tcBorders>
            <w:gridSpan w:val="11"/>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160" w:type="dxa"/>
            <w:vAlign w:val="bottom"/>
            <w:gridSpan w:val="6"/>
          </w:tcPr>
          <w:p>
            <w:pPr>
              <w:spacing w:after="0"/>
              <w:rPr>
                <w:sz w:val="14"/>
                <w:szCs w:val="14"/>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4(qq)</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7.750% Senior Note due 2029 (incorporated by reference to Exhibit D in Exhibit 4.1 to Form 8-K filed September 3,</w:t>
              </w:r>
            </w:hyperlink>
          </w:p>
        </w:tc>
      </w:tr>
      <w:tr>
        <w:trPr>
          <w:trHeight w:val="183"/>
        </w:trPr>
        <w:tc>
          <w:tcPr>
            <w:tcW w:w="10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2021, File No. 001-16411)</w:t>
              </w:r>
            </w:hyperlink>
          </w:p>
        </w:tc>
        <w:tc>
          <w:tcPr>
            <w:tcW w:w="7160" w:type="dxa"/>
            <w:vAlign w:val="bottom"/>
            <w:tcBorders>
              <w:top w:val="single" w:sz="8" w:color="0000FF"/>
            </w:tcBorders>
            <w:gridSpan w:val="12"/>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4(rr)</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7.750% Senior Note due 2031 (incorporated by reference to Exhibit E in Exhibit 4.1 to Form 8-K filed September 3,</w:t>
              </w:r>
            </w:hyperlink>
          </w:p>
        </w:tc>
      </w:tr>
      <w:tr>
        <w:trPr>
          <w:trHeight w:val="183"/>
        </w:trPr>
        <w:tc>
          <w:tcPr>
            <w:tcW w:w="10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2021, File No. 001-16411)</w:t>
              </w:r>
            </w:hyperlink>
          </w:p>
        </w:tc>
        <w:tc>
          <w:tcPr>
            <w:tcW w:w="7120" w:type="dxa"/>
            <w:vAlign w:val="bottom"/>
            <w:tcBorders>
              <w:top w:val="single" w:sz="8" w:color="0000FF"/>
            </w:tcBorders>
            <w:gridSpan w:val="10"/>
          </w:tcPr>
          <w:p>
            <w:pPr>
              <w:spacing w:after="0"/>
              <w:rPr>
                <w:sz w:val="15"/>
                <w:szCs w:val="15"/>
                <w:color w:val="auto"/>
              </w:rPr>
            </w:pPr>
          </w:p>
        </w:tc>
        <w:tc>
          <w:tcPr>
            <w:tcW w:w="80" w:type="dxa"/>
            <w:vAlign w:val="bottom"/>
            <w:gridSpan w:val="3"/>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4(ss)</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6.980% Senior Note due 2036 (incorporated by reference to Exhibit F in Exhibit 4.1 to Form 8-K filed September 3,</w:t>
              </w:r>
            </w:hyperlink>
          </w:p>
        </w:tc>
      </w:tr>
      <w:tr>
        <w:trPr>
          <w:trHeight w:val="169"/>
        </w:trPr>
        <w:tc>
          <w:tcPr>
            <w:tcW w:w="106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2021, File No. 001-16411)</w:t>
              </w:r>
            </w:hyperlink>
          </w:p>
        </w:tc>
        <w:tc>
          <w:tcPr>
            <w:tcW w:w="7100" w:type="dxa"/>
            <w:vAlign w:val="bottom"/>
            <w:tcBorders>
              <w:top w:val="single" w:sz="8" w:color="0000FF"/>
            </w:tcBorders>
            <w:gridSpan w:val="9"/>
          </w:tcPr>
          <w:p>
            <w:pPr>
              <w:spacing w:after="0"/>
              <w:rPr>
                <w:sz w:val="14"/>
                <w:szCs w:val="14"/>
                <w:color w:val="auto"/>
              </w:rPr>
            </w:pPr>
          </w:p>
        </w:tc>
        <w:tc>
          <w:tcPr>
            <w:tcW w:w="100" w:type="dxa"/>
            <w:vAlign w:val="bottom"/>
            <w:gridSpan w:val="4"/>
          </w:tcPr>
          <w:p>
            <w:pPr>
              <w:spacing w:after="0"/>
              <w:rPr>
                <w:sz w:val="14"/>
                <w:szCs w:val="14"/>
                <w:color w:val="auto"/>
              </w:rPr>
            </w:pPr>
          </w:p>
        </w:tc>
        <w:tc>
          <w:tcPr>
            <w:tcW w:w="160" w:type="dxa"/>
            <w:vAlign w:val="bottom"/>
            <w:gridSpan w:val="3"/>
          </w:tcPr>
          <w:p>
            <w:pPr>
              <w:spacing w:after="0"/>
              <w:rPr>
                <w:sz w:val="14"/>
                <w:szCs w:val="14"/>
                <w:color w:val="auto"/>
              </w:rPr>
            </w:pPr>
          </w:p>
        </w:tc>
        <w:tc>
          <w:tcPr>
            <w:tcW w:w="160" w:type="dxa"/>
            <w:vAlign w:val="bottom"/>
            <w:gridSpan w:val="6"/>
          </w:tcPr>
          <w:p>
            <w:pPr>
              <w:spacing w:after="0"/>
              <w:rPr>
                <w:sz w:val="14"/>
                <w:szCs w:val="14"/>
                <w:color w:val="auto"/>
              </w:rPr>
            </w:pPr>
          </w:p>
        </w:tc>
      </w:tr>
      <w:tr>
        <w:trPr>
          <w:trHeight w:val="38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4(tt)</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Description of Securities (incorporated by reference to Exhibit 4(ll) to Form 10-K for the year ended December 31, 2019, filed</w:t>
              </w:r>
            </w:hyperlink>
          </w:p>
        </w:tc>
      </w:tr>
      <w:tr>
        <w:trPr>
          <w:trHeight w:val="169"/>
        </w:trPr>
        <w:tc>
          <w:tcPr>
            <w:tcW w:w="1060" w:type="dxa"/>
            <w:vAlign w:val="bottom"/>
          </w:tcPr>
          <w:p>
            <w:pPr>
              <w:spacing w:after="0"/>
              <w:rPr>
                <w:sz w:val="14"/>
                <w:szCs w:val="14"/>
                <w:color w:val="auto"/>
              </w:rPr>
            </w:pPr>
          </w:p>
        </w:tc>
        <w:tc>
          <w:tcPr>
            <w:tcW w:w="28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January 30, 2020, File No. 001-16411)</w:t>
              </w:r>
            </w:hyperlink>
          </w:p>
        </w:tc>
        <w:tc>
          <w:tcPr>
            <w:tcW w:w="6320" w:type="dxa"/>
            <w:vAlign w:val="bottom"/>
            <w:tcBorders>
              <w:top w:val="single" w:sz="8" w:color="0000FF"/>
            </w:tcBorders>
            <w:gridSpan w:val="12"/>
          </w:tcPr>
          <w:p>
            <w:pPr>
              <w:spacing w:after="0"/>
              <w:rPr>
                <w:sz w:val="14"/>
                <w:szCs w:val="14"/>
                <w:color w:val="auto"/>
              </w:rPr>
            </w:pPr>
          </w:p>
        </w:tc>
        <w:tc>
          <w:tcPr>
            <w:tcW w:w="320" w:type="dxa"/>
            <w:vAlign w:val="bottom"/>
            <w:gridSpan w:val="9"/>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4(uu)</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Eleventh Supplemental Indenture, dated as of February 8, 2023, between Northrop Grumman Corporation and The Bank of New</w:t>
              </w:r>
            </w:hyperlink>
          </w:p>
        </w:tc>
      </w:tr>
      <w:tr>
        <w:trPr>
          <w:trHeight w:val="156"/>
        </w:trPr>
        <w:tc>
          <w:tcPr>
            <w:tcW w:w="1060" w:type="dxa"/>
            <w:vAlign w:val="bottom"/>
          </w:tcPr>
          <w:p>
            <w:pPr>
              <w:spacing w:after="0"/>
              <w:rPr>
                <w:sz w:val="13"/>
                <w:szCs w:val="13"/>
                <w:color w:val="auto"/>
              </w:rPr>
            </w:pPr>
          </w:p>
        </w:tc>
        <w:tc>
          <w:tcPr>
            <w:tcW w:w="92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160" w:type="dxa"/>
            <w:vAlign w:val="bottom"/>
            <w:gridSpan w:val="6"/>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reference to Exhibit 4.1 to Form 8-K filed February 8, 2023, File No. 001-16411)</w:t>
              </w:r>
            </w:hyperlink>
          </w:p>
        </w:tc>
        <w:tc>
          <w:tcPr>
            <w:tcW w:w="3040" w:type="dxa"/>
            <w:vAlign w:val="bottom"/>
            <w:tcBorders>
              <w:top w:val="single" w:sz="8" w:color="0000FF"/>
            </w:tcBorders>
            <w:gridSpan w:val="3"/>
          </w:tcPr>
          <w:p>
            <w:pPr>
              <w:spacing w:after="0"/>
              <w:rPr>
                <w:sz w:val="13"/>
                <w:szCs w:val="13"/>
                <w:color w:val="auto"/>
              </w:rPr>
            </w:pPr>
          </w:p>
        </w:tc>
        <w:tc>
          <w:tcPr>
            <w:tcW w:w="540" w:type="dxa"/>
            <w:vAlign w:val="bottom"/>
            <w:gridSpan w:val="16"/>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160"/>
          </w:cols>
          <w:pgMar w:left="320" w:top="36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4(vv)</w:t>
            </w:r>
          </w:p>
        </w:tc>
        <w:tc>
          <w:tcPr>
            <w:tcW w:w="9540" w:type="dxa"/>
            <w:vAlign w:val="bottom"/>
            <w:gridSpan w:val="3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4.700% Senior Note due 2033 (incorporated by reference to Exhibit A included in Exhibit 4.1 to Form 8-K filed February</w:t>
              </w:r>
            </w:hyperlink>
          </w:p>
        </w:tc>
      </w:tr>
      <w:tr>
        <w:trPr>
          <w:trHeight w:val="183"/>
        </w:trPr>
        <w:tc>
          <w:tcPr>
            <w:tcW w:w="106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8, 2023, File No. 001-16411)</w:t>
              </w:r>
            </w:hyperlink>
          </w:p>
        </w:tc>
        <w:tc>
          <w:tcPr>
            <w:tcW w:w="7360" w:type="dxa"/>
            <w:vAlign w:val="bottom"/>
            <w:tcBorders>
              <w:top w:val="single" w:sz="8" w:color="0000FF"/>
            </w:tcBorders>
            <w:gridSpan w:val="3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4(ww)</w:t>
            </w:r>
          </w:p>
        </w:tc>
        <w:tc>
          <w:tcPr>
            <w:tcW w:w="9540" w:type="dxa"/>
            <w:vAlign w:val="bottom"/>
            <w:gridSpan w:val="3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4.950% Senior Note due 2053 (incorporated by reference to Exhibit B included in Exhibit 4.1 to Form 8-K filed February</w:t>
              </w:r>
            </w:hyperlink>
          </w:p>
        </w:tc>
      </w:tr>
      <w:tr>
        <w:trPr>
          <w:trHeight w:val="183"/>
        </w:trPr>
        <w:tc>
          <w:tcPr>
            <w:tcW w:w="106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8, 2023, File No. 001-16411)</w:t>
              </w:r>
            </w:hyperlink>
          </w:p>
        </w:tc>
        <w:tc>
          <w:tcPr>
            <w:tcW w:w="7340" w:type="dxa"/>
            <w:vAlign w:val="bottom"/>
            <w:tcBorders>
              <w:top w:val="single" w:sz="8" w:color="0000FF"/>
            </w:tcBorders>
            <w:gridSpan w:val="29"/>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4(xx)</w:t>
            </w:r>
          </w:p>
        </w:tc>
        <w:tc>
          <w:tcPr>
            <w:tcW w:w="9540" w:type="dxa"/>
            <w:vAlign w:val="bottom"/>
            <w:gridSpan w:val="3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Twelfth Supplemental Indenture, dated as of January 31, 2024, between Northrop Grumman Corporation and The Bank of New</w:t>
              </w:r>
            </w:hyperlink>
          </w:p>
        </w:tc>
      </w:tr>
      <w:tr>
        <w:trPr>
          <w:trHeight w:val="183"/>
        </w:trPr>
        <w:tc>
          <w:tcPr>
            <w:tcW w:w="1060" w:type="dxa"/>
            <w:vAlign w:val="bottom"/>
          </w:tcPr>
          <w:p>
            <w:pPr>
              <w:spacing w:after="0"/>
              <w:rPr>
                <w:sz w:val="15"/>
                <w:szCs w:val="15"/>
                <w:color w:val="auto"/>
              </w:rPr>
            </w:pPr>
          </w:p>
        </w:tc>
        <w:tc>
          <w:tcPr>
            <w:tcW w:w="922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586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reference to Exhibit 4.1 to Form 8-K filed January 31, 2024, File No. 001-16411)</w:t>
              </w:r>
            </w:hyperlink>
          </w:p>
        </w:tc>
        <w:tc>
          <w:tcPr>
            <w:tcW w:w="304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4(yy)</w:t>
            </w:r>
          </w:p>
        </w:tc>
        <w:tc>
          <w:tcPr>
            <w:tcW w:w="9540" w:type="dxa"/>
            <w:vAlign w:val="bottom"/>
            <w:gridSpan w:val="3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4.600% Senior Note due 2029 (incorporated by reference to Exhibit A included in Exhibit 4.1 to Form 8-K filed January</w:t>
              </w:r>
            </w:hyperlink>
          </w:p>
        </w:tc>
      </w:tr>
      <w:tr>
        <w:trPr>
          <w:trHeight w:val="183"/>
        </w:trPr>
        <w:tc>
          <w:tcPr>
            <w:tcW w:w="1060" w:type="dxa"/>
            <w:vAlign w:val="bottom"/>
          </w:tcPr>
          <w:p>
            <w:pPr>
              <w:spacing w:after="0"/>
              <w:rPr>
                <w:sz w:val="15"/>
                <w:szCs w:val="15"/>
                <w:color w:val="auto"/>
              </w:rPr>
            </w:pPr>
          </w:p>
        </w:tc>
        <w:tc>
          <w:tcPr>
            <w:tcW w:w="934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31, 2024, File No. 001-16411)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4(zz)</w:t>
            </w:r>
          </w:p>
        </w:tc>
        <w:tc>
          <w:tcPr>
            <w:tcW w:w="9540" w:type="dxa"/>
            <w:vAlign w:val="bottom"/>
            <w:gridSpan w:val="3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4.900% Senior Note due 2034 (incorporated by reference to Exhibit B included in Exhibit 4.1 to Form 8-K filed January</w:t>
              </w:r>
            </w:hyperlink>
          </w:p>
        </w:tc>
      </w:tr>
      <w:tr>
        <w:trPr>
          <w:trHeight w:val="183"/>
        </w:trPr>
        <w:tc>
          <w:tcPr>
            <w:tcW w:w="1060" w:type="dxa"/>
            <w:vAlign w:val="bottom"/>
          </w:tcPr>
          <w:p>
            <w:pPr>
              <w:spacing w:after="0"/>
              <w:rPr>
                <w:sz w:val="15"/>
                <w:szCs w:val="15"/>
                <w:color w:val="auto"/>
              </w:rPr>
            </w:pPr>
          </w:p>
        </w:tc>
        <w:tc>
          <w:tcPr>
            <w:tcW w:w="932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31, 2024, File No. 001-16411)</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4(aaa)</w:t>
            </w:r>
          </w:p>
        </w:tc>
        <w:tc>
          <w:tcPr>
            <w:tcW w:w="9540" w:type="dxa"/>
            <w:vAlign w:val="bottom"/>
            <w:gridSpan w:val="3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5.200% Senior Note due 2054 (incorporated by reference to Exhibit C included in Exhibit 4.1 to Form 8-K filed January</w:t>
              </w:r>
            </w:hyperlink>
          </w:p>
        </w:tc>
      </w:tr>
      <w:tr>
        <w:trPr>
          <w:trHeight w:val="183"/>
        </w:trPr>
        <w:tc>
          <w:tcPr>
            <w:tcW w:w="1060" w:type="dxa"/>
            <w:vAlign w:val="bottom"/>
          </w:tcPr>
          <w:p>
            <w:pPr>
              <w:spacing w:after="0"/>
              <w:rPr>
                <w:sz w:val="15"/>
                <w:szCs w:val="15"/>
                <w:color w:val="auto"/>
              </w:rPr>
            </w:pPr>
          </w:p>
        </w:tc>
        <w:tc>
          <w:tcPr>
            <w:tcW w:w="932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31, 2024, File No. 001-16411)</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10(a)</w:t>
            </w:r>
          </w:p>
        </w:tc>
        <w:tc>
          <w:tcPr>
            <w:tcW w:w="9540" w:type="dxa"/>
            <w:vAlign w:val="bottom"/>
            <w:gridSpan w:val="3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Credit Agreement, dated as of August 23, 2022, among Northrop Grumman Corporation, as Borrower; Northrop Grumman</w:t>
              </w:r>
            </w:hyperlink>
          </w:p>
        </w:tc>
      </w:tr>
      <w:tr>
        <w:trPr>
          <w:trHeight w:val="156"/>
        </w:trPr>
        <w:tc>
          <w:tcPr>
            <w:tcW w:w="106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Systems Corporation, as Guarantor; the lenders party thereto and JPMorgan Chase Bank, N.A., as Administrative Agent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520" w:type="dxa"/>
            <w:vAlign w:val="bottom"/>
            <w:gridSpan w:val="38"/>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(incorporated by reference to Exhibit 10.1 to Form 8-K filed August 23, 2022, File No. 001-16411)</w:t>
              </w:r>
            </w:hyperlink>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10(b)</w:t>
            </w:r>
          </w:p>
        </w:tc>
        <w:tc>
          <w:tcPr>
            <w:tcW w:w="9540" w:type="dxa"/>
            <w:vAlign w:val="bottom"/>
            <w:gridSpan w:val="3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Guarantee dated as of April 3, 2001, by Northrop Grumman Corporation of the indenture indebtedness issued by Litton</w:t>
              </w:r>
            </w:hyperlink>
          </w:p>
        </w:tc>
      </w:tr>
      <w:tr>
        <w:trPr>
          <w:trHeight w:val="155"/>
        </w:trPr>
        <w:tc>
          <w:tcPr>
            <w:tcW w:w="106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Industries, Inc. (predecessor-in-interest to Northrop Grumman Systems Corporation) (incorporated by reference to Exhibit 10.10</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394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to Form 8-K filed April 17, 2001, File No. 001-16411)</w:t>
              </w:r>
            </w:hyperlink>
          </w:p>
        </w:tc>
        <w:tc>
          <w:tcPr>
            <w:tcW w:w="5360" w:type="dxa"/>
            <w:vAlign w:val="bottom"/>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10(c)</w:t>
            </w:r>
          </w:p>
        </w:tc>
        <w:tc>
          <w:tcPr>
            <w:tcW w:w="9540" w:type="dxa"/>
            <w:vAlign w:val="bottom"/>
            <w:gridSpan w:val="3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Guarantee dated as of April 3, 2001, by Northrop Grumman Corporation of Northrop Grumman Systems Corporation</w:t>
              </w:r>
            </w:hyperlink>
          </w:p>
        </w:tc>
      </w:tr>
      <w:tr>
        <w:trPr>
          <w:trHeight w:val="169"/>
        </w:trPr>
        <w:tc>
          <w:tcPr>
            <w:tcW w:w="1060" w:type="dxa"/>
            <w:vAlign w:val="bottom"/>
          </w:tcPr>
          <w:p>
            <w:pPr>
              <w:spacing w:after="0"/>
              <w:rPr>
                <w:sz w:val="14"/>
                <w:szCs w:val="14"/>
                <w:color w:val="auto"/>
              </w:rPr>
            </w:pPr>
          </w:p>
        </w:tc>
        <w:tc>
          <w:tcPr>
            <w:tcW w:w="910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indenture indebtedness (incorporated by reference to Exhibit 10.11 to Form 8-K and filed April 17, 2001, File No. 001-16411)</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10(d)</w:t>
            </w:r>
          </w:p>
        </w:tc>
        <w:tc>
          <w:tcPr>
            <w:tcW w:w="9540" w:type="dxa"/>
            <w:vAlign w:val="bottom"/>
            <w:gridSpan w:val="3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Guarantee dated as of March 27, 2003, by Northrop Grumman Corporation, as Guarantor, in favor of JP Morgan Chase</w:t>
              </w:r>
            </w:hyperlink>
          </w:p>
        </w:tc>
      </w:tr>
      <w:tr>
        <w:trPr>
          <w:trHeight w:val="155"/>
        </w:trPr>
        <w:tc>
          <w:tcPr>
            <w:tcW w:w="1060" w:type="dxa"/>
            <w:vAlign w:val="bottom"/>
          </w:tcPr>
          <w:p>
            <w:pPr>
              <w:spacing w:after="0"/>
              <w:rPr>
                <w:sz w:val="13"/>
                <w:szCs w:val="13"/>
                <w:color w:val="auto"/>
              </w:rPr>
            </w:pPr>
          </w:p>
        </w:tc>
        <w:tc>
          <w:tcPr>
            <w:tcW w:w="92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Bank, as trustee, of certain debt securities issued by the former Northrop Grumman Space &amp; Mission Systems Corp. (predecessor</w:t>
              </w:r>
            </w:hyperlink>
          </w:p>
        </w:tc>
        <w:tc>
          <w:tcPr>
            <w:tcW w:w="240" w:type="dxa"/>
            <w:vAlign w:val="bottom"/>
            <w:gridSpan w:val="12"/>
          </w:tcPr>
          <w:p>
            <w:pPr>
              <w:jc w:val="right"/>
              <w:ind w:right="100"/>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w:t>
              </w:r>
            </w:hyperlink>
          </w:p>
        </w:tc>
        <w:tc>
          <w:tcPr>
            <w:tcW w:w="60" w:type="dxa"/>
            <w:vAlign w:val="bottom"/>
            <w:gridSpan w:val="3"/>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42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in-interest to Northrop Grumman Systems Corporation) (incorporated by reference to Exhibit 4.2 to Form 10-Q for the quarter</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91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ended March 31, 2003, filed May 14, 2003, File No. 001-16411)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8900" w:type="dxa"/>
            <w:vAlign w:val="bottom"/>
            <w:gridSpan w:val="37"/>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First Amendment to Guarantee, dated as of August 25, 2021, to the Guarantee dated as of March 27, 2003, by and among</w:t>
              </w:r>
            </w:hyperlink>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Northrop Grumman Systems Corporation, Northrop Grumman Corporation and The Bank of New York Mellon, as trustee</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140" w:type="dxa"/>
            <w:vAlign w:val="bottom"/>
            <w:tcBorders>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(incorporated by reference to Exhibit 10.1 to Form 8-K filed August 27, 2021, File No. 001-16411)</w:t>
              </w:r>
            </w:hyperlink>
          </w:p>
        </w:tc>
        <w:tc>
          <w:tcPr>
            <w:tcW w:w="1700" w:type="dxa"/>
            <w:vAlign w:val="bottom"/>
            <w:gridSpan w:val="2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+10(e)</w:t>
            </w:r>
          </w:p>
        </w:tc>
        <w:tc>
          <w:tcPr>
            <w:tcW w:w="89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Northrop Grumman Corporation 1993 Stock Plan for Non-Employee Directors (as Amended and Restated January 1, 2010)</w:t>
              </w:r>
            </w:hyperlink>
          </w:p>
        </w:tc>
        <w:tc>
          <w:tcPr>
            <w:tcW w:w="620" w:type="dxa"/>
            <w:vAlign w:val="bottom"/>
            <w:gridSpan w:val="23"/>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540" w:type="dxa"/>
            <w:vAlign w:val="bottom"/>
            <w:gridSpan w:val="39"/>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(incorporated by reference to Exhibit 10.1 to Form 10-Q for the quarter ended June 30, 2009, filed July 23, 2009, File No. 001-</w:t>
              </w:r>
            </w:hyperlink>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50">
              <w:r>
                <w:rPr>
                  <w:rFonts w:ascii="Times New Roman" w:cs="Times New Roman" w:eastAsia="Times New Roman" w:hAnsi="Times New Roman"/>
                  <w:sz w:val="18"/>
                  <w:szCs w:val="18"/>
                  <w:color w:val="0000FF"/>
                  <w:w w:val="94"/>
                </w:rPr>
                <w:t>16411)</w:t>
              </w:r>
            </w:hyperlink>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+10(f)</w:t>
            </w:r>
          </w:p>
        </w:tc>
        <w:tc>
          <w:tcPr>
            <w:tcW w:w="9540" w:type="dxa"/>
            <w:vAlign w:val="bottom"/>
            <w:gridSpan w:val="3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Amended and Restated 2011 Long-Term Incentive Stock Plan (as amended and restated effective as of May 20, 2015)</w:t>
              </w:r>
            </w:hyperlink>
          </w:p>
        </w:tc>
      </w:tr>
      <w:tr>
        <w:trPr>
          <w:trHeight w:val="155"/>
        </w:trPr>
        <w:tc>
          <w:tcPr>
            <w:tcW w:w="1060" w:type="dxa"/>
            <w:vAlign w:val="bottom"/>
          </w:tcPr>
          <w:p>
            <w:pPr>
              <w:spacing w:after="0"/>
              <w:rPr>
                <w:sz w:val="13"/>
                <w:szCs w:val="13"/>
                <w:color w:val="auto"/>
              </w:rPr>
            </w:pPr>
          </w:p>
        </w:tc>
        <w:tc>
          <w:tcPr>
            <w:tcW w:w="85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(incorporated by reference to Appendix B to the Company’s Proxy Statement on Schedule 14A for the 2015 Annual</w:t>
              </w:r>
            </w:hyperlink>
          </w:p>
        </w:tc>
        <w:tc>
          <w:tcPr>
            <w:tcW w:w="1040" w:type="dxa"/>
            <w:vAlign w:val="bottom"/>
            <w:gridSpan w:val="26"/>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Meeting of</w:t>
              </w:r>
            </w:hyperlink>
          </w:p>
        </w:tc>
      </w:tr>
      <w:tr>
        <w:trPr>
          <w:trHeight w:val="169"/>
        </w:trPr>
        <w:tc>
          <w:tcPr>
            <w:tcW w:w="1060" w:type="dxa"/>
            <w:vAlign w:val="bottom"/>
          </w:tcPr>
          <w:p>
            <w:pPr>
              <w:spacing w:after="0"/>
              <w:rPr>
                <w:sz w:val="14"/>
                <w:szCs w:val="14"/>
                <w:color w:val="auto"/>
              </w:rPr>
            </w:pPr>
          </w:p>
        </w:tc>
        <w:tc>
          <w:tcPr>
            <w:tcW w:w="92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Shareholders filed April 6, 2015, File No. 001-16411)</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8900" w:type="dxa"/>
            <w:vAlign w:val="bottom"/>
            <w:gridSpan w:val="37"/>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Northrop Grumman Corporation Equity Grant Program for Non-Employee Directors under the Northrop Grumman 2011</w:t>
              </w:r>
            </w:hyperlink>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7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Long-Term Incentive Stock Plan, Amended and Restated Effective as of January 1, 2016 (incorporated by reference to</w:t>
              </w:r>
            </w:hyperlink>
          </w:p>
        </w:tc>
        <w:tc>
          <w:tcPr>
            <w:tcW w:w="160" w:type="dxa"/>
            <w:vAlign w:val="bottom"/>
            <w:gridSpan w:val="8"/>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Exhibit 10.1 to Form 10-Q for the quarter ended September 30, 2015, filed October 28, 2015, File No. 001-16411)</w:t>
              </w:r>
            </w:hyperlink>
          </w:p>
        </w:tc>
        <w:tc>
          <w:tcPr>
            <w:tcW w:w="2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574"/>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w:t>
            </w:r>
          </w:p>
        </w:tc>
        <w:tc>
          <w:tcPr>
            <w:tcW w:w="8900" w:type="dxa"/>
            <w:vAlign w:val="bottom"/>
            <w:gridSpan w:val="37"/>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2021 Restricted Stock Rights Grant Agreement Granted Under the 2011 Long-Term Incentive Stock Plan (incorporated</w:t>
              </w:r>
            </w:hyperlink>
          </w:p>
        </w:tc>
      </w:tr>
      <w:tr>
        <w:trPr>
          <w:trHeight w:val="169"/>
        </w:trPr>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by reference to Exhibit 10.2 to Form 10-Q for the quarter ended March 31, 2021, filed April 29, 2021, File No. 001-</w:t>
              </w:r>
            </w:hyperlink>
          </w:p>
        </w:tc>
        <w:tc>
          <w:tcPr>
            <w:tcW w:w="80" w:type="dxa"/>
            <w:vAlign w:val="bottom"/>
            <w:gridSpan w:val="4"/>
          </w:tcPr>
          <w:p>
            <w:pPr>
              <w:spacing w:after="0"/>
              <w:rPr>
                <w:sz w:val="14"/>
                <w:szCs w:val="14"/>
                <w:color w:val="auto"/>
              </w:rPr>
            </w:pPr>
          </w:p>
        </w:tc>
        <w:tc>
          <w:tcPr>
            <w:tcW w:w="180" w:type="dxa"/>
            <w:vAlign w:val="bottom"/>
            <w:gridSpan w:val="9"/>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53">
              <w:r>
                <w:rPr>
                  <w:rFonts w:ascii="Times New Roman" w:cs="Times New Roman" w:eastAsia="Times New Roman" w:hAnsi="Times New Roman"/>
                  <w:sz w:val="18"/>
                  <w:szCs w:val="18"/>
                  <w:color w:val="0000FF"/>
                  <w:w w:val="94"/>
                </w:rPr>
                <w:t>16411)</w:t>
              </w:r>
            </w:hyperlink>
          </w:p>
        </w:tc>
        <w:tc>
          <w:tcPr>
            <w:tcW w:w="6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w:t>
            </w:r>
          </w:p>
        </w:tc>
        <w:tc>
          <w:tcPr>
            <w:tcW w:w="8900" w:type="dxa"/>
            <w:vAlign w:val="bottom"/>
            <w:gridSpan w:val="37"/>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2021 Restricted Performance Stock Rights Grant Agreement Granted Under the 2011 Long-Term Incentive Stock Plan</w:t>
              </w:r>
            </w:hyperlink>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0" w:type="dxa"/>
            <w:vAlign w:val="bottom"/>
            <w:gridSpan w:val="17"/>
            <w:shd w:val="clear" w:color="auto" w:fill="0000FF"/>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00" w:type="dxa"/>
            <w:vAlign w:val="bottom"/>
            <w:gridSpan w:val="37"/>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(incorporated by reference to Exhibit 10.3 to Form 10-Q for the quarter ended March 31, 2021, filed April 29, 2021, File</w:t>
              </w:r>
            </w:hyperlink>
          </w:p>
        </w:tc>
      </w:tr>
      <w:tr>
        <w:trPr>
          <w:trHeight w:val="169"/>
        </w:trPr>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No. 001-16411)</w:t>
              </w:r>
            </w:hyperlink>
          </w:p>
        </w:tc>
        <w:tc>
          <w:tcPr>
            <w:tcW w:w="7580" w:type="dxa"/>
            <w:vAlign w:val="bottom"/>
            <w:tcBorders>
              <w:top w:val="single" w:sz="8" w:color="0000FF"/>
            </w:tcBorders>
            <w:gridSpan w:val="26"/>
          </w:tcPr>
          <w:p>
            <w:pPr>
              <w:spacing w:after="0"/>
              <w:rPr>
                <w:sz w:val="14"/>
                <w:szCs w:val="14"/>
                <w:color w:val="auto"/>
              </w:rPr>
            </w:pPr>
          </w:p>
        </w:tc>
        <w:tc>
          <w:tcPr>
            <w:tcW w:w="180" w:type="dxa"/>
            <w:vAlign w:val="bottom"/>
            <w:gridSpan w:val="9"/>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420" w:right="160" w:hanging="639"/>
        <w:spacing w:after="0" w:line="231" w:lineRule="auto"/>
        <w:tabs>
          <w:tab w:leader="none" w:pos="2420" w:val="left"/>
        </w:tabs>
        <w:numPr>
          <w:ilvl w:val="0"/>
          <w:numId w:val="42"/>
        </w:numPr>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2022 Restricted Stock Rights Grant Agreement Granted Under the 2011 Long-Term Incentive Stock Plan (incorporated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by reference to Exhibit 10.2 to Form 10-Q for the quarter ended March 31, 2022, filed April 28, 2022, File No. 001-</w:t>
        </w:r>
      </w:hyperlink>
      <w:hyperlink r:id="rId156">
        <w:r>
          <w:rPr>
            <w:rFonts w:ascii="Times New Roman" w:cs="Times New Roman" w:eastAsia="Times New Roman" w:hAnsi="Times New Roman"/>
            <w:sz w:val="18"/>
            <w:szCs w:val="18"/>
            <w:u w:val="single" w:color="auto"/>
            <w:color w:val="0000FF"/>
          </w:rPr>
          <w:t>16411)</w:t>
        </w:r>
      </w:hyperlink>
    </w:p>
    <w:p>
      <w:pPr>
        <w:spacing w:after="0" w:line="117" w:lineRule="exact"/>
        <w:rPr>
          <w:rFonts w:ascii="Times New Roman" w:cs="Times New Roman" w:eastAsia="Times New Roman" w:hAnsi="Times New Roman"/>
          <w:sz w:val="18"/>
          <w:szCs w:val="18"/>
          <w:u w:val="single" w:color="auto"/>
          <w:color w:val="0000FF"/>
        </w:rPr>
      </w:pPr>
    </w:p>
    <w:p>
      <w:pPr>
        <w:ind w:left="2420" w:right="80" w:hanging="639"/>
        <w:spacing w:after="0" w:line="226" w:lineRule="auto"/>
        <w:tabs>
          <w:tab w:leader="none" w:pos="2420" w:val="left"/>
        </w:tabs>
        <w:numPr>
          <w:ilvl w:val="0"/>
          <w:numId w:val="42"/>
        </w:numPr>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2022 Restricted Performance Stock Rights Grant Agreement Granted Under the 2011 Long-Term Incentive Stock Plan</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(incorporated by reference to Exhibit 10.3 to Form 10-Q for the quarter ended March 31, 2022, filed April 28, 2022, File</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No. 001-16411)</w:t>
        </w:r>
      </w:hyperlink>
    </w:p>
    <w:p>
      <w:pPr>
        <w:spacing w:after="0" w:line="117" w:lineRule="exact"/>
        <w:rPr>
          <w:rFonts w:ascii="Times New Roman" w:cs="Times New Roman" w:eastAsia="Times New Roman" w:hAnsi="Times New Roman"/>
          <w:sz w:val="18"/>
          <w:szCs w:val="18"/>
          <w:u w:val="single" w:color="auto"/>
          <w:color w:val="0000FF"/>
        </w:rPr>
      </w:pPr>
    </w:p>
    <w:p>
      <w:pPr>
        <w:ind w:left="2420" w:right="160" w:hanging="639"/>
        <w:spacing w:after="0" w:line="231" w:lineRule="auto"/>
        <w:tabs>
          <w:tab w:leader="none" w:pos="2420" w:val="left"/>
        </w:tabs>
        <w:numPr>
          <w:ilvl w:val="0"/>
          <w:numId w:val="42"/>
        </w:numPr>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2023 Restricted Stock Rights Grant Agreement Granted Under the 2011 Long-Term Incentive Stock Plan (incorporated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by reference to Exhibit 10.1 to Form 10-Q for the quarter ended March 31, 2023, filed April 26, 2023, File No. 001-</w:t>
        </w:r>
      </w:hyperlink>
      <w:hyperlink r:id="rId158">
        <w:r>
          <w:rPr>
            <w:rFonts w:ascii="Times New Roman" w:cs="Times New Roman" w:eastAsia="Times New Roman" w:hAnsi="Times New Roman"/>
            <w:sz w:val="18"/>
            <w:szCs w:val="18"/>
            <w:u w:val="single" w:color="auto"/>
            <w:color w:val="0000FF"/>
          </w:rPr>
          <w:t>16411)</w:t>
        </w:r>
      </w:hyperlink>
    </w:p>
    <w:p>
      <w:pPr>
        <w:spacing w:after="0" w:line="117" w:lineRule="exact"/>
        <w:rPr>
          <w:rFonts w:ascii="Times New Roman" w:cs="Times New Roman" w:eastAsia="Times New Roman" w:hAnsi="Times New Roman"/>
          <w:sz w:val="18"/>
          <w:szCs w:val="18"/>
          <w:u w:val="single" w:color="auto"/>
          <w:color w:val="0000FF"/>
        </w:rPr>
      </w:pPr>
    </w:p>
    <w:p>
      <w:pPr>
        <w:ind w:left="2420" w:right="80" w:hanging="639"/>
        <w:spacing w:after="0" w:line="231" w:lineRule="auto"/>
        <w:tabs>
          <w:tab w:leader="none" w:pos="2420" w:val="left"/>
        </w:tabs>
        <w:numPr>
          <w:ilvl w:val="0"/>
          <w:numId w:val="42"/>
        </w:numPr>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2023 Restricted Performance Stock Rights Grant Agreement Granted Under the 2011 Long-Term Incentive Stock Plan</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(incorporated by reference to Exhibit 10.2 to Form 10-Q for the quarter ended March 31, 2023, filed April 26, 2023, File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No. 001-16411)</w:t>
        </w:r>
      </w:hyperlink>
    </w:p>
    <w:p>
      <w:pPr>
        <w:spacing w:after="0" w:line="117" w:lineRule="exact"/>
        <w:rPr>
          <w:rFonts w:ascii="Times New Roman" w:cs="Times New Roman" w:eastAsia="Times New Roman" w:hAnsi="Times New Roman"/>
          <w:sz w:val="18"/>
          <w:szCs w:val="18"/>
          <w:u w:val="single" w:color="auto"/>
          <w:color w:val="0000FF"/>
        </w:rPr>
      </w:pPr>
    </w:p>
    <w:p>
      <w:pPr>
        <w:ind w:left="2420" w:right="100" w:hanging="639"/>
        <w:spacing w:after="0" w:line="226" w:lineRule="auto"/>
        <w:tabs>
          <w:tab w:leader="none" w:pos="2420" w:val="left"/>
        </w:tabs>
        <w:numPr>
          <w:ilvl w:val="0"/>
          <w:numId w:val="42"/>
        </w:numPr>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Special 2023 Restricted Stock Rights Grant Agreement Granted to Roshan Roeder Under the 2011 Long-Term Incentive</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Stock Plan (incorporated by reference to Exhibit 10(f)(viii) to Form 10-K for the year ended December 31, 2023, filed</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January 25, 2024, File No. 001-16411)</w:t>
        </w:r>
      </w:hyperlink>
    </w:p>
    <w:p>
      <w:pPr>
        <w:spacing w:after="0" w:line="117" w:lineRule="exact"/>
        <w:rPr>
          <w:rFonts w:ascii="Times New Roman" w:cs="Times New Roman" w:eastAsia="Times New Roman" w:hAnsi="Times New Roman"/>
          <w:sz w:val="18"/>
          <w:szCs w:val="18"/>
          <w:u w:val="single" w:color="auto"/>
          <w:color w:val="0000FF"/>
        </w:rPr>
      </w:pPr>
    </w:p>
    <w:p>
      <w:pPr>
        <w:ind w:left="2420" w:right="160" w:hanging="639"/>
        <w:spacing w:after="0" w:line="231" w:lineRule="auto"/>
        <w:tabs>
          <w:tab w:leader="none" w:pos="2420" w:val="left"/>
        </w:tabs>
        <w:numPr>
          <w:ilvl w:val="0"/>
          <w:numId w:val="42"/>
        </w:numPr>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2024 Restricted Stock Rights Grant Agreement Granted Under the 2011 Long-Term Incentive Stock Plan (incorporated</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by reference to Exhibit 10.1 to Form 10-Q for the quarter ended March 31, 2024, filed April 25, 2024, File No. 001-</w:t>
        </w:r>
      </w:hyperlink>
      <w:hyperlink r:id="rId161">
        <w:r>
          <w:rPr>
            <w:rFonts w:ascii="Times New Roman" w:cs="Times New Roman" w:eastAsia="Times New Roman" w:hAnsi="Times New Roman"/>
            <w:sz w:val="18"/>
            <w:szCs w:val="18"/>
            <w:u w:val="single" w:color="auto"/>
            <w:color w:val="0000FF"/>
          </w:rPr>
          <w:t>16411)</w:t>
        </w:r>
      </w:hyperlink>
    </w:p>
    <w:p>
      <w:pPr>
        <w:spacing w:after="0" w:line="117" w:lineRule="exact"/>
        <w:rPr>
          <w:rFonts w:ascii="Times New Roman" w:cs="Times New Roman" w:eastAsia="Times New Roman" w:hAnsi="Times New Roman"/>
          <w:sz w:val="18"/>
          <w:szCs w:val="18"/>
          <w:u w:val="single" w:color="auto"/>
          <w:color w:val="0000FF"/>
        </w:rPr>
      </w:pPr>
    </w:p>
    <w:p>
      <w:pPr>
        <w:ind w:left="2420" w:right="80" w:hanging="639"/>
        <w:spacing w:after="0" w:line="231" w:lineRule="auto"/>
        <w:tabs>
          <w:tab w:leader="none" w:pos="2420" w:val="left"/>
        </w:tabs>
        <w:numPr>
          <w:ilvl w:val="0"/>
          <w:numId w:val="42"/>
        </w:numPr>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2024 Restricted Performance Stock Rights Grant Agreement Granted Under the 2011 Long-Term Incentive Stock Plan</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(incorporated by reference to Exhibit 10.2 to Form 10-Q for the quarter ended March 31, 2024, filed April 25, 2024, File</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No. 001-16411)</w:t>
        </w:r>
      </w:hyperlink>
    </w:p>
    <w:p>
      <w:pPr>
        <w:spacing w:after="0" w:line="106" w:lineRule="exact"/>
        <w:rPr>
          <w:rFonts w:ascii="Times New Roman" w:cs="Times New Roman" w:eastAsia="Times New Roman" w:hAnsi="Times New Roman"/>
          <w:sz w:val="18"/>
          <w:szCs w:val="18"/>
          <w:u w:val="single" w:color="auto"/>
          <w:color w:val="0000FF"/>
        </w:rPr>
      </w:pPr>
    </w:p>
    <w:p>
      <w:pPr>
        <w:ind w:left="720"/>
        <w:spacing w:after="0"/>
        <w:tabs>
          <w:tab w:leader="none" w:pos="1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+10(g)</w:t>
      </w:r>
      <w:r>
        <w:rPr>
          <w:sz w:val="20"/>
          <w:szCs w:val="20"/>
          <w:color w:val="auto"/>
        </w:rPr>
        <w:tab/>
      </w:r>
      <w:hyperlink r:id="rId163">
        <w:r>
          <w:rPr>
            <w:rFonts w:ascii="Times New Roman" w:cs="Times New Roman" w:eastAsia="Times New Roman" w:hAnsi="Times New Roman"/>
            <w:sz w:val="17"/>
            <w:szCs w:val="17"/>
            <w:u w:val="single" w:color="auto"/>
            <w:color w:val="0000FF"/>
          </w:rPr>
          <w:t>Northrop Grumman 2011 Long-Term Incentive Stock Plan (as Amended Through December 4, 2014) (incorporated by reference</w:t>
        </w:r>
      </w:hyperlink>
    </w:p>
    <w:p>
      <w:pPr>
        <w:ind w:left="1780"/>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to Exhibit 10(h) to Form 10-K for the year ended December 31, 2014, filed February 2, 2015, File No. 001-16411)</w:t>
        </w:r>
      </w:hyperlink>
    </w:p>
    <w:p>
      <w:pPr>
        <w:spacing w:after="0" w:line="219" w:lineRule="exact"/>
        <w:rPr>
          <w:rFonts w:ascii="Times New Roman" w:cs="Times New Roman" w:eastAsia="Times New Roman" w:hAnsi="Times New Roman"/>
          <w:sz w:val="18"/>
          <w:szCs w:val="18"/>
          <w:u w:val="single" w:color="auto"/>
          <w:color w:val="0000FF"/>
        </w:rPr>
      </w:pPr>
    </w:p>
    <w:p>
      <w:pPr>
        <w:ind w:left="2420" w:right="60" w:hanging="639"/>
        <w:spacing w:after="0" w:line="183" w:lineRule="auto"/>
        <w:tabs>
          <w:tab w:leader="none" w:pos="2420" w:val="left"/>
        </w:tabs>
        <w:numPr>
          <w:ilvl w:val="0"/>
          <w:numId w:val="43"/>
        </w:numPr>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Summary of Non-Employee Director Award Terms Under the 2011 Long-Term Incentive Stock Plan effective December</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21, 2011 (incorporated by reference to Exhibit 10(j)(ii) to Form 10-K for the year ended December 31, 2011, filed</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February 8, 2012, File No. 001-16411)</w:t>
        </w:r>
      </w:hyperlink>
    </w:p>
    <w:p>
      <w:pPr>
        <w:spacing w:after="0" w:line="119" w:lineRule="exact"/>
        <w:rPr>
          <w:rFonts w:ascii="Times New Roman" w:cs="Times New Roman" w:eastAsia="Times New Roman" w:hAnsi="Times New Roman"/>
          <w:sz w:val="17"/>
          <w:szCs w:val="17"/>
          <w:u w:val="single" w:color="auto"/>
          <w:color w:val="0000FF"/>
        </w:rPr>
      </w:pPr>
    </w:p>
    <w:p>
      <w:pPr>
        <w:jc w:val="both"/>
        <w:ind w:left="2420" w:right="60" w:hanging="639"/>
        <w:spacing w:after="0" w:line="231" w:lineRule="auto"/>
        <w:tabs>
          <w:tab w:leader="none" w:pos="2420" w:val="left"/>
        </w:tabs>
        <w:numPr>
          <w:ilvl w:val="0"/>
          <w:numId w:val="43"/>
        </w:numPr>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Northrop Grumman Corporation Equity Grant Program for Non-Employee Directors under the Northrop Grumman 2011</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Long-Term Incentive Stock Plan, Amended and Restated Effective January 1, 2015 (incorporated by reference to Exhibit</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10(h)(ii) to Form 10-K for the year ended December 31, 2014, filed February 2, 2015, File No. 001-16411)</w:t>
        </w:r>
      </w:hyperlink>
    </w:p>
    <w:p>
      <w:pPr>
        <w:spacing w:after="0" w:line="118" w:lineRule="exact"/>
        <w:rPr>
          <w:rFonts w:ascii="Times New Roman" w:cs="Times New Roman" w:eastAsia="Times New Roman" w:hAnsi="Times New Roman"/>
          <w:sz w:val="18"/>
          <w:szCs w:val="18"/>
          <w:u w:val="single" w:color="auto"/>
          <w:color w:val="0000FF"/>
        </w:rPr>
      </w:pPr>
    </w:p>
    <w:p>
      <w:pPr>
        <w:ind w:left="1780" w:right="120" w:hanging="1066"/>
        <w:spacing w:after="0" w:line="237"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+10(h)</w:t>
      </w:r>
      <w:r>
        <w:rPr>
          <w:sz w:val="20"/>
          <w:szCs w:val="20"/>
          <w:color w:val="auto"/>
        </w:rPr>
        <w:tab/>
      </w:r>
      <w:hyperlink r:id="rId166">
        <w:r>
          <w:rPr>
            <w:rFonts w:ascii="Times New Roman" w:cs="Times New Roman" w:eastAsia="Times New Roman" w:hAnsi="Times New Roman"/>
            <w:sz w:val="18"/>
            <w:szCs w:val="18"/>
            <w:u w:val="single" w:color="auto"/>
            <w:color w:val="0000FF"/>
          </w:rPr>
          <w:t>Northrop Grumman 2024 Long-Term Incentive Stock Plan (incorporated by reference to Exhibit 10.1 to Form 8-K filed May 16,</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2024, File No. 001-16411)</w:t>
        </w:r>
      </w:hyperlink>
    </w:p>
    <w:p>
      <w:pPr>
        <w:spacing w:after="0" w:line="118" w:lineRule="exact"/>
        <w:rPr>
          <w:sz w:val="20"/>
          <w:szCs w:val="20"/>
          <w:color w:val="auto"/>
        </w:rPr>
      </w:pPr>
    </w:p>
    <w:p>
      <w:pPr>
        <w:ind w:left="2420" w:right="60" w:hanging="639"/>
        <w:spacing w:after="0" w:line="231" w:lineRule="auto"/>
        <w:tabs>
          <w:tab w:leader="none" w:pos="2420" w:val="left"/>
        </w:tabs>
        <w:numPr>
          <w:ilvl w:val="0"/>
          <w:numId w:val="44"/>
        </w:numPr>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Northrop Grumman Corporation Equity Grant Program for Non-Employee Directors under the Northrop Grumman 2024</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Long-Term Incentive Stock Plan, Amended and Restated effective May 15, 2024 (incorporated by reference to Exhibit</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10.2 to Form 10-Q for the quarter ended June 30, 2024, filed July 25, 2024, File No. 001-16411)</w:t>
        </w:r>
      </w:hyperlink>
    </w:p>
    <w:p>
      <w:pPr>
        <w:spacing w:after="0" w:line="118" w:lineRule="exact"/>
        <w:rPr>
          <w:rFonts w:ascii="Times New Roman" w:cs="Times New Roman" w:eastAsia="Times New Roman" w:hAnsi="Times New Roman"/>
          <w:sz w:val="18"/>
          <w:szCs w:val="18"/>
          <w:u w:val="single" w:color="auto"/>
          <w:color w:val="0000FF"/>
        </w:rPr>
      </w:pPr>
    </w:p>
    <w:p>
      <w:pPr>
        <w:jc w:val="center"/>
        <w:ind w:left="860" w:right="18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+10(i)</w:t>
      </w:r>
      <w:r>
        <w:rPr>
          <w:rFonts w:ascii="Times New Roman" w:cs="Times New Roman" w:eastAsia="Times New Roman" w:hAnsi="Times New Roman"/>
          <w:sz w:val="18"/>
          <w:szCs w:val="18"/>
          <w:color w:val="FFFFFF"/>
        </w:rPr>
        <w:t xml:space="preserve">      </w:t>
      </w:r>
      <w:hyperlink r:id="rId168">
        <w:r>
          <w:rPr>
            <w:rFonts w:ascii="Times New Roman" w:cs="Times New Roman" w:eastAsia="Times New Roman" w:hAnsi="Times New Roman"/>
            <w:sz w:val="18"/>
            <w:szCs w:val="18"/>
            <w:u w:val="single" w:color="auto"/>
            <w:color w:val="0000FF"/>
          </w:rPr>
          <w:t>Northrop Grumman Supplemental Plan 2 (Amended and Restated Effective as of January 1, 2014) (incorporated by reference to</w:t>
        </w:r>
      </w:hyperlink>
      <w:r>
        <w:rPr>
          <w:rFonts w:ascii="Times New Roman" w:cs="Times New Roman" w:eastAsia="Times New Roman" w:hAnsi="Times New Roman"/>
          <w:sz w:val="18"/>
          <w:szCs w:val="18"/>
          <w:color w:val="FFFFFF"/>
        </w:rPr>
        <w:t xml:space="preserve"> </w:t>
      </w:r>
      <w:hyperlink r:id="rId168">
        <w:r>
          <w:rPr>
            <w:rFonts w:ascii="Times New Roman" w:cs="Times New Roman" w:eastAsia="Times New Roman" w:hAnsi="Times New Roman"/>
            <w:sz w:val="18"/>
            <w:szCs w:val="18"/>
            <w:u w:val="single" w:color="auto"/>
            <w:color w:val="0000FF"/>
          </w:rPr>
          <w:t>Exhibit 10(l) to Form 10-K for the year ended December 31, 2013, Filed February 3, 2014, File No. 001-16411)</w:t>
        </w:r>
      </w:hyperlink>
    </w:p>
    <w:p>
      <w:pPr>
        <w:spacing w:after="0" w:line="131" w:lineRule="exact"/>
        <w:rPr>
          <w:sz w:val="20"/>
          <w:szCs w:val="20"/>
          <w:color w:val="auto"/>
        </w:rPr>
      </w:pPr>
    </w:p>
    <w:p>
      <w:pPr>
        <w:ind w:left="2420" w:right="20" w:hanging="639"/>
        <w:spacing w:after="0" w:line="226" w:lineRule="auto"/>
        <w:tabs>
          <w:tab w:leader="none" w:pos="2420" w:val="left"/>
        </w:tabs>
        <w:numPr>
          <w:ilvl w:val="0"/>
          <w:numId w:val="45"/>
        </w:numPr>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Appendix B to the Northrop Grumman Supplemental Plan 2: ERISA Supplemental Program 2 (Amended and Restated</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Effective as of January 1, 2014) (incorporated by reference to Exhibit 10(l)(i) to Form 10-K for the year ended December</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31, 2013, filed February 3, 2014, File No. 001-16411)</w:t>
        </w:r>
      </w:hyperlink>
    </w:p>
    <w:p>
      <w:pPr>
        <w:spacing w:after="0" w:line="117" w:lineRule="exact"/>
        <w:rPr>
          <w:rFonts w:ascii="Times New Roman" w:cs="Times New Roman" w:eastAsia="Times New Roman" w:hAnsi="Times New Roman"/>
          <w:sz w:val="18"/>
          <w:szCs w:val="18"/>
          <w:u w:val="single" w:color="auto"/>
          <w:color w:val="0000FF"/>
        </w:rPr>
      </w:pPr>
    </w:p>
    <w:p>
      <w:pPr>
        <w:ind w:left="2420" w:hanging="639"/>
        <w:spacing w:after="0" w:line="231" w:lineRule="auto"/>
        <w:tabs>
          <w:tab w:leader="none" w:pos="2420" w:val="left"/>
        </w:tabs>
        <w:numPr>
          <w:ilvl w:val="0"/>
          <w:numId w:val="45"/>
        </w:numPr>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Appendix I to the Northrop Grumman Supplemental Plan 2: Officers Supplemental Executive Retirement Program II</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(Amended and Restated January 1, 2014) (incorporated by reference to Exhibit 10(k)(iv) to Form 10-K for the year ended</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December 31, 2015, filed February 1, 2016, File No. 001-16411)</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3"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w:t>
            </w:r>
          </w:p>
        </w:tc>
        <w:tc>
          <w:tcPr>
            <w:tcW w:w="8820" w:type="dxa"/>
            <w:vAlign w:val="bottom"/>
            <w:gridSpan w:val="3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First Amendment to the Northrop Grumman Supplemental Plan 2, dated December 20, 2017 (Effective as of December</w:t>
              </w:r>
            </w:hyperlink>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31, 2017) (incorporated by reference to Exhibit 10(j)(v) to Form 10-K for the year ended December 31, 2017,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January 29, 2018, File No. 001-16411)</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+10(j)</w:t>
            </w:r>
          </w:p>
        </w:tc>
        <w:tc>
          <w:tcPr>
            <w:tcW w:w="9460" w:type="dxa"/>
            <w:vAlign w:val="bottom"/>
            <w:gridSpan w:val="35"/>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Severance Plan for Elected and Appointed Officers of Northrop Grumman Corporation (Amended and Restated Effective</w:t>
              </w:r>
            </w:hyperlink>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9460" w:type="dxa"/>
            <w:vAlign w:val="bottom"/>
            <w:gridSpan w:val="35"/>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December 31, 2019) (incorporated by reference to Exhibit 10(j) to Form 10-K for the year ended December 31, 2019, filed</w:t>
              </w:r>
            </w:hyperlink>
          </w:p>
        </w:tc>
      </w:tr>
      <w:tr>
        <w:trPr>
          <w:trHeight w:val="156"/>
        </w:trPr>
        <w:tc>
          <w:tcPr>
            <w:tcW w:w="106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January 30, 2020, File No. 001-16411)</w:t>
              </w:r>
            </w:hyperlink>
          </w:p>
        </w:tc>
        <w:tc>
          <w:tcPr>
            <w:tcW w:w="60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+10(k)</w:t>
            </w:r>
          </w:p>
        </w:tc>
        <w:tc>
          <w:tcPr>
            <w:tcW w:w="9460" w:type="dxa"/>
            <w:vAlign w:val="bottom"/>
            <w:gridSpan w:val="35"/>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Non-Employee Director Compensation Term Sheet, effective May 15, 2024 (incorporated by reference to Exhibit 10.3 to Form 10-</w:t>
              </w:r>
            </w:hyperlink>
          </w:p>
        </w:tc>
      </w:tr>
      <w:tr>
        <w:trPr>
          <w:trHeight w:val="169"/>
        </w:trPr>
        <w:tc>
          <w:tcPr>
            <w:tcW w:w="1060" w:type="dxa"/>
            <w:vAlign w:val="bottom"/>
          </w:tcPr>
          <w:p>
            <w:pPr>
              <w:spacing w:after="0"/>
              <w:rPr>
                <w:sz w:val="14"/>
                <w:szCs w:val="14"/>
                <w:color w:val="auto"/>
              </w:rPr>
            </w:pPr>
          </w:p>
        </w:tc>
        <w:tc>
          <w:tcPr>
            <w:tcW w:w="944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Q for the quarter ended June 30, 2024, filed July 25, 2024, File No. 001-16411)</w:t>
              </w:r>
            </w:hyperlink>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+10(l)</w:t>
            </w:r>
          </w:p>
        </w:tc>
        <w:tc>
          <w:tcPr>
            <w:tcW w:w="9460" w:type="dxa"/>
            <w:vAlign w:val="bottom"/>
            <w:gridSpan w:val="35"/>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Non-Employee Director Compensation Term Sheet, effective May 17, 2023 (incorporated by reference to Exhibit 10.1 to Form 10-</w:t>
              </w:r>
            </w:hyperlink>
          </w:p>
        </w:tc>
      </w:tr>
      <w:tr>
        <w:trPr>
          <w:trHeight w:val="155"/>
        </w:trPr>
        <w:tc>
          <w:tcPr>
            <w:tcW w:w="1060" w:type="dxa"/>
            <w:vAlign w:val="bottom"/>
          </w:tcPr>
          <w:p>
            <w:pPr>
              <w:spacing w:after="0"/>
              <w:rPr>
                <w:sz w:val="13"/>
                <w:szCs w:val="13"/>
                <w:color w:val="auto"/>
              </w:rPr>
            </w:pPr>
          </w:p>
        </w:tc>
        <w:tc>
          <w:tcPr>
            <w:tcW w:w="94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Q for the quarter ended June 30, 2023, filed July 26, 2023, File No. 001-16411)</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+10(m)</w:t>
            </w:r>
          </w:p>
        </w:tc>
        <w:tc>
          <w:tcPr>
            <w:tcW w:w="9460" w:type="dxa"/>
            <w:vAlign w:val="bottom"/>
            <w:gridSpan w:val="35"/>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Indemnification Agreement between Northrop Grumman Corporation and its directors and executive officers</w:t>
              </w:r>
            </w:hyperlink>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9460" w:type="dxa"/>
            <w:vAlign w:val="bottom"/>
            <w:gridSpan w:val="35"/>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(incorporated by reference to Exhibit 10.3 to Form 10-Q for the quarter ended March 31, 2012, filed April 25, 2012, File 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76">
              <w:r>
                <w:rPr>
                  <w:rFonts w:ascii="Times New Roman" w:cs="Times New Roman" w:eastAsia="Times New Roman" w:hAnsi="Times New Roman"/>
                  <w:sz w:val="18"/>
                  <w:szCs w:val="18"/>
                  <w:color w:val="0000FF"/>
                  <w:w w:val="94"/>
                </w:rPr>
                <w:t>16411)</w:t>
              </w:r>
            </w:hyperlink>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+10(n)</w:t>
            </w:r>
          </w:p>
        </w:tc>
        <w:tc>
          <w:tcPr>
            <w:tcW w:w="92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Northrop Grumman 2006 Annual Incentive Plan and Incentive Compensation Plan, as amended and restated effective January 1,</w:t>
              </w:r>
            </w:hyperlink>
          </w:p>
        </w:tc>
        <w:tc>
          <w:tcPr>
            <w:tcW w:w="180" w:type="dxa"/>
            <w:vAlign w:val="bottom"/>
            <w:gridSpan w:val="8"/>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460" w:type="dxa"/>
            <w:vAlign w:val="bottom"/>
            <w:gridSpan w:val="35"/>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2024 (incorporated by reference to Exhibit 10.3 to Form 10-Q for the quarter ended March 31, 2024, filed April 25, 2024, File No.</w:t>
              </w:r>
            </w:hyperlink>
          </w:p>
        </w:tc>
      </w:tr>
      <w:tr>
        <w:trPr>
          <w:trHeight w:val="156"/>
        </w:trPr>
        <w:tc>
          <w:tcPr>
            <w:tcW w:w="106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77">
              <w:r>
                <w:rPr>
                  <w:rFonts w:ascii="Times New Roman" w:cs="Times New Roman" w:eastAsia="Times New Roman" w:hAnsi="Times New Roman"/>
                  <w:sz w:val="18"/>
                  <w:szCs w:val="18"/>
                  <w:color w:val="0000FF"/>
                  <w:w w:val="97"/>
                </w:rPr>
                <w:t>001-16411)</w:t>
              </w:r>
            </w:hyperlink>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+10(o)</w:t>
            </w:r>
          </w:p>
        </w:tc>
        <w:tc>
          <w:tcPr>
            <w:tcW w:w="9460" w:type="dxa"/>
            <w:vAlign w:val="bottom"/>
            <w:gridSpan w:val="35"/>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Northrop Grumman Savings Excess Plan (Amended and Restated Effective as of July 1, 2023) (incorporated by reference to</w:t>
              </w:r>
            </w:hyperlink>
          </w:p>
        </w:tc>
      </w:tr>
      <w:tr>
        <w:trPr>
          <w:trHeight w:val="183"/>
        </w:trPr>
        <w:tc>
          <w:tcPr>
            <w:tcW w:w="1060" w:type="dxa"/>
            <w:vAlign w:val="bottom"/>
          </w:tcPr>
          <w:p>
            <w:pPr>
              <w:spacing w:after="0"/>
              <w:rPr>
                <w:sz w:val="15"/>
                <w:szCs w:val="15"/>
                <w:color w:val="auto"/>
              </w:rPr>
            </w:pPr>
          </w:p>
        </w:tc>
        <w:tc>
          <w:tcPr>
            <w:tcW w:w="896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Exhibit 10.2 to Form 10-Q for the quarter ended June 30, 2023, filed July 26, 2023, File No. 001-16411)</w:t>
              </w:r>
            </w:hyperlink>
          </w:p>
        </w:tc>
        <w:tc>
          <w:tcPr>
            <w:tcW w:w="4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+10(p)</w:t>
            </w:r>
          </w:p>
        </w:tc>
        <w:tc>
          <w:tcPr>
            <w:tcW w:w="9460" w:type="dxa"/>
            <w:vAlign w:val="bottom"/>
            <w:gridSpan w:val="35"/>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Northrop Grumman Officers Retirement Account Contribution Plan (Amended and Restated Effective as of January 1, 2019)</w:t>
              </w:r>
            </w:hyperlink>
          </w:p>
        </w:tc>
      </w:tr>
      <w:tr>
        <w:trPr>
          <w:trHeight w:val="156"/>
        </w:trPr>
        <w:tc>
          <w:tcPr>
            <w:tcW w:w="1060" w:type="dxa"/>
            <w:vAlign w:val="bottom"/>
          </w:tcPr>
          <w:p>
            <w:pPr>
              <w:spacing w:after="0"/>
              <w:rPr>
                <w:sz w:val="13"/>
                <w:szCs w:val="13"/>
                <w:color w:val="auto"/>
              </w:rPr>
            </w:pPr>
          </w:p>
        </w:tc>
        <w:tc>
          <w:tcPr>
            <w:tcW w:w="90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(incorporated by reference to Exhibit 10(v) to Form 10-K for the year ended December 31, 2018, filed January 31, 2019, File</w:t>
              </w:r>
            </w:hyperlink>
          </w:p>
        </w:tc>
        <w:tc>
          <w:tcPr>
            <w:tcW w:w="460" w:type="dxa"/>
            <w:vAlign w:val="bottom"/>
            <w:gridSpan w:val="11"/>
          </w:tcPr>
          <w:p>
            <w:pPr>
              <w:ind w:left="60"/>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No.</w:t>
              </w:r>
            </w:hyperlink>
          </w:p>
        </w:tc>
      </w:tr>
      <w:tr>
        <w:trPr>
          <w:trHeight w:val="155"/>
        </w:trPr>
        <w:tc>
          <w:tcPr>
            <w:tcW w:w="106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79">
              <w:r>
                <w:rPr>
                  <w:rFonts w:ascii="Times New Roman" w:cs="Times New Roman" w:eastAsia="Times New Roman" w:hAnsi="Times New Roman"/>
                  <w:sz w:val="18"/>
                  <w:szCs w:val="18"/>
                  <w:color w:val="0000FF"/>
                  <w:w w:val="97"/>
                </w:rPr>
                <w:t>001-16411)</w:t>
              </w:r>
            </w:hyperlink>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+10(q)</w:t>
            </w:r>
          </w:p>
        </w:tc>
        <w:tc>
          <w:tcPr>
            <w:tcW w:w="9460" w:type="dxa"/>
            <w:vAlign w:val="bottom"/>
            <w:gridSpan w:val="35"/>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Executive Basic Life Insurance and Accidental Death and Dismemberment Insurance Policy dated January 1, 2019 (incorporated</w:t>
              </w:r>
            </w:hyperlink>
          </w:p>
        </w:tc>
      </w:tr>
      <w:tr>
        <w:trPr>
          <w:trHeight w:val="169"/>
        </w:trPr>
        <w:tc>
          <w:tcPr>
            <w:tcW w:w="1060" w:type="dxa"/>
            <w:vAlign w:val="bottom"/>
          </w:tcPr>
          <w:p>
            <w:pPr>
              <w:spacing w:after="0"/>
              <w:rPr>
                <w:sz w:val="14"/>
                <w:szCs w:val="14"/>
                <w:color w:val="auto"/>
              </w:rPr>
            </w:pPr>
          </w:p>
        </w:tc>
        <w:tc>
          <w:tcPr>
            <w:tcW w:w="930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by reference to Exhibit 10.4 to Form 10-Q for the quarter ended March 31, 2019, filed April 24, 2019, File No. 001-16411)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+10(r)</w:t>
            </w:r>
          </w:p>
        </w:tc>
        <w:tc>
          <w:tcPr>
            <w:tcW w:w="9460" w:type="dxa"/>
            <w:vAlign w:val="bottom"/>
            <w:gridSpan w:val="35"/>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Executive Long-Term Disability Insurance Policy dated January 1, 2019 (incorporated by reference to Exhibit 10.5 to Form 10-Q</w:t>
              </w:r>
            </w:hyperlink>
          </w:p>
        </w:tc>
      </w:tr>
      <w:tr>
        <w:trPr>
          <w:trHeight w:val="156"/>
        </w:trPr>
        <w:tc>
          <w:tcPr>
            <w:tcW w:w="106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for the quarter ended March 31, 2019, filed April 24, 2019, File No. 001-16411)</w:t>
              </w:r>
            </w:hyperlink>
          </w:p>
        </w:tc>
        <w:tc>
          <w:tcPr>
            <w:tcW w:w="354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*+10(s)</w:t>
            </w:r>
          </w:p>
        </w:tc>
        <w:tc>
          <w:tcPr>
            <w:tcW w:w="94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Executive Supplemental Individual Disability Insurance Plan dated June 10, 2022</w:t>
            </w: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*+10(t)</w:t>
            </w:r>
          </w:p>
        </w:tc>
        <w:tc>
          <w:tcPr>
            <w:tcW w:w="58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Group Personal Excess Liability Policy effective as of January 1, 2024</w:t>
            </w:r>
          </w:p>
        </w:tc>
        <w:tc>
          <w:tcPr>
            <w:tcW w:w="3580" w:type="dxa"/>
            <w:vAlign w:val="bottom"/>
            <w:gridSpan w:val="22"/>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+10(u)</w:t>
            </w:r>
          </w:p>
        </w:tc>
        <w:tc>
          <w:tcPr>
            <w:tcW w:w="92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Letter dated February 3, 2020 from Northrop Grumman Corporation to David Keffer regarding compensation effective February</w:t>
              </w:r>
            </w:hyperlink>
          </w:p>
        </w:tc>
        <w:tc>
          <w:tcPr>
            <w:tcW w:w="200" w:type="dxa"/>
            <w:vAlign w:val="bottom"/>
            <w:gridSpan w:val="9"/>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9460" w:type="dxa"/>
            <w:vAlign w:val="bottom"/>
            <w:gridSpan w:val="35"/>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17, 2020 (incorporated by reference to Exhibit 10.4 to Form 10-Q for the quarter ended March 31, 2020, filed April 29, 2020, File</w:t>
              </w:r>
            </w:hyperlink>
          </w:p>
        </w:tc>
      </w:tr>
      <w:tr>
        <w:trPr>
          <w:trHeight w:val="169"/>
        </w:trPr>
        <w:tc>
          <w:tcPr>
            <w:tcW w:w="1060" w:type="dxa"/>
            <w:vAlign w:val="bottom"/>
          </w:tcPr>
          <w:p>
            <w:pPr>
              <w:spacing w:after="0"/>
              <w:rPr>
                <w:sz w:val="14"/>
                <w:szCs w:val="14"/>
                <w:color w:val="auto"/>
              </w:rPr>
            </w:pPr>
          </w:p>
        </w:tc>
        <w:tc>
          <w:tcPr>
            <w:tcW w:w="936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No. 001-16411)</w:t>
              </w:r>
            </w:hyperlink>
          </w:p>
        </w:tc>
        <w:tc>
          <w:tcPr>
            <w:tcW w:w="100" w:type="dxa"/>
            <w:vAlign w:val="bottom"/>
            <w:gridSpan w:val="4"/>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19"/>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94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Insider Trading Policy and Procedure regarding Securities Trading for Designated Persons</w:t>
            </w: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5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Subsidiaries</w:t>
            </w:r>
          </w:p>
        </w:tc>
        <w:tc>
          <w:tcPr>
            <w:tcW w:w="2960" w:type="dxa"/>
            <w:vAlign w:val="bottom"/>
            <w:gridSpan w:val="21"/>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19"/>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140" w:type="dxa"/>
            <w:vAlign w:val="bottom"/>
            <w:gridSpan w:val="26"/>
          </w:tcPr>
          <w:p>
            <w:pPr>
              <w:spacing w:after="0"/>
              <w:rPr>
                <w:sz w:val="24"/>
                <w:szCs w:val="2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4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Power of Attorney</w:t>
            </w:r>
          </w:p>
        </w:tc>
      </w:tr>
      <w:tr>
        <w:trPr>
          <w:trHeight w:val="20"/>
        </w:trPr>
        <w:tc>
          <w:tcPr>
            <w:tcW w:w="106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19"/>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Kathy J. Warden pursuant to Section 302 of the Sarbanes-Oxley Act of 2002</w:t>
            </w:r>
          </w:p>
        </w:tc>
        <w:tc>
          <w:tcPr>
            <w:tcW w:w="2800" w:type="dxa"/>
            <w:vAlign w:val="bottom"/>
            <w:gridSpan w:val="20"/>
          </w:tcPr>
          <w:p>
            <w:pPr>
              <w:spacing w:after="0"/>
              <w:rPr>
                <w:sz w:val="24"/>
                <w:szCs w:val="2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of Kenneth B. Crews pursuant to Section 302 of the Sarbanes-Oxley Act of 2002</w:t>
            </w: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6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Kathy J. Warden pursuant to Section 906 of the Sarbanes-Oxley Act of 2002</w:t>
            </w:r>
          </w:p>
        </w:tc>
        <w:tc>
          <w:tcPr>
            <w:tcW w:w="120" w:type="dxa"/>
            <w:vAlign w:val="bottom"/>
            <w:tcBorders>
              <w:top w:val="single" w:sz="8" w:color="0000FF"/>
            </w:tcBorders>
          </w:tcPr>
          <w:p>
            <w:pPr>
              <w:spacing w:after="0"/>
              <w:rPr>
                <w:sz w:val="24"/>
                <w:szCs w:val="24"/>
                <w:color w:val="auto"/>
              </w:rPr>
            </w:pPr>
          </w:p>
        </w:tc>
        <w:tc>
          <w:tcPr>
            <w:tcW w:w="2680" w:type="dxa"/>
            <w:vAlign w:val="bottom"/>
            <w:gridSpan w:val="19"/>
          </w:tcPr>
          <w:p>
            <w:pPr>
              <w:spacing w:after="0"/>
              <w:rPr>
                <w:sz w:val="24"/>
                <w:szCs w:val="2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4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of Kenneth B. Crews pursuant to Section 906 of the Sarbanes-Oxley Act of 2002</w:t>
            </w: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780" w:hanging="1066"/>
        <w:spacing w:after="0" w:line="266" w:lineRule="auto"/>
        <w:tabs>
          <w:tab w:leader="none" w:pos="1780" w:val="left"/>
        </w:tabs>
        <w:numPr>
          <w:ilvl w:val="0"/>
          <w:numId w:val="46"/>
        </w:numPr>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Northrop Grumman Policy Regarding the Recoupment of Certain Incentive Compensation Payments (incorporated by reference to</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Exhibit 97 to Form 10-K for the year ended December 31, 2023, filed January 25, 2024, File No. 001-16411)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5772785</wp:posOffset>
            </wp:positionH>
            <wp:positionV relativeFrom="paragraph">
              <wp:posOffset>-167640</wp:posOffset>
            </wp:positionV>
            <wp:extent cx="381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5">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75" w:lineRule="exact"/>
        <w:rPr>
          <w:rFonts w:ascii="Times New Roman" w:cs="Times New Roman" w:eastAsia="Times New Roman" w:hAnsi="Times New Roman"/>
          <w:sz w:val="18"/>
          <w:szCs w:val="18"/>
          <w:color w:val="auto"/>
        </w:rPr>
      </w:pPr>
    </w:p>
    <w:tbl>
      <w:tblPr>
        <w:tblLayout w:type="fixed"/>
        <w:tblInd w:w="720" w:type="dxa"/>
        <w:tblCellMar>
          <w:top w:w="0" w:type="dxa"/>
          <w:left w:w="0" w:type="dxa"/>
          <w:bottom w:w="0" w:type="dxa"/>
          <w:right w:w="0" w:type="dxa"/>
        </w:tblCellMar>
      </w:tblPr>
      <w:tr>
        <w:trPr>
          <w:trHeight w:val="207"/>
        </w:trPr>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4"/>
              </w:rPr>
              <w:t>*101</w:t>
            </w:r>
          </w:p>
        </w:tc>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Northrop Grumman Corporation Annual Report on Form 10-K for the fiscal year ended December 31, 2024, formatted as inline</w:t>
            </w:r>
          </w:p>
        </w:tc>
      </w:tr>
      <w:tr>
        <w:trPr>
          <w:trHeight w:val="176"/>
        </w:trPr>
        <w:tc>
          <w:tcPr>
            <w:tcW w:w="700" w:type="dxa"/>
            <w:vAlign w:val="bottom"/>
          </w:tcPr>
          <w:p>
            <w:pPr>
              <w:spacing w:after="0"/>
              <w:rPr>
                <w:sz w:val="15"/>
                <w:szCs w:val="15"/>
                <w:color w:val="auto"/>
              </w:rPr>
            </w:pPr>
          </w:p>
        </w:tc>
        <w:tc>
          <w:tcPr>
            <w:tcW w:w="97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XBRL (Extensible Business Reporting Language); (i) the Cover Page, (ii) Cybersecurity (iii) the Consolidated Statements of</w:t>
            </w:r>
          </w:p>
        </w:tc>
      </w:tr>
      <w:tr>
        <w:trPr>
          <w:trHeight w:val="184"/>
        </w:trPr>
        <w:tc>
          <w:tcPr>
            <w:tcW w:w="700" w:type="dxa"/>
            <w:vAlign w:val="bottom"/>
          </w:tcPr>
          <w:p>
            <w:pPr>
              <w:spacing w:after="0"/>
              <w:rPr>
                <w:sz w:val="16"/>
                <w:szCs w:val="16"/>
                <w:color w:val="auto"/>
              </w:rPr>
            </w:pPr>
          </w:p>
        </w:tc>
        <w:tc>
          <w:tcPr>
            <w:tcW w:w="97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Earnings and Comprehensive Income, (iii) Consolidated Statements of Financial Position, (iv) Consolidated Statements of Cash</w:t>
            </w:r>
          </w:p>
        </w:tc>
      </w:tr>
      <w:tr>
        <w:trPr>
          <w:trHeight w:val="180"/>
        </w:trPr>
        <w:tc>
          <w:tcPr>
            <w:tcW w:w="700" w:type="dxa"/>
            <w:vAlign w:val="bottom"/>
          </w:tcPr>
          <w:p>
            <w:pPr>
              <w:spacing w:after="0"/>
              <w:rPr>
                <w:sz w:val="15"/>
                <w:szCs w:val="15"/>
                <w:color w:val="auto"/>
              </w:rPr>
            </w:pPr>
          </w:p>
        </w:tc>
        <w:tc>
          <w:tcPr>
            <w:tcW w:w="974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w w:val="99"/>
              </w:rPr>
              <w:t>Flows, (v) Consolidated Statements of Changes in Shareholders’ Equity (vi) Notes to Consolidated Financial Statements, and (vii)</w:t>
            </w:r>
          </w:p>
        </w:tc>
      </w:tr>
      <w:tr>
        <w:trPr>
          <w:trHeight w:val="176"/>
        </w:trPr>
        <w:tc>
          <w:tcPr>
            <w:tcW w:w="700" w:type="dxa"/>
            <w:vAlign w:val="bottom"/>
          </w:tcPr>
          <w:p>
            <w:pPr>
              <w:spacing w:after="0"/>
              <w:rPr>
                <w:sz w:val="15"/>
                <w:szCs w:val="15"/>
                <w:color w:val="auto"/>
              </w:rPr>
            </w:pPr>
          </w:p>
        </w:tc>
        <w:tc>
          <w:tcPr>
            <w:tcW w:w="97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Certain Trading Agreements. 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4"/>
              </w:rPr>
              <w:t>*104</w:t>
            </w:r>
          </w:p>
        </w:tc>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17" w:lineRule="exact"/>
        <w:rPr>
          <w:rFonts w:ascii="Times New Roman" w:cs="Times New Roman" w:eastAsia="Times New Roman" w:hAnsi="Times New Roman"/>
          <w:sz w:val="18"/>
          <w:szCs w:val="18"/>
          <w:color w:val="auto"/>
        </w:rPr>
      </w:pPr>
    </w:p>
    <w:p>
      <w:pPr>
        <w:ind w:left="1780" w:hanging="1066"/>
        <w:spacing w:after="0"/>
        <w:tabs>
          <w:tab w:leader="none" w:pos="1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44" w:lineRule="exact"/>
        <w:rPr>
          <w:rFonts w:ascii="Times New Roman" w:cs="Times New Roman" w:eastAsia="Times New Roman" w:hAnsi="Times New Roman"/>
          <w:sz w:val="18"/>
          <w:szCs w:val="18"/>
          <w:color w:val="auto"/>
        </w:rPr>
      </w:pPr>
    </w:p>
    <w:p>
      <w:pPr>
        <w:ind w:left="1780" w:hanging="1066"/>
        <w:spacing w:after="0"/>
        <w:tabs>
          <w:tab w:leader="none" w:pos="1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131" w:lineRule="exact"/>
        <w:rPr>
          <w:rFonts w:ascii="Times New Roman" w:cs="Times New Roman" w:eastAsia="Times New Roman" w:hAnsi="Times New Roman"/>
          <w:sz w:val="18"/>
          <w:szCs w:val="18"/>
          <w:color w:val="auto"/>
        </w:rPr>
      </w:pPr>
    </w:p>
    <w:p>
      <w:pPr>
        <w:ind w:left="1780" w:hanging="1066"/>
        <w:spacing w:after="0"/>
        <w:tabs>
          <w:tab w:leader="none" w:pos="1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Report</w:t>
      </w:r>
    </w:p>
    <w:p>
      <w:pPr>
        <w:spacing w:after="0" w:line="99" w:lineRule="exact"/>
        <w:rPr>
          <w:rFonts w:ascii="Times New Roman" w:cs="Times New Roman" w:eastAsia="Times New Roman" w:hAnsi="Times New Roman"/>
          <w:sz w:val="18"/>
          <w:szCs w:val="18"/>
          <w:color w:val="auto"/>
        </w:rPr>
      </w:pPr>
    </w:p>
    <w:p>
      <w:pPr>
        <w:ind w:right="884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Item 16. Form 10-K Summary </w:t>
      </w: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29th day of January 2025.</w:t>
      </w:r>
    </w:p>
    <w:p>
      <w:pPr>
        <w:spacing w:after="0" w:line="3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89" w:lineRule="exact"/>
        <w:rPr>
          <w:sz w:val="20"/>
          <w:szCs w:val="20"/>
          <w:color w:val="auto"/>
        </w:rPr>
      </w:pPr>
    </w:p>
    <w:p>
      <w:pPr>
        <w:ind w:left="5700"/>
        <w:spacing w:after="0"/>
        <w:tabs>
          <w:tab w:leader="none" w:pos="7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19685</wp:posOffset>
            </wp:positionV>
            <wp:extent cx="31718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Michael A. Hardesty</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7"/>
          <w:szCs w:val="17"/>
          <w:color w:val="auto"/>
        </w:rPr>
        <w:t>Corporate Vice President, Controller and Chief Accounting Officer</w:t>
      </w:r>
    </w:p>
    <w:p>
      <w:pPr>
        <w:spacing w:after="0" w:line="34"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9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on behalf of the registrant this the 29th day of January 2025, by the following persons and in the capacities indicated.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920" w:type="dxa"/>
            <w:vAlign w:val="bottom"/>
          </w:tcPr>
          <w:p>
            <w:pPr>
              <w:spacing w:after="0"/>
              <w:rPr>
                <w:sz w:val="13"/>
                <w:szCs w:val="13"/>
                <w:color w:val="auto"/>
              </w:rPr>
            </w:pPr>
          </w:p>
        </w:tc>
        <w:tc>
          <w:tcPr>
            <w:tcW w:w="6280" w:type="dxa"/>
            <w:vAlign w:val="bottom"/>
            <w:gridSpan w:val="3"/>
          </w:tcPr>
          <w:p>
            <w:pPr>
              <w:ind w:left="33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80"/>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Kathy J. Warden*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Chair, Chief Executive Officer and President (Principal Executive Officer), and</w:t>
            </w: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Kenneth B. Crews*</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Corporate Vice President and Chief Financial Officer (Principal Financial Officer)</w:t>
            </w:r>
          </w:p>
        </w:tc>
      </w:tr>
      <w:tr>
        <w:trPr>
          <w:trHeight w:val="279"/>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A. Hardesty</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Vice President, Controller and Chief Accounting Officer (Principal</w:t>
            </w: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P. Abney*</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Marianne C. Brown*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 M. Fudge*</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Madeleine A. Kleiner*</w:t>
            </w: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Arvind Krishna*</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Graham N. Robinson*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Kimberly A. Ross*</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Gary Roughead*</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Thomas M. Schoewe*</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S. Turley*</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 A. Welsh III*</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Mary A. Winston*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51"/>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29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/s/ Jennifer C. McGarey</w:t>
            </w: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8"/>
        </w:trPr>
        <w:tc>
          <w:tcPr>
            <w:tcW w:w="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jc w:val="center"/>
              <w:ind w:right="950"/>
              <w:spacing w:after="0"/>
              <w:rPr>
                <w:sz w:val="20"/>
                <w:szCs w:val="20"/>
                <w:color w:val="auto"/>
              </w:rPr>
            </w:pPr>
            <w:r>
              <w:rPr>
                <w:rFonts w:ascii="Times New Roman" w:cs="Times New Roman" w:eastAsia="Times New Roman" w:hAnsi="Times New Roman"/>
                <w:sz w:val="18"/>
                <w:szCs w:val="18"/>
                <w:color w:val="auto"/>
              </w:rPr>
              <w:t>Jennifer C. McGarey</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8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Corporate Vice President and Secretary</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Attorney-in-Fact</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pursuant to a power of attorney</w:t>
            </w:r>
          </w:p>
        </w:tc>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60"/>
          </w:cols>
          <w:pgMar w:left="320" w:top="360" w:right="41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4"/>
          <w:szCs w:val="14"/>
          <w:i w:val="1"/>
          <w:iCs w:val="1"/>
          <w:color w:val="auto"/>
        </w:rPr>
        <w:t>Coverage underwritten by the following subsidiary of Unum</w:t>
      </w:r>
    </w:p>
    <w:p>
      <w:pPr>
        <w:spacing w:after="0" w:line="1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b w:val="1"/>
          <w:bCs w:val="1"/>
          <w:color w:val="auto"/>
        </w:rPr>
        <w:t>Provident Life and Accident Insurance Company</w:t>
      </w:r>
    </w:p>
    <w:p>
      <w:pPr>
        <w:spacing w:after="0" w:line="1"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4"/>
          <w:szCs w:val="14"/>
          <w:color w:val="auto"/>
        </w:rPr>
        <w:t>1 Fountain Square Chattanooga, TN 37402</w:t>
      </w:r>
    </w:p>
    <w:p>
      <w:pPr>
        <w:spacing w:after="0" w:line="203"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b w:val="1"/>
          <w:bCs w:val="1"/>
          <w:color w:val="auto"/>
        </w:rPr>
        <w:t>Unum Life Insurance Company of America</w:t>
      </w:r>
    </w:p>
    <w:p>
      <w:pPr>
        <w:spacing w:after="0" w:line="1"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4"/>
          <w:szCs w:val="14"/>
          <w:color w:val="auto"/>
        </w:rPr>
        <w:t>2211 Congress Street Portland, ME 04122</w:t>
      </w:r>
    </w:p>
    <w:p>
      <w:pPr>
        <w:spacing w:after="0" w:line="20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4"/>
          <w:szCs w:val="14"/>
          <w:b w:val="1"/>
          <w:bCs w:val="1"/>
          <w:color w:val="auto"/>
        </w:rPr>
        <w:t>Provident Life and Casualty Insurance Company</w:t>
      </w:r>
    </w:p>
    <w:p>
      <w:pPr>
        <w:spacing w:after="0" w:line="1" w:lineRule="exact"/>
        <w:rPr>
          <w:sz w:val="20"/>
          <w:szCs w:val="20"/>
          <w:color w:val="auto"/>
        </w:rPr>
      </w:pPr>
    </w:p>
    <w:p>
      <w:pPr>
        <w:ind w:right="400"/>
        <w:spacing w:after="0" w:line="383" w:lineRule="auto"/>
        <w:rPr>
          <w:sz w:val="20"/>
          <w:szCs w:val="20"/>
          <w:color w:val="auto"/>
        </w:rPr>
      </w:pPr>
      <w:r>
        <w:rPr>
          <w:rFonts w:ascii="Times New Roman" w:cs="Times New Roman" w:eastAsia="Times New Roman" w:hAnsi="Times New Roman"/>
          <w:sz w:val="14"/>
          <w:szCs w:val="14"/>
          <w:color w:val="auto"/>
        </w:rPr>
        <w:t>1 Fountain Square Chattanooga, TN 37402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www.unum.com</w:t>
      </w:r>
    </w:p>
    <w:p>
      <w:pPr>
        <w:spacing w:after="0" w:line="8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1"/>
          <w:szCs w:val="11"/>
          <w:color w:val="auto"/>
        </w:rPr>
        <w:t>Unum is a registered trademark and marketing brand of Unum</w:t>
      </w:r>
    </w:p>
    <w:p>
      <w:pPr>
        <w:spacing w:after="0"/>
        <w:rPr>
          <w:sz w:val="20"/>
          <w:szCs w:val="20"/>
          <w:color w:val="auto"/>
        </w:rPr>
      </w:pPr>
      <w:r>
        <w:rPr>
          <w:rFonts w:ascii="Times New Roman" w:cs="Times New Roman" w:eastAsia="Times New Roman" w:hAnsi="Times New Roman"/>
          <w:sz w:val="12"/>
          <w:szCs w:val="12"/>
          <w:color w:val="auto"/>
        </w:rPr>
        <w:t>Group and its insuring subsidiaries.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rights reserved</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32"/>
          <w:szCs w:val="32"/>
          <w:b w:val="1"/>
          <w:bCs w:val="1"/>
          <w:color w:val="015293"/>
        </w:rPr>
        <w:t>Supplemental Individual Disability Insurance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5"/>
          <w:szCs w:val="25"/>
          <w:color w:val="auto"/>
        </w:rPr>
        <w:t>June 10, 2022</w:t>
      </w:r>
    </w:p>
    <w:p>
      <w:pPr>
        <w:spacing w:after="0" w:line="200" w:lineRule="exact"/>
        <w:rPr>
          <w:sz w:val="20"/>
          <w:szCs w:val="20"/>
          <w:color w:val="auto"/>
        </w:rPr>
      </w:pPr>
    </w:p>
    <w:p>
      <w:pPr>
        <w:spacing w:after="0" w:line="309" w:lineRule="exact"/>
        <w:rPr>
          <w:sz w:val="20"/>
          <w:szCs w:val="20"/>
          <w:color w:val="auto"/>
        </w:rPr>
      </w:pPr>
    </w:p>
    <w:p>
      <w:pPr>
        <w:ind w:left="100"/>
        <w:spacing w:after="0"/>
        <w:tabs>
          <w:tab w:leader="none" w:pos="3160" w:val="left"/>
        </w:tabs>
        <w:rPr>
          <w:sz w:val="20"/>
          <w:szCs w:val="20"/>
          <w:color w:val="auto"/>
        </w:rPr>
      </w:pPr>
      <w:r>
        <w:rPr>
          <w:rFonts w:ascii="Times New Roman" w:cs="Times New Roman" w:eastAsia="Times New Roman" w:hAnsi="Times New Roman"/>
          <w:sz w:val="25"/>
          <w:szCs w:val="25"/>
          <w:color w:val="015293"/>
        </w:rPr>
        <w:t>Developed Specifically For:</w:t>
      </w:r>
      <w:r>
        <w:rPr>
          <w:rFonts w:ascii="Times New Roman" w:cs="Times New Roman" w:eastAsia="Times New Roman" w:hAnsi="Times New Roman"/>
          <w:sz w:val="25"/>
          <w:szCs w:val="25"/>
          <w:color w:val="auto"/>
        </w:rPr>
        <w:tab/>
        <w:t>Northrop Grumman</w:t>
      </w:r>
    </w:p>
    <w:p>
      <w:pPr>
        <w:spacing w:after="0" w:line="4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Case #170806</w:t>
      </w:r>
    </w:p>
    <w:p>
      <w:pPr>
        <w:spacing w:after="0" w:line="269"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5"/>
          <w:szCs w:val="25"/>
          <w:color w:val="015293"/>
        </w:rPr>
        <w:t>Presented by:</w:t>
      </w:r>
      <w:r>
        <w:rPr>
          <w:rFonts w:ascii="Times New Roman" w:cs="Times New Roman" w:eastAsia="Times New Roman" w:hAnsi="Times New Roman"/>
          <w:sz w:val="25"/>
          <w:szCs w:val="25"/>
          <w:color w:val="auto"/>
        </w:rPr>
        <w:tab/>
        <w:t>Ruth Kline</w:t>
      </w:r>
    </w:p>
    <w:p>
      <w:pPr>
        <w:spacing w:after="0" w:line="266"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25"/>
          <w:szCs w:val="25"/>
          <w:color w:val="015293"/>
        </w:rPr>
        <w:t>Prepared by:</w:t>
      </w:r>
      <w:r>
        <w:rPr>
          <w:sz w:val="20"/>
          <w:szCs w:val="20"/>
          <w:color w:val="auto"/>
        </w:rPr>
        <w:tab/>
      </w:r>
      <w:r>
        <w:rPr>
          <w:rFonts w:ascii="Times New Roman" w:cs="Times New Roman" w:eastAsia="Times New Roman" w:hAnsi="Times New Roman"/>
          <w:sz w:val="24"/>
          <w:szCs w:val="24"/>
          <w:color w:val="auto"/>
        </w:rPr>
        <w:t>Kelly Swallow Wolfe</w:t>
      </w:r>
    </w:p>
    <w:p>
      <w:pPr>
        <w:spacing w:after="0" w:line="4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2"/>
          <w:szCs w:val="22"/>
          <w:color w:val="auto"/>
        </w:rPr>
        <w:t>Chicago Sales Office</w:t>
      </w:r>
    </w:p>
    <w:p>
      <w:pPr>
        <w:spacing w:after="0" w:line="200" w:lineRule="exact"/>
        <w:rPr>
          <w:sz w:val="20"/>
          <w:szCs w:val="20"/>
          <w:color w:val="auto"/>
        </w:rPr>
      </w:pPr>
    </w:p>
    <w:p>
      <w:pPr>
        <w:spacing w:after="0" w:line="34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recently completed a review of your in-force Supplemental Income Protection insurance plan and are pleased to offer revisions as outlined below. Enclosed with your plan offering are detailed plan specifications and an offer request document, which must be signed and returned to Unum in order to implement the plan changes. Unum is pleased to partner with you to provide these benefits to your employees. Specifically, your customized plan design includes:</w:t>
      </w:r>
    </w:p>
    <w:p>
      <w:pPr>
        <w:spacing w:after="0" w:line="238" w:lineRule="exact"/>
        <w:rPr>
          <w:sz w:val="20"/>
          <w:szCs w:val="20"/>
          <w:color w:val="auto"/>
        </w:rPr>
      </w:pPr>
    </w:p>
    <w:p>
      <w:pPr>
        <w:sectPr>
          <w:pgSz w:w="11900" w:h="16900" w:orient="portrait"/>
          <w:cols w:equalWidth="0" w:num="2">
            <w:col w:w="1800" w:space="360"/>
            <w:col w:w="8980"/>
          </w:cols>
          <w:pgMar w:left="420" w:top="114" w:right="339" w:bottom="0" w:gutter="0" w:footer="0" w:header="0"/>
        </w:sectPr>
      </w:pPr>
    </w:p>
    <w:p>
      <w:pPr>
        <w:ind w:left="1940"/>
        <w:spacing w:after="0"/>
        <w:rPr>
          <w:sz w:val="20"/>
          <w:szCs w:val="20"/>
          <w:color w:val="auto"/>
        </w:rPr>
      </w:pPr>
      <w:r>
        <w:rPr>
          <w:rFonts w:ascii="Times New Roman" w:cs="Times New Roman" w:eastAsia="Times New Roman" w:hAnsi="Times New Roman"/>
          <w:sz w:val="19"/>
          <w:szCs w:val="19"/>
          <w:b w:val="1"/>
          <w:bCs w:val="1"/>
          <w:color w:val="015293"/>
        </w:rPr>
        <w:t>Guaranteed Standard Issue (GSI) Supplemental Individual Disability Insurance Plan Summary</w:t>
      </w:r>
    </w:p>
    <w:p>
      <w:pPr>
        <w:spacing w:after="0" w:line="99" w:lineRule="exact"/>
        <w:rPr>
          <w:sz w:val="20"/>
          <w:szCs w:val="20"/>
          <w:color w:val="auto"/>
        </w:rPr>
      </w:pPr>
    </w:p>
    <w:tbl>
      <w:tblPr>
        <w:tblLayout w:type="fixed"/>
        <w:tblInd w:w="1450" w:type="dxa"/>
        <w:tblCellMar>
          <w:top w:w="0" w:type="dxa"/>
          <w:left w:w="0" w:type="dxa"/>
          <w:bottom w:w="0" w:type="dxa"/>
          <w:right w:w="0" w:type="dxa"/>
        </w:tblCellMar>
      </w:tblPr>
      <w:tr>
        <w:trPr>
          <w:trHeight w:val="198"/>
        </w:trPr>
        <w:tc>
          <w:tcPr>
            <w:tcW w:w="1020" w:type="dxa"/>
            <w:vAlign w:val="bottom"/>
            <w:tcBorders>
              <w:top w:val="single" w:sz="8" w:color="015293"/>
              <w:left w:val="single" w:sz="8" w:color="015293"/>
              <w:right w:val="single" w:sz="8" w:color="015293"/>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Eligibility</w:t>
            </w:r>
          </w:p>
        </w:tc>
        <w:tc>
          <w:tcPr>
            <w:tcW w:w="1120" w:type="dxa"/>
            <w:vAlign w:val="bottom"/>
            <w:tcBorders>
              <w:top w:val="single" w:sz="8" w:color="015293"/>
              <w:right w:val="single" w:sz="8" w:color="015293"/>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All Newly</w:t>
            </w:r>
          </w:p>
        </w:tc>
      </w:tr>
      <w:tr>
        <w:trPr>
          <w:trHeight w:val="180"/>
        </w:trPr>
        <w:tc>
          <w:tcPr>
            <w:tcW w:w="1020" w:type="dxa"/>
            <w:vAlign w:val="bottom"/>
            <w:tcBorders>
              <w:left w:val="single" w:sz="8" w:color="015293"/>
              <w:right w:val="single" w:sz="8" w:color="015293"/>
            </w:tcBorders>
          </w:tcPr>
          <w:p>
            <w:pPr>
              <w:spacing w:after="0"/>
              <w:rPr>
                <w:sz w:val="15"/>
                <w:szCs w:val="15"/>
                <w:color w:val="auto"/>
              </w:rPr>
            </w:pPr>
          </w:p>
        </w:tc>
        <w:tc>
          <w:tcPr>
            <w:tcW w:w="1120" w:type="dxa"/>
            <w:vAlign w:val="bottom"/>
            <w:tcBorders>
              <w:right w:val="single" w:sz="8" w:color="015293"/>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Hired/Eligible</w:t>
            </w:r>
          </w:p>
        </w:tc>
      </w:tr>
      <w:tr>
        <w:trPr>
          <w:trHeight w:val="184"/>
        </w:trPr>
        <w:tc>
          <w:tcPr>
            <w:tcW w:w="1020" w:type="dxa"/>
            <w:vAlign w:val="bottom"/>
            <w:tcBorders>
              <w:left w:val="single" w:sz="8" w:color="015293"/>
              <w:right w:val="single" w:sz="8" w:color="015293"/>
            </w:tcBorders>
          </w:tcPr>
          <w:p>
            <w:pPr>
              <w:spacing w:after="0"/>
              <w:rPr>
                <w:sz w:val="16"/>
                <w:szCs w:val="16"/>
                <w:color w:val="auto"/>
              </w:rPr>
            </w:pPr>
          </w:p>
        </w:tc>
        <w:tc>
          <w:tcPr>
            <w:tcW w:w="1120" w:type="dxa"/>
            <w:vAlign w:val="bottom"/>
            <w:tcBorders>
              <w:right w:val="single" w:sz="8" w:color="015293"/>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Full-Time</w:t>
            </w:r>
          </w:p>
        </w:tc>
      </w:tr>
      <w:tr>
        <w:trPr>
          <w:trHeight w:val="241"/>
        </w:trPr>
        <w:tc>
          <w:tcPr>
            <w:tcW w:w="1020" w:type="dxa"/>
            <w:vAlign w:val="bottom"/>
            <w:tcBorders>
              <w:left w:val="single" w:sz="8" w:color="015293"/>
              <w:bottom w:val="single" w:sz="8" w:color="015293"/>
              <w:right w:val="single" w:sz="8" w:color="015293"/>
            </w:tcBorders>
          </w:tcPr>
          <w:p>
            <w:pPr>
              <w:spacing w:after="0"/>
              <w:rPr>
                <w:sz w:val="20"/>
                <w:szCs w:val="20"/>
                <w:color w:val="auto"/>
              </w:rPr>
            </w:pPr>
          </w:p>
        </w:tc>
        <w:tc>
          <w:tcPr>
            <w:tcW w:w="1120" w:type="dxa"/>
            <w:vAlign w:val="bottom"/>
            <w:tcBorders>
              <w:bottom w:val="single" w:sz="8" w:color="015293"/>
              <w:right w:val="single" w:sz="8" w:color="015293"/>
            </w:tcBorders>
          </w:tcPr>
          <w:p>
            <w:pPr>
              <w:ind w:left="20"/>
              <w:spacing w:after="0"/>
              <w:rPr>
                <w:sz w:val="20"/>
                <w:szCs w:val="20"/>
                <w:color w:val="auto"/>
              </w:rPr>
            </w:pPr>
            <w:r>
              <w:rPr>
                <w:rFonts w:ascii="Times New Roman" w:cs="Times New Roman" w:eastAsia="Times New Roman" w:hAnsi="Times New Roman"/>
                <w:sz w:val="18"/>
                <w:szCs w:val="18"/>
                <w:color w:val="auto"/>
              </w:rPr>
              <w:t>Executives</w:t>
            </w:r>
          </w:p>
        </w:tc>
      </w:tr>
      <w:tr>
        <w:trPr>
          <w:trHeight w:val="184"/>
        </w:trPr>
        <w:tc>
          <w:tcPr>
            <w:tcW w:w="1020" w:type="dxa"/>
            <w:vAlign w:val="bottom"/>
            <w:tcBorders>
              <w:left w:val="single" w:sz="8" w:color="015293"/>
              <w:right w:val="single" w:sz="8" w:color="015293"/>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Insurable</w:t>
            </w:r>
          </w:p>
        </w:tc>
        <w:tc>
          <w:tcPr>
            <w:tcW w:w="1120" w:type="dxa"/>
            <w:vAlign w:val="bottom"/>
            <w:tcBorders>
              <w:right w:val="single" w:sz="8" w:color="015293"/>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Base Salary</w:t>
            </w:r>
          </w:p>
        </w:tc>
      </w:tr>
      <w:tr>
        <w:trPr>
          <w:trHeight w:val="234"/>
        </w:trPr>
        <w:tc>
          <w:tcPr>
            <w:tcW w:w="1020" w:type="dxa"/>
            <w:vAlign w:val="bottom"/>
            <w:tcBorders>
              <w:left w:val="single" w:sz="8" w:color="015293"/>
              <w:bottom w:val="single" w:sz="8" w:color="015293"/>
              <w:right w:val="single" w:sz="8" w:color="015293"/>
            </w:tcBorders>
          </w:tcPr>
          <w:p>
            <w:pPr>
              <w:ind w:left="40"/>
              <w:spacing w:after="0"/>
              <w:rPr>
                <w:sz w:val="20"/>
                <w:szCs w:val="20"/>
                <w:color w:val="auto"/>
              </w:rPr>
            </w:pPr>
            <w:r>
              <w:rPr>
                <w:rFonts w:ascii="Times New Roman" w:cs="Times New Roman" w:eastAsia="Times New Roman" w:hAnsi="Times New Roman"/>
                <w:sz w:val="18"/>
                <w:szCs w:val="18"/>
                <w:color w:val="auto"/>
              </w:rPr>
              <w:t>Income</w:t>
            </w:r>
          </w:p>
        </w:tc>
        <w:tc>
          <w:tcPr>
            <w:tcW w:w="1120" w:type="dxa"/>
            <w:vAlign w:val="bottom"/>
            <w:tcBorders>
              <w:bottom w:val="single" w:sz="8" w:color="015293"/>
              <w:right w:val="single" w:sz="8" w:color="015293"/>
            </w:tcBorders>
          </w:tcPr>
          <w:p>
            <w:pPr>
              <w:spacing w:after="0"/>
              <w:rPr>
                <w:sz w:val="20"/>
                <w:szCs w:val="20"/>
                <w:color w:val="auto"/>
              </w:rPr>
            </w:pPr>
          </w:p>
        </w:tc>
      </w:tr>
      <w:tr>
        <w:trPr>
          <w:trHeight w:val="178"/>
        </w:trPr>
        <w:tc>
          <w:tcPr>
            <w:tcW w:w="1020" w:type="dxa"/>
            <w:vAlign w:val="bottom"/>
            <w:tcBorders>
              <w:left w:val="single" w:sz="8" w:color="015293"/>
              <w:right w:val="single" w:sz="8" w:color="015293"/>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Plan Design</w:t>
            </w:r>
          </w:p>
        </w:tc>
        <w:tc>
          <w:tcPr>
            <w:tcW w:w="1120" w:type="dxa"/>
            <w:vAlign w:val="bottom"/>
            <w:tcBorders>
              <w:right w:val="single" w:sz="8" w:color="015293"/>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75% of</w:t>
            </w:r>
          </w:p>
        </w:tc>
      </w:tr>
      <w:tr>
        <w:trPr>
          <w:trHeight w:val="180"/>
        </w:trPr>
        <w:tc>
          <w:tcPr>
            <w:tcW w:w="1020" w:type="dxa"/>
            <w:vAlign w:val="bottom"/>
            <w:tcBorders>
              <w:left w:val="single" w:sz="8" w:color="015293"/>
              <w:right w:val="single" w:sz="8" w:color="015293"/>
            </w:tcBorders>
          </w:tcPr>
          <w:p>
            <w:pPr>
              <w:spacing w:after="0"/>
              <w:rPr>
                <w:sz w:val="15"/>
                <w:szCs w:val="15"/>
                <w:color w:val="auto"/>
              </w:rPr>
            </w:pPr>
          </w:p>
        </w:tc>
        <w:tc>
          <w:tcPr>
            <w:tcW w:w="1120" w:type="dxa"/>
            <w:vAlign w:val="bottom"/>
            <w:tcBorders>
              <w:right w:val="single" w:sz="8" w:color="015293"/>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monthly</w:t>
            </w:r>
          </w:p>
        </w:tc>
      </w:tr>
      <w:tr>
        <w:trPr>
          <w:trHeight w:val="184"/>
        </w:trPr>
        <w:tc>
          <w:tcPr>
            <w:tcW w:w="1020" w:type="dxa"/>
            <w:vAlign w:val="bottom"/>
            <w:tcBorders>
              <w:left w:val="single" w:sz="8" w:color="015293"/>
              <w:right w:val="single" w:sz="8" w:color="015293"/>
            </w:tcBorders>
          </w:tcPr>
          <w:p>
            <w:pPr>
              <w:spacing w:after="0"/>
              <w:rPr>
                <w:sz w:val="16"/>
                <w:szCs w:val="16"/>
                <w:color w:val="auto"/>
              </w:rPr>
            </w:pPr>
          </w:p>
        </w:tc>
        <w:tc>
          <w:tcPr>
            <w:tcW w:w="1120" w:type="dxa"/>
            <w:vAlign w:val="bottom"/>
            <w:tcBorders>
              <w:right w:val="single" w:sz="8" w:color="015293"/>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insurable</w:t>
            </w:r>
          </w:p>
        </w:tc>
      </w:tr>
      <w:tr>
        <w:trPr>
          <w:trHeight w:val="189"/>
        </w:trPr>
        <w:tc>
          <w:tcPr>
            <w:tcW w:w="1020" w:type="dxa"/>
            <w:vAlign w:val="bottom"/>
            <w:tcBorders>
              <w:left w:val="single" w:sz="8" w:color="015293"/>
              <w:right w:val="single" w:sz="8" w:color="015293"/>
            </w:tcBorders>
          </w:tcPr>
          <w:p>
            <w:pPr>
              <w:spacing w:after="0"/>
              <w:rPr>
                <w:sz w:val="16"/>
                <w:szCs w:val="16"/>
                <w:color w:val="auto"/>
              </w:rPr>
            </w:pPr>
          </w:p>
        </w:tc>
        <w:tc>
          <w:tcPr>
            <w:tcW w:w="1120" w:type="dxa"/>
            <w:vAlign w:val="bottom"/>
            <w:tcBorders>
              <w:right w:val="single" w:sz="8" w:color="015293"/>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less</w:t>
            </w:r>
          </w:p>
        </w:tc>
      </w:tr>
      <w:tr>
        <w:trPr>
          <w:trHeight w:val="180"/>
        </w:trPr>
        <w:tc>
          <w:tcPr>
            <w:tcW w:w="1020" w:type="dxa"/>
            <w:vAlign w:val="bottom"/>
            <w:tcBorders>
              <w:left w:val="single" w:sz="8" w:color="015293"/>
              <w:right w:val="single" w:sz="8" w:color="015293"/>
            </w:tcBorders>
          </w:tcPr>
          <w:p>
            <w:pPr>
              <w:spacing w:after="0"/>
              <w:rPr>
                <w:sz w:val="15"/>
                <w:szCs w:val="15"/>
                <w:color w:val="auto"/>
              </w:rPr>
            </w:pPr>
          </w:p>
        </w:tc>
        <w:tc>
          <w:tcPr>
            <w:tcW w:w="1120" w:type="dxa"/>
            <w:vAlign w:val="bottom"/>
            <w:tcBorders>
              <w:right w:val="single" w:sz="8" w:color="015293"/>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LTD to</w:t>
            </w:r>
          </w:p>
        </w:tc>
      </w:tr>
      <w:tr>
        <w:trPr>
          <w:trHeight w:val="184"/>
        </w:trPr>
        <w:tc>
          <w:tcPr>
            <w:tcW w:w="1020" w:type="dxa"/>
            <w:vAlign w:val="bottom"/>
            <w:tcBorders>
              <w:left w:val="single" w:sz="8" w:color="015293"/>
              <w:right w:val="single" w:sz="8" w:color="015293"/>
            </w:tcBorders>
          </w:tcPr>
          <w:p>
            <w:pPr>
              <w:spacing w:after="0"/>
              <w:rPr>
                <w:sz w:val="16"/>
                <w:szCs w:val="16"/>
                <w:color w:val="auto"/>
              </w:rPr>
            </w:pPr>
          </w:p>
        </w:tc>
        <w:tc>
          <w:tcPr>
            <w:tcW w:w="1120" w:type="dxa"/>
            <w:vAlign w:val="bottom"/>
            <w:tcBorders>
              <w:right w:val="single" w:sz="8" w:color="015293"/>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 of the</w:t>
            </w:r>
          </w:p>
        </w:tc>
      </w:tr>
      <w:tr>
        <w:trPr>
          <w:trHeight w:val="241"/>
        </w:trPr>
        <w:tc>
          <w:tcPr>
            <w:tcW w:w="1020" w:type="dxa"/>
            <w:vAlign w:val="bottom"/>
            <w:tcBorders>
              <w:left w:val="single" w:sz="8" w:color="015293"/>
              <w:bottom w:val="single" w:sz="8" w:color="015293"/>
              <w:right w:val="single" w:sz="8" w:color="015293"/>
            </w:tcBorders>
          </w:tcPr>
          <w:p>
            <w:pPr>
              <w:spacing w:after="0"/>
              <w:rPr>
                <w:sz w:val="20"/>
                <w:szCs w:val="20"/>
                <w:color w:val="auto"/>
              </w:rPr>
            </w:pPr>
          </w:p>
        </w:tc>
        <w:tc>
          <w:tcPr>
            <w:tcW w:w="1120" w:type="dxa"/>
            <w:vAlign w:val="bottom"/>
            <w:tcBorders>
              <w:bottom w:val="single" w:sz="8" w:color="015293"/>
              <w:right w:val="single" w:sz="8" w:color="015293"/>
            </w:tcBorders>
          </w:tcPr>
          <w:p>
            <w:pPr>
              <w:ind w:left="20"/>
              <w:spacing w:after="0"/>
              <w:rPr>
                <w:sz w:val="20"/>
                <w:szCs w:val="20"/>
                <w:color w:val="auto"/>
              </w:rPr>
            </w:pPr>
            <w:r>
              <w:rPr>
                <w:rFonts w:ascii="Times New Roman" w:cs="Times New Roman" w:eastAsia="Times New Roman" w:hAnsi="Times New Roman"/>
                <w:sz w:val="18"/>
                <w:szCs w:val="18"/>
                <w:color w:val="auto"/>
              </w:rPr>
              <w:t>GSI offer</w:t>
            </w:r>
          </w:p>
        </w:tc>
      </w:tr>
      <w:tr>
        <w:trPr>
          <w:trHeight w:val="184"/>
        </w:trPr>
        <w:tc>
          <w:tcPr>
            <w:tcW w:w="1020" w:type="dxa"/>
            <w:vAlign w:val="bottom"/>
            <w:tcBorders>
              <w:left w:val="single" w:sz="8" w:color="015293"/>
              <w:right w:val="single" w:sz="8" w:color="015293"/>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LTD Plan</w:t>
            </w:r>
          </w:p>
        </w:tc>
        <w:tc>
          <w:tcPr>
            <w:tcW w:w="1120" w:type="dxa"/>
            <w:vAlign w:val="bottom"/>
            <w:tcBorders>
              <w:right w:val="single" w:sz="8" w:color="015293"/>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65% of Base</w:t>
            </w:r>
          </w:p>
        </w:tc>
      </w:tr>
      <w:tr>
        <w:trPr>
          <w:trHeight w:val="180"/>
        </w:trPr>
        <w:tc>
          <w:tcPr>
            <w:tcW w:w="1020" w:type="dxa"/>
            <w:vAlign w:val="bottom"/>
            <w:tcBorders>
              <w:left w:val="single" w:sz="8" w:color="015293"/>
              <w:right w:val="single" w:sz="8" w:color="015293"/>
            </w:tcBorders>
          </w:tcPr>
          <w:p>
            <w:pPr>
              <w:spacing w:after="0"/>
              <w:rPr>
                <w:sz w:val="15"/>
                <w:szCs w:val="15"/>
                <w:color w:val="auto"/>
              </w:rPr>
            </w:pPr>
          </w:p>
        </w:tc>
        <w:tc>
          <w:tcPr>
            <w:tcW w:w="1120" w:type="dxa"/>
            <w:vAlign w:val="bottom"/>
            <w:tcBorders>
              <w:right w:val="single" w:sz="8" w:color="015293"/>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Salary to a</w:t>
            </w:r>
          </w:p>
        </w:tc>
      </w:tr>
      <w:tr>
        <w:trPr>
          <w:trHeight w:val="184"/>
        </w:trPr>
        <w:tc>
          <w:tcPr>
            <w:tcW w:w="1020" w:type="dxa"/>
            <w:vAlign w:val="bottom"/>
            <w:tcBorders>
              <w:left w:val="single" w:sz="8" w:color="015293"/>
              <w:right w:val="single" w:sz="8" w:color="015293"/>
            </w:tcBorders>
          </w:tcPr>
          <w:p>
            <w:pPr>
              <w:spacing w:after="0"/>
              <w:rPr>
                <w:sz w:val="16"/>
                <w:szCs w:val="16"/>
                <w:color w:val="auto"/>
              </w:rPr>
            </w:pPr>
          </w:p>
        </w:tc>
        <w:tc>
          <w:tcPr>
            <w:tcW w:w="1120" w:type="dxa"/>
            <w:vAlign w:val="bottom"/>
            <w:tcBorders>
              <w:right w:val="single" w:sz="8" w:color="015293"/>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maximum of</w:t>
            </w:r>
          </w:p>
        </w:tc>
      </w:tr>
      <w:tr>
        <w:trPr>
          <w:trHeight w:val="189"/>
        </w:trPr>
        <w:tc>
          <w:tcPr>
            <w:tcW w:w="1020" w:type="dxa"/>
            <w:vAlign w:val="bottom"/>
            <w:tcBorders>
              <w:left w:val="single" w:sz="8" w:color="015293"/>
              <w:right w:val="single" w:sz="8" w:color="015293"/>
            </w:tcBorders>
          </w:tcPr>
          <w:p>
            <w:pPr>
              <w:spacing w:after="0"/>
              <w:rPr>
                <w:sz w:val="16"/>
                <w:szCs w:val="16"/>
                <w:color w:val="auto"/>
              </w:rPr>
            </w:pPr>
          </w:p>
        </w:tc>
        <w:tc>
          <w:tcPr>
            <w:tcW w:w="1120" w:type="dxa"/>
            <w:vAlign w:val="bottom"/>
            <w:tcBorders>
              <w:right w:val="single" w:sz="8" w:color="015293"/>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$15,000,</w:t>
            </w:r>
          </w:p>
        </w:tc>
      </w:tr>
      <w:tr>
        <w:trPr>
          <w:trHeight w:val="180"/>
        </w:trPr>
        <w:tc>
          <w:tcPr>
            <w:tcW w:w="1020" w:type="dxa"/>
            <w:vAlign w:val="bottom"/>
            <w:tcBorders>
              <w:left w:val="single" w:sz="8" w:color="015293"/>
              <w:right w:val="single" w:sz="8" w:color="015293"/>
            </w:tcBorders>
          </w:tcPr>
          <w:p>
            <w:pPr>
              <w:spacing w:after="0"/>
              <w:rPr>
                <w:sz w:val="15"/>
                <w:szCs w:val="15"/>
                <w:color w:val="auto"/>
              </w:rPr>
            </w:pPr>
          </w:p>
        </w:tc>
        <w:tc>
          <w:tcPr>
            <w:tcW w:w="1120" w:type="dxa"/>
            <w:vAlign w:val="bottom"/>
            <w:tcBorders>
              <w:right w:val="single" w:sz="8" w:color="015293"/>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100%</w:t>
            </w:r>
          </w:p>
        </w:tc>
      </w:tr>
      <w:tr>
        <w:trPr>
          <w:trHeight w:val="184"/>
        </w:trPr>
        <w:tc>
          <w:tcPr>
            <w:tcW w:w="1020" w:type="dxa"/>
            <w:vAlign w:val="bottom"/>
            <w:tcBorders>
              <w:left w:val="single" w:sz="8" w:color="015293"/>
              <w:right w:val="single" w:sz="8" w:color="015293"/>
            </w:tcBorders>
          </w:tcPr>
          <w:p>
            <w:pPr>
              <w:spacing w:after="0"/>
              <w:rPr>
                <w:sz w:val="16"/>
                <w:szCs w:val="16"/>
                <w:color w:val="auto"/>
              </w:rPr>
            </w:pPr>
          </w:p>
        </w:tc>
        <w:tc>
          <w:tcPr>
            <w:tcW w:w="1120" w:type="dxa"/>
            <w:vAlign w:val="bottom"/>
            <w:tcBorders>
              <w:right w:val="single" w:sz="8" w:color="015293"/>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Employer</w:t>
            </w:r>
          </w:p>
        </w:tc>
      </w:tr>
      <w:tr>
        <w:trPr>
          <w:trHeight w:val="241"/>
        </w:trPr>
        <w:tc>
          <w:tcPr>
            <w:tcW w:w="1020" w:type="dxa"/>
            <w:vAlign w:val="bottom"/>
            <w:tcBorders>
              <w:left w:val="single" w:sz="8" w:color="015293"/>
              <w:bottom w:val="single" w:sz="8" w:color="015293"/>
              <w:right w:val="single" w:sz="8" w:color="015293"/>
            </w:tcBorders>
          </w:tcPr>
          <w:p>
            <w:pPr>
              <w:spacing w:after="0"/>
              <w:rPr>
                <w:sz w:val="20"/>
                <w:szCs w:val="20"/>
                <w:color w:val="auto"/>
              </w:rPr>
            </w:pPr>
          </w:p>
        </w:tc>
        <w:tc>
          <w:tcPr>
            <w:tcW w:w="1120" w:type="dxa"/>
            <w:vAlign w:val="bottom"/>
            <w:tcBorders>
              <w:bottom w:val="single" w:sz="8" w:color="015293"/>
              <w:right w:val="single" w:sz="8" w:color="015293"/>
            </w:tcBorders>
          </w:tcPr>
          <w:p>
            <w:pPr>
              <w:ind w:left="20"/>
              <w:spacing w:after="0"/>
              <w:rPr>
                <w:sz w:val="20"/>
                <w:szCs w:val="20"/>
                <w:color w:val="auto"/>
              </w:rPr>
            </w:pPr>
            <w:r>
              <w:rPr>
                <w:rFonts w:ascii="Times New Roman" w:cs="Times New Roman" w:eastAsia="Times New Roman" w:hAnsi="Times New Roman"/>
                <w:sz w:val="18"/>
                <w:szCs w:val="18"/>
                <w:color w:val="auto"/>
              </w:rPr>
              <w:t>Paid</w:t>
            </w:r>
          </w:p>
        </w:tc>
      </w:tr>
      <w:tr>
        <w:trPr>
          <w:trHeight w:val="175"/>
        </w:trPr>
        <w:tc>
          <w:tcPr>
            <w:tcW w:w="1020" w:type="dxa"/>
            <w:vAlign w:val="bottom"/>
            <w:tcBorders>
              <w:left w:val="single" w:sz="8" w:color="015293"/>
              <w:right w:val="single" w:sz="8" w:color="015293"/>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GSI Benefit</w:t>
            </w:r>
          </w:p>
        </w:tc>
        <w:tc>
          <w:tcPr>
            <w:tcW w:w="1120" w:type="dxa"/>
            <w:vAlign w:val="bottom"/>
            <w:tcBorders>
              <w:right w:val="single" w:sz="8" w:color="015293"/>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$10,000</w:t>
            </w:r>
          </w:p>
        </w:tc>
      </w:tr>
      <w:tr>
        <w:trPr>
          <w:trHeight w:val="239"/>
        </w:trPr>
        <w:tc>
          <w:tcPr>
            <w:tcW w:w="1020" w:type="dxa"/>
            <w:vAlign w:val="bottom"/>
            <w:tcBorders>
              <w:left w:val="single" w:sz="8" w:color="015293"/>
              <w:bottom w:val="single" w:sz="8" w:color="015293"/>
              <w:right w:val="single" w:sz="8" w:color="015293"/>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1120" w:type="dxa"/>
            <w:vAlign w:val="bottom"/>
            <w:tcBorders>
              <w:bottom w:val="single" w:sz="8" w:color="015293"/>
              <w:right w:val="single" w:sz="8" w:color="015293"/>
            </w:tcBorders>
          </w:tcPr>
          <w:p>
            <w:pPr>
              <w:spacing w:after="0"/>
              <w:rPr>
                <w:sz w:val="20"/>
                <w:szCs w:val="20"/>
                <w:color w:val="auto"/>
              </w:rPr>
            </w:pPr>
          </w:p>
        </w:tc>
      </w:tr>
      <w:tr>
        <w:trPr>
          <w:trHeight w:val="182"/>
        </w:trPr>
        <w:tc>
          <w:tcPr>
            <w:tcW w:w="1020" w:type="dxa"/>
            <w:vAlign w:val="bottom"/>
            <w:tcBorders>
              <w:left w:val="single" w:sz="8" w:color="015293"/>
              <w:right w:val="single" w:sz="8" w:color="015293"/>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Elimination</w:t>
            </w:r>
          </w:p>
        </w:tc>
        <w:tc>
          <w:tcPr>
            <w:tcW w:w="1120" w:type="dxa"/>
            <w:vAlign w:val="bottom"/>
            <w:tcBorders>
              <w:right w:val="single" w:sz="8" w:color="015293"/>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180 days</w:t>
            </w:r>
          </w:p>
        </w:tc>
      </w:tr>
      <w:tr>
        <w:trPr>
          <w:trHeight w:val="234"/>
        </w:trPr>
        <w:tc>
          <w:tcPr>
            <w:tcW w:w="1020" w:type="dxa"/>
            <w:vAlign w:val="bottom"/>
            <w:tcBorders>
              <w:left w:val="single" w:sz="8" w:color="015293"/>
              <w:bottom w:val="single" w:sz="8" w:color="015293"/>
              <w:right w:val="single" w:sz="8" w:color="015293"/>
            </w:tcBorders>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1120" w:type="dxa"/>
            <w:vAlign w:val="bottom"/>
            <w:tcBorders>
              <w:bottom w:val="single" w:sz="8" w:color="015293"/>
              <w:right w:val="single" w:sz="8" w:color="015293"/>
            </w:tcBorders>
          </w:tcPr>
          <w:p>
            <w:pPr>
              <w:spacing w:after="0"/>
              <w:rPr>
                <w:sz w:val="20"/>
                <w:szCs w:val="20"/>
                <w:color w:val="auto"/>
              </w:rPr>
            </w:pPr>
          </w:p>
        </w:tc>
      </w:tr>
      <w:tr>
        <w:trPr>
          <w:trHeight w:val="178"/>
        </w:trPr>
        <w:tc>
          <w:tcPr>
            <w:tcW w:w="1020" w:type="dxa"/>
            <w:vAlign w:val="bottom"/>
            <w:tcBorders>
              <w:left w:val="single" w:sz="8" w:color="015293"/>
              <w:right w:val="single" w:sz="8" w:color="015293"/>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Benefit</w:t>
            </w:r>
          </w:p>
        </w:tc>
        <w:tc>
          <w:tcPr>
            <w:tcW w:w="1120" w:type="dxa"/>
            <w:vAlign w:val="bottom"/>
            <w:tcBorders>
              <w:right w:val="single" w:sz="8" w:color="015293"/>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To Age 65</w:t>
            </w:r>
          </w:p>
        </w:tc>
      </w:tr>
      <w:tr>
        <w:trPr>
          <w:trHeight w:val="234"/>
        </w:trPr>
        <w:tc>
          <w:tcPr>
            <w:tcW w:w="1020" w:type="dxa"/>
            <w:vAlign w:val="bottom"/>
            <w:tcBorders>
              <w:left w:val="single" w:sz="8" w:color="015293"/>
              <w:bottom w:val="single" w:sz="8" w:color="015293"/>
              <w:right w:val="single" w:sz="8" w:color="015293"/>
            </w:tcBorders>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1120" w:type="dxa"/>
            <w:vAlign w:val="bottom"/>
            <w:tcBorders>
              <w:bottom w:val="single" w:sz="8" w:color="015293"/>
              <w:right w:val="single" w:sz="8" w:color="015293"/>
            </w:tcBorders>
          </w:tcPr>
          <w:p>
            <w:pPr>
              <w:spacing w:after="0"/>
              <w:rPr>
                <w:sz w:val="20"/>
                <w:szCs w:val="20"/>
                <w:color w:val="auto"/>
              </w:rPr>
            </w:pPr>
          </w:p>
        </w:tc>
      </w:tr>
      <w:tr>
        <w:trPr>
          <w:trHeight w:val="178"/>
        </w:trPr>
        <w:tc>
          <w:tcPr>
            <w:tcW w:w="1020" w:type="dxa"/>
            <w:vAlign w:val="bottom"/>
            <w:tcBorders>
              <w:left w:val="single" w:sz="8" w:color="015293"/>
              <w:right w:val="single" w:sz="8" w:color="015293"/>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Contract</w:t>
            </w:r>
          </w:p>
        </w:tc>
        <w:tc>
          <w:tcPr>
            <w:tcW w:w="1120" w:type="dxa"/>
            <w:vAlign w:val="bottom"/>
            <w:tcBorders>
              <w:right w:val="single" w:sz="8" w:color="015293"/>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850 NC</w:t>
            </w:r>
          </w:p>
        </w:tc>
      </w:tr>
      <w:tr>
        <w:trPr>
          <w:trHeight w:val="234"/>
        </w:trPr>
        <w:tc>
          <w:tcPr>
            <w:tcW w:w="1020" w:type="dxa"/>
            <w:vAlign w:val="bottom"/>
            <w:tcBorders>
              <w:left w:val="single" w:sz="8" w:color="015293"/>
              <w:bottom w:val="single" w:sz="8" w:color="015293"/>
              <w:right w:val="single" w:sz="8" w:color="015293"/>
            </w:tcBorders>
          </w:tcPr>
          <w:p>
            <w:pPr>
              <w:ind w:left="40"/>
              <w:spacing w:after="0"/>
              <w:rPr>
                <w:sz w:val="20"/>
                <w:szCs w:val="20"/>
                <w:color w:val="auto"/>
              </w:rPr>
            </w:pPr>
            <w:r>
              <w:rPr>
                <w:rFonts w:ascii="Times New Roman" w:cs="Times New Roman" w:eastAsia="Times New Roman" w:hAnsi="Times New Roman"/>
                <w:sz w:val="18"/>
                <w:szCs w:val="18"/>
                <w:color w:val="auto"/>
              </w:rPr>
              <w:t>Type*</w:t>
            </w:r>
          </w:p>
        </w:tc>
        <w:tc>
          <w:tcPr>
            <w:tcW w:w="1120" w:type="dxa"/>
            <w:vAlign w:val="bottom"/>
            <w:tcBorders>
              <w:bottom w:val="single" w:sz="8" w:color="015293"/>
              <w:right w:val="single" w:sz="8" w:color="015293"/>
            </w:tcBorders>
          </w:tcPr>
          <w:p>
            <w:pPr>
              <w:spacing w:after="0"/>
              <w:rPr>
                <w:sz w:val="20"/>
                <w:szCs w:val="20"/>
                <w:color w:val="auto"/>
              </w:rPr>
            </w:pPr>
          </w:p>
        </w:tc>
      </w:tr>
      <w:tr>
        <w:trPr>
          <w:trHeight w:val="178"/>
        </w:trPr>
        <w:tc>
          <w:tcPr>
            <w:tcW w:w="1020" w:type="dxa"/>
            <w:vAlign w:val="bottom"/>
            <w:tcBorders>
              <w:left w:val="single" w:sz="8" w:color="015293"/>
              <w:right w:val="single" w:sz="8" w:color="015293"/>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Contributory</w:t>
            </w:r>
          </w:p>
        </w:tc>
        <w:tc>
          <w:tcPr>
            <w:tcW w:w="1120" w:type="dxa"/>
            <w:vAlign w:val="bottom"/>
            <w:tcBorders>
              <w:right w:val="single" w:sz="8" w:color="015293"/>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Employer</w:t>
            </w:r>
          </w:p>
        </w:tc>
      </w:tr>
      <w:tr>
        <w:trPr>
          <w:trHeight w:val="234"/>
        </w:trPr>
        <w:tc>
          <w:tcPr>
            <w:tcW w:w="1020" w:type="dxa"/>
            <w:vAlign w:val="bottom"/>
            <w:tcBorders>
              <w:left w:val="single" w:sz="8" w:color="015293"/>
              <w:bottom w:val="single" w:sz="8" w:color="015293"/>
              <w:right w:val="single" w:sz="8" w:color="015293"/>
            </w:tcBorders>
          </w:tcPr>
          <w:p>
            <w:pPr>
              <w:ind w:left="40"/>
              <w:spacing w:after="0"/>
              <w:rPr>
                <w:sz w:val="20"/>
                <w:szCs w:val="20"/>
                <w:color w:val="auto"/>
              </w:rPr>
            </w:pPr>
            <w:r>
              <w:rPr>
                <w:rFonts w:ascii="Times New Roman" w:cs="Times New Roman" w:eastAsia="Times New Roman" w:hAnsi="Times New Roman"/>
                <w:sz w:val="18"/>
                <w:szCs w:val="18"/>
                <w:color w:val="auto"/>
              </w:rPr>
              <w:t>Status</w:t>
            </w:r>
          </w:p>
        </w:tc>
        <w:tc>
          <w:tcPr>
            <w:tcW w:w="1120" w:type="dxa"/>
            <w:vAlign w:val="bottom"/>
            <w:tcBorders>
              <w:bottom w:val="single" w:sz="8" w:color="015293"/>
              <w:right w:val="single" w:sz="8" w:color="015293"/>
            </w:tcBorders>
          </w:tcPr>
          <w:p>
            <w:pPr>
              <w:ind w:left="20"/>
              <w:spacing w:after="0"/>
              <w:rPr>
                <w:sz w:val="20"/>
                <w:szCs w:val="20"/>
                <w:color w:val="auto"/>
              </w:rPr>
            </w:pPr>
            <w:r>
              <w:rPr>
                <w:rFonts w:ascii="Times New Roman" w:cs="Times New Roman" w:eastAsia="Times New Roman" w:hAnsi="Times New Roman"/>
                <w:sz w:val="18"/>
                <w:szCs w:val="18"/>
                <w:color w:val="auto"/>
              </w:rPr>
              <w:t>Paid</w:t>
            </w:r>
          </w:p>
        </w:tc>
      </w:tr>
      <w:tr>
        <w:trPr>
          <w:trHeight w:val="178"/>
        </w:trPr>
        <w:tc>
          <w:tcPr>
            <w:tcW w:w="1020" w:type="dxa"/>
            <w:vAlign w:val="bottom"/>
            <w:tcBorders>
              <w:left w:val="single" w:sz="8" w:color="015293"/>
              <w:right w:val="single" w:sz="8" w:color="015293"/>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Participation</w:t>
            </w:r>
          </w:p>
        </w:tc>
        <w:tc>
          <w:tcPr>
            <w:tcW w:w="1120" w:type="dxa"/>
            <w:vAlign w:val="bottom"/>
            <w:tcBorders>
              <w:right w:val="single" w:sz="8" w:color="015293"/>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100% (of all</w:t>
            </w:r>
          </w:p>
        </w:tc>
      </w:tr>
      <w:tr>
        <w:trPr>
          <w:trHeight w:val="234"/>
        </w:trPr>
        <w:tc>
          <w:tcPr>
            <w:tcW w:w="1020" w:type="dxa"/>
            <w:vAlign w:val="bottom"/>
            <w:tcBorders>
              <w:left w:val="single" w:sz="8" w:color="015293"/>
              <w:bottom w:val="single" w:sz="8" w:color="015293"/>
              <w:right w:val="single" w:sz="8" w:color="015293"/>
            </w:tcBorders>
          </w:tcPr>
          <w:p>
            <w:pPr>
              <w:ind w:left="40"/>
              <w:spacing w:after="0"/>
              <w:rPr>
                <w:sz w:val="20"/>
                <w:szCs w:val="20"/>
                <w:color w:val="auto"/>
              </w:rPr>
            </w:pPr>
            <w:r>
              <w:rPr>
                <w:rFonts w:ascii="Times New Roman" w:cs="Times New Roman" w:eastAsia="Times New Roman" w:hAnsi="Times New Roman"/>
                <w:sz w:val="18"/>
                <w:szCs w:val="18"/>
                <w:color w:val="auto"/>
              </w:rPr>
              <w:t>Requirement</w:t>
            </w:r>
          </w:p>
        </w:tc>
        <w:tc>
          <w:tcPr>
            <w:tcW w:w="1120" w:type="dxa"/>
            <w:vAlign w:val="bottom"/>
            <w:tcBorders>
              <w:bottom w:val="single" w:sz="8" w:color="015293"/>
              <w:right w:val="single" w:sz="8" w:color="015293"/>
            </w:tcBorders>
          </w:tcPr>
          <w:p>
            <w:pPr>
              <w:ind w:left="20"/>
              <w:spacing w:after="0"/>
              <w:rPr>
                <w:sz w:val="20"/>
                <w:szCs w:val="20"/>
                <w:color w:val="auto"/>
              </w:rPr>
            </w:pPr>
            <w:r>
              <w:rPr>
                <w:rFonts w:ascii="Times New Roman" w:cs="Times New Roman" w:eastAsia="Times New Roman" w:hAnsi="Times New Roman"/>
                <w:sz w:val="18"/>
                <w:szCs w:val="18"/>
                <w:color w:val="auto"/>
              </w:rPr>
              <w:t>eligible lives)</w:t>
            </w:r>
          </w:p>
        </w:tc>
      </w:tr>
      <w:tr>
        <w:trPr>
          <w:trHeight w:val="178"/>
        </w:trPr>
        <w:tc>
          <w:tcPr>
            <w:tcW w:w="1020" w:type="dxa"/>
            <w:vAlign w:val="bottom"/>
            <w:tcBorders>
              <w:left w:val="single" w:sz="8" w:color="015293"/>
              <w:right w:val="single" w:sz="8" w:color="015293"/>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Discount *</w:t>
            </w:r>
          </w:p>
        </w:tc>
        <w:tc>
          <w:tcPr>
            <w:tcW w:w="1120" w:type="dxa"/>
            <w:vAlign w:val="bottom"/>
            <w:tcBorders>
              <w:right w:val="single" w:sz="8" w:color="015293"/>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45%Large</w:t>
            </w:r>
          </w:p>
        </w:tc>
      </w:tr>
      <w:tr>
        <w:trPr>
          <w:trHeight w:val="234"/>
        </w:trPr>
        <w:tc>
          <w:tcPr>
            <w:tcW w:w="1020" w:type="dxa"/>
            <w:vAlign w:val="bottom"/>
            <w:tcBorders>
              <w:left w:val="single" w:sz="8" w:color="015293"/>
              <w:bottom w:val="single" w:sz="8" w:color="015293"/>
              <w:right w:val="single" w:sz="8" w:color="015293"/>
            </w:tcBorders>
          </w:tcPr>
          <w:p>
            <w:pPr>
              <w:spacing w:after="0"/>
              <w:rPr>
                <w:sz w:val="20"/>
                <w:szCs w:val="20"/>
                <w:color w:val="auto"/>
              </w:rPr>
            </w:pPr>
          </w:p>
        </w:tc>
        <w:tc>
          <w:tcPr>
            <w:tcW w:w="1120" w:type="dxa"/>
            <w:vAlign w:val="bottom"/>
            <w:tcBorders>
              <w:bottom w:val="single" w:sz="8" w:color="015293"/>
              <w:right w:val="single" w:sz="8" w:color="015293"/>
            </w:tcBorders>
          </w:tcPr>
          <w:p>
            <w:pPr>
              <w:ind w:left="20"/>
              <w:spacing w:after="0"/>
              <w:rPr>
                <w:sz w:val="20"/>
                <w:szCs w:val="20"/>
                <w:color w:val="auto"/>
              </w:rPr>
            </w:pPr>
            <w:r>
              <w:rPr>
                <w:rFonts w:ascii="Times New Roman" w:cs="Times New Roman" w:eastAsia="Times New Roman" w:hAnsi="Times New Roman"/>
                <w:sz w:val="18"/>
                <w:szCs w:val="18"/>
                <w:color w:val="auto"/>
              </w:rPr>
              <w:t>Case</w:t>
            </w:r>
          </w:p>
        </w:tc>
      </w:tr>
      <w:tr>
        <w:trPr>
          <w:trHeight w:val="218"/>
        </w:trPr>
        <w:tc>
          <w:tcPr>
            <w:tcW w:w="1020" w:type="dxa"/>
            <w:vAlign w:val="bottom"/>
            <w:tcBorders>
              <w:left w:val="single" w:sz="8" w:color="015293"/>
              <w:right w:val="single" w:sz="8" w:color="015293"/>
            </w:tcBorders>
          </w:tcPr>
          <w:p>
            <w:pPr>
              <w:ind w:left="40"/>
              <w:spacing w:after="0"/>
              <w:rPr>
                <w:sz w:val="20"/>
                <w:szCs w:val="20"/>
                <w:color w:val="auto"/>
              </w:rPr>
            </w:pPr>
            <w:r>
              <w:rPr>
                <w:rFonts w:ascii="Times New Roman" w:cs="Times New Roman" w:eastAsia="Times New Roman" w:hAnsi="Times New Roman"/>
                <w:sz w:val="18"/>
                <w:szCs w:val="18"/>
                <w:color w:val="auto"/>
              </w:rPr>
              <w:t>Optional</w:t>
            </w:r>
          </w:p>
        </w:tc>
        <w:tc>
          <w:tcPr>
            <w:tcW w:w="1120" w:type="dxa"/>
            <w:vAlign w:val="bottom"/>
            <w:tcBorders>
              <w:right w:val="single" w:sz="8" w:color="015293"/>
            </w:tcBorders>
          </w:tcPr>
          <w:p>
            <w:pPr>
              <w:ind w:left="20"/>
              <w:spacing w:after="0"/>
              <w:rPr>
                <w:sz w:val="20"/>
                <w:szCs w:val="20"/>
                <w:color w:val="auto"/>
              </w:rPr>
            </w:pPr>
            <w:r>
              <w:rPr>
                <w:rFonts w:ascii="Times New Roman" w:cs="Times New Roman" w:eastAsia="Times New Roman" w:hAnsi="Times New Roman"/>
                <w:sz w:val="18"/>
                <w:szCs w:val="18"/>
                <w:color w:val="auto"/>
              </w:rPr>
              <w:t>Catastrophic</w:t>
            </w:r>
          </w:p>
        </w:tc>
      </w:tr>
      <w:tr>
        <w:trPr>
          <w:trHeight w:val="216"/>
        </w:trPr>
        <w:tc>
          <w:tcPr>
            <w:tcW w:w="1020" w:type="dxa"/>
            <w:vAlign w:val="bottom"/>
            <w:tcBorders>
              <w:left w:val="single" w:sz="8" w:color="015293"/>
              <w:right w:val="single" w:sz="8" w:color="015293"/>
            </w:tcBorders>
          </w:tcPr>
          <w:p>
            <w:pPr>
              <w:ind w:left="40"/>
              <w:spacing w:after="0"/>
              <w:rPr>
                <w:sz w:val="20"/>
                <w:szCs w:val="20"/>
                <w:color w:val="auto"/>
              </w:rPr>
            </w:pPr>
            <w:r>
              <w:rPr>
                <w:rFonts w:ascii="Times New Roman" w:cs="Times New Roman" w:eastAsia="Times New Roman" w:hAnsi="Times New Roman"/>
                <w:sz w:val="18"/>
                <w:szCs w:val="18"/>
                <w:color w:val="auto"/>
              </w:rPr>
              <w:t>Additional</w:t>
            </w:r>
          </w:p>
        </w:tc>
        <w:tc>
          <w:tcPr>
            <w:tcW w:w="1120" w:type="dxa"/>
            <w:vAlign w:val="bottom"/>
            <w:tcBorders>
              <w:right w:val="single" w:sz="8" w:color="015293"/>
            </w:tcBorders>
          </w:tcPr>
          <w:p>
            <w:pPr>
              <w:ind w:left="20"/>
              <w:spacing w:after="0"/>
              <w:rPr>
                <w:sz w:val="20"/>
                <w:szCs w:val="20"/>
                <w:color w:val="auto"/>
              </w:rPr>
            </w:pPr>
            <w:r>
              <w:rPr>
                <w:rFonts w:ascii="Times New Roman" w:cs="Times New Roman" w:eastAsia="Times New Roman" w:hAnsi="Times New Roman"/>
                <w:sz w:val="18"/>
                <w:szCs w:val="18"/>
                <w:color w:val="auto"/>
              </w:rPr>
              <w:t>Disability</w:t>
            </w:r>
          </w:p>
        </w:tc>
      </w:tr>
      <w:tr>
        <w:trPr>
          <w:trHeight w:val="212"/>
        </w:trPr>
        <w:tc>
          <w:tcPr>
            <w:tcW w:w="1020" w:type="dxa"/>
            <w:vAlign w:val="bottom"/>
            <w:tcBorders>
              <w:left w:val="single" w:sz="8" w:color="015293"/>
              <w:right w:val="single" w:sz="8" w:color="015293"/>
            </w:tcBorders>
          </w:tcPr>
          <w:p>
            <w:pPr>
              <w:ind w:left="40"/>
              <w:spacing w:after="0"/>
              <w:rPr>
                <w:sz w:val="20"/>
                <w:szCs w:val="20"/>
                <w:color w:val="auto"/>
              </w:rPr>
            </w:pPr>
            <w:r>
              <w:rPr>
                <w:rFonts w:ascii="Times New Roman" w:cs="Times New Roman" w:eastAsia="Times New Roman" w:hAnsi="Times New Roman"/>
                <w:sz w:val="18"/>
                <w:szCs w:val="18"/>
                <w:color w:val="auto"/>
              </w:rPr>
              <w:t>Benefits: *</w:t>
            </w:r>
          </w:p>
        </w:tc>
        <w:tc>
          <w:tcPr>
            <w:tcW w:w="1120" w:type="dxa"/>
            <w:vAlign w:val="bottom"/>
            <w:tcBorders>
              <w:right w:val="single" w:sz="8" w:color="015293"/>
            </w:tcBorders>
          </w:tcPr>
          <w:p>
            <w:pPr>
              <w:ind w:left="20"/>
              <w:spacing w:after="0"/>
              <w:rPr>
                <w:sz w:val="20"/>
                <w:szCs w:val="20"/>
                <w:color w:val="auto"/>
              </w:rPr>
            </w:pPr>
            <w:r>
              <w:rPr>
                <w:rFonts w:ascii="Times New Roman" w:cs="Times New Roman" w:eastAsia="Times New Roman" w:hAnsi="Times New Roman"/>
                <w:sz w:val="18"/>
                <w:szCs w:val="18"/>
                <w:color w:val="auto"/>
              </w:rPr>
              <w:t>Benefit 25%</w:t>
            </w:r>
          </w:p>
        </w:tc>
      </w:tr>
      <w:tr>
        <w:trPr>
          <w:trHeight w:val="220"/>
        </w:trPr>
        <w:tc>
          <w:tcPr>
            <w:tcW w:w="1020" w:type="dxa"/>
            <w:vAlign w:val="bottom"/>
            <w:tcBorders>
              <w:left w:val="single" w:sz="8" w:color="015293"/>
              <w:right w:val="single" w:sz="8" w:color="015293"/>
            </w:tcBorders>
          </w:tcPr>
          <w:p>
            <w:pPr>
              <w:spacing w:after="0"/>
              <w:rPr>
                <w:sz w:val="19"/>
                <w:szCs w:val="19"/>
                <w:color w:val="auto"/>
              </w:rPr>
            </w:pPr>
          </w:p>
        </w:tc>
        <w:tc>
          <w:tcPr>
            <w:tcW w:w="1120" w:type="dxa"/>
            <w:vAlign w:val="bottom"/>
            <w:tcBorders>
              <w:right w:val="single" w:sz="8" w:color="015293"/>
            </w:tcBorders>
          </w:tcPr>
          <w:p>
            <w:pPr>
              <w:ind w:left="20"/>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$12,500</w:t>
            </w:r>
          </w:p>
        </w:tc>
      </w:tr>
      <w:tr>
        <w:trPr>
          <w:trHeight w:val="216"/>
        </w:trPr>
        <w:tc>
          <w:tcPr>
            <w:tcW w:w="1020" w:type="dxa"/>
            <w:vAlign w:val="bottom"/>
            <w:tcBorders>
              <w:left w:val="single" w:sz="8" w:color="015293"/>
              <w:right w:val="single" w:sz="8" w:color="015293"/>
            </w:tcBorders>
          </w:tcPr>
          <w:p>
            <w:pPr>
              <w:spacing w:after="0"/>
              <w:rPr>
                <w:sz w:val="18"/>
                <w:szCs w:val="18"/>
                <w:color w:val="auto"/>
              </w:rPr>
            </w:pPr>
          </w:p>
        </w:tc>
        <w:tc>
          <w:tcPr>
            <w:tcW w:w="1120" w:type="dxa"/>
            <w:vAlign w:val="bottom"/>
            <w:tcBorders>
              <w:right w:val="single" w:sz="8" w:color="015293"/>
            </w:tcBorders>
          </w:tcPr>
          <w:p>
            <w:pPr>
              <w:ind w:left="20"/>
              <w:spacing w:after="0"/>
              <w:rPr>
                <w:sz w:val="20"/>
                <w:szCs w:val="20"/>
                <w:color w:val="auto"/>
              </w:rPr>
            </w:pPr>
            <w:r>
              <w:rPr>
                <w:rFonts w:ascii="Times New Roman" w:cs="Times New Roman" w:eastAsia="Times New Roman" w:hAnsi="Times New Roman"/>
                <w:sz w:val="18"/>
                <w:szCs w:val="18"/>
                <w:color w:val="auto"/>
              </w:rPr>
              <w:t>(not to exceed</w:t>
            </w:r>
          </w:p>
        </w:tc>
      </w:tr>
      <w:tr>
        <w:trPr>
          <w:trHeight w:val="203"/>
        </w:trPr>
        <w:tc>
          <w:tcPr>
            <w:tcW w:w="1020" w:type="dxa"/>
            <w:vAlign w:val="bottom"/>
            <w:tcBorders>
              <w:left w:val="single" w:sz="8" w:color="015293"/>
              <w:right w:val="single" w:sz="8" w:color="015293"/>
            </w:tcBorders>
          </w:tcPr>
          <w:p>
            <w:pPr>
              <w:spacing w:after="0"/>
              <w:rPr>
                <w:sz w:val="17"/>
                <w:szCs w:val="17"/>
                <w:color w:val="auto"/>
              </w:rPr>
            </w:pPr>
          </w:p>
        </w:tc>
        <w:tc>
          <w:tcPr>
            <w:tcW w:w="1120" w:type="dxa"/>
            <w:vAlign w:val="bottom"/>
            <w:tcBorders>
              <w:right w:val="single" w:sz="8" w:color="015293"/>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189"/>
        </w:trPr>
        <w:tc>
          <w:tcPr>
            <w:tcW w:w="1020" w:type="dxa"/>
            <w:vAlign w:val="bottom"/>
            <w:tcBorders>
              <w:left w:val="single" w:sz="8" w:color="015293"/>
              <w:right w:val="single" w:sz="8" w:color="015293"/>
            </w:tcBorders>
          </w:tcPr>
          <w:p>
            <w:pPr>
              <w:spacing w:after="0"/>
              <w:rPr>
                <w:sz w:val="16"/>
                <w:szCs w:val="16"/>
                <w:color w:val="auto"/>
              </w:rPr>
            </w:pPr>
          </w:p>
        </w:tc>
        <w:tc>
          <w:tcPr>
            <w:tcW w:w="1120" w:type="dxa"/>
            <w:vAlign w:val="bottom"/>
            <w:tcBorders>
              <w:right w:val="single" w:sz="8" w:color="015293"/>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w:t>
            </w:r>
          </w:p>
        </w:tc>
      </w:tr>
      <w:tr>
        <w:trPr>
          <w:trHeight w:val="234"/>
        </w:trPr>
        <w:tc>
          <w:tcPr>
            <w:tcW w:w="1020" w:type="dxa"/>
            <w:vAlign w:val="bottom"/>
            <w:tcBorders>
              <w:left w:val="single" w:sz="8" w:color="015293"/>
              <w:bottom w:val="single" w:sz="8" w:color="015293"/>
              <w:right w:val="single" w:sz="8" w:color="015293"/>
            </w:tcBorders>
          </w:tcPr>
          <w:p>
            <w:pPr>
              <w:spacing w:after="0"/>
              <w:rPr>
                <w:sz w:val="20"/>
                <w:szCs w:val="20"/>
                <w:color w:val="auto"/>
              </w:rPr>
            </w:pPr>
          </w:p>
        </w:tc>
        <w:tc>
          <w:tcPr>
            <w:tcW w:w="1120" w:type="dxa"/>
            <w:vAlign w:val="bottom"/>
            <w:tcBorders>
              <w:bottom w:val="single" w:sz="8" w:color="015293"/>
              <w:right w:val="single" w:sz="8" w:color="015293"/>
            </w:tcBorders>
          </w:tcPr>
          <w:p>
            <w:pPr>
              <w:ind w:left="20"/>
              <w:spacing w:after="0"/>
              <w:rPr>
                <w:sz w:val="20"/>
                <w:szCs w:val="20"/>
                <w:color w:val="auto"/>
              </w:rPr>
            </w:pPr>
            <w:r>
              <w:rPr>
                <w:rFonts w:ascii="Times New Roman" w:cs="Times New Roman" w:eastAsia="Times New Roman" w:hAnsi="Times New Roman"/>
                <w:sz w:val="18"/>
                <w:szCs w:val="18"/>
                <w:color w:val="auto"/>
              </w:rPr>
              <w:t>replacement)</w:t>
            </w:r>
          </w:p>
        </w:tc>
      </w:tr>
      <w:tr>
        <w:trPr>
          <w:trHeight w:val="165"/>
        </w:trPr>
        <w:tc>
          <w:tcPr>
            <w:tcW w:w="1020" w:type="dxa"/>
            <w:vAlign w:val="bottom"/>
            <w:tcBorders>
              <w:left w:val="single" w:sz="8" w:color="015293"/>
              <w:right w:val="single" w:sz="8" w:color="015293"/>
            </w:tcBorders>
          </w:tcPr>
          <w:p>
            <w:pPr>
              <w:spacing w:after="0"/>
              <w:rPr>
                <w:sz w:val="14"/>
                <w:szCs w:val="14"/>
                <w:color w:val="auto"/>
              </w:rPr>
            </w:pPr>
          </w:p>
        </w:tc>
        <w:tc>
          <w:tcPr>
            <w:tcW w:w="1120" w:type="dxa"/>
            <w:vAlign w:val="bottom"/>
            <w:tcBorders>
              <w:right w:val="single" w:sz="8" w:color="015293"/>
            </w:tcBorders>
          </w:tcPr>
          <w:p>
            <w:pPr>
              <w:ind w:left="20"/>
              <w:spacing w:after="0" w:line="151" w:lineRule="exact"/>
              <w:rPr>
                <w:sz w:val="20"/>
                <w:szCs w:val="20"/>
                <w:color w:val="auto"/>
              </w:rPr>
            </w:pPr>
            <w:r>
              <w:rPr>
                <w:rFonts w:ascii="Times New Roman" w:cs="Times New Roman" w:eastAsia="Times New Roman" w:hAnsi="Times New Roman"/>
                <w:sz w:val="17"/>
                <w:szCs w:val="17"/>
                <w:color w:val="auto"/>
              </w:rPr>
              <w:t>Guaranteed</w:t>
            </w:r>
          </w:p>
        </w:tc>
      </w:tr>
    </w:tbl>
    <w:p>
      <w:pPr>
        <w:sectPr>
          <w:pgSz w:w="11900" w:h="16900" w:orient="portrait"/>
          <w:cols w:equalWidth="0" w:num="1">
            <w:col w:w="11140"/>
          </w:cols>
          <w:pgMar w:left="420" w:top="114" w:right="339" w:bottom="0" w:gutter="0" w:footer="0" w:header="0"/>
          <w:type w:val="continuous"/>
        </w:sectPr>
      </w:pPr>
    </w:p>
    <w:bookmarkStart w:id="105" w:name="page106"/>
    <w:bookmarkEnd w:id="105"/>
    <w:p>
      <w:pPr>
        <w:ind w:left="2560"/>
        <w:spacing w:after="0"/>
        <w:rPr>
          <w:sz w:val="20"/>
          <w:szCs w:val="20"/>
          <w:color w:val="auto"/>
        </w:rPr>
      </w:pPr>
      <w:r>
        <w:rPr>
          <w:rFonts w:ascii="Times New Roman" w:cs="Times New Roman" w:eastAsia="Times New Roman" w:hAnsi="Times New Roman"/>
          <w:sz w:val="18"/>
          <w:szCs w:val="18"/>
          <w:color w:val="auto"/>
        </w:rPr>
        <w:t>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-120650</wp:posOffset>
            </wp:positionV>
            <wp:extent cx="1345565" cy="1534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8">
                      <a:extLst>
                        <a:ext uri="{28A0092B-C50C-407E-A947-70E740481C1C}"/>
                      </a:extLst>
                    </a:blip>
                    <a:srcRect/>
                    <a:stretch>
                      <a:fillRect/>
                    </a:stretch>
                  </pic:blipFill>
                  <pic:spPr bwMode="auto">
                    <a:xfrm>
                      <a:off x="0" y="0"/>
                      <a:ext cx="1345565" cy="1534160"/>
                    </a:xfrm>
                    <a:prstGeom prst="rect">
                      <a:avLst/>
                    </a:prstGeom>
                    <a:noFill/>
                  </pic:spPr>
                </pic:pic>
              </a:graphicData>
            </a:graphic>
          </wp:anchor>
        </w:drawing>
      </w:r>
    </w:p>
    <w:p>
      <w:pPr>
        <w:ind w:left="2560"/>
        <w:spacing w:after="0" w:line="219" w:lineRule="auto"/>
        <w:rPr>
          <w:sz w:val="20"/>
          <w:szCs w:val="20"/>
          <w:color w:val="auto"/>
        </w:rPr>
      </w:pPr>
      <w:r>
        <w:rPr>
          <w:rFonts w:ascii="Times New Roman" w:cs="Times New Roman" w:eastAsia="Times New Roman" w:hAnsi="Times New Roman"/>
          <w:sz w:val="18"/>
          <w:szCs w:val="18"/>
          <w:color w:val="auto"/>
        </w:rPr>
        <w:t>Increase</w:t>
      </w:r>
    </w:p>
    <w:p>
      <w:pPr>
        <w:ind w:left="2560"/>
        <w:spacing w:after="0" w:line="219" w:lineRule="auto"/>
        <w:rPr>
          <w:sz w:val="20"/>
          <w:szCs w:val="20"/>
          <w:color w:val="auto"/>
        </w:rPr>
      </w:pPr>
      <w:r>
        <w:rPr>
          <w:rFonts w:ascii="Times New Roman" w:cs="Times New Roman" w:eastAsia="Times New Roman" w:hAnsi="Times New Roman"/>
          <w:sz w:val="18"/>
          <w:szCs w:val="18"/>
          <w:color w:val="auto"/>
        </w:rPr>
        <w:t>(GCI) -</w:t>
      </w:r>
    </w:p>
    <w:p>
      <w:pPr>
        <w:ind w:left="2560"/>
        <w:spacing w:after="0" w:line="215" w:lineRule="auto"/>
        <w:rPr>
          <w:sz w:val="20"/>
          <w:szCs w:val="20"/>
          <w:color w:val="auto"/>
        </w:rPr>
      </w:pPr>
      <w:r>
        <w:rPr>
          <w:rFonts w:ascii="Times New Roman" w:cs="Times New Roman" w:eastAsia="Times New Roman" w:hAnsi="Times New Roman"/>
          <w:sz w:val="17"/>
          <w:szCs w:val="17"/>
          <w:color w:val="auto"/>
        </w:rPr>
        <w:t>Annual to cap</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of GSI offer</w:t>
      </w:r>
    </w:p>
    <w:p>
      <w:pPr>
        <w:spacing w:after="0" w:line="1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Recovery</w:t>
      </w:r>
    </w:p>
    <w:p>
      <w:pPr>
        <w:ind w:left="2560"/>
        <w:spacing w:after="0" w:line="219" w:lineRule="auto"/>
        <w:rPr>
          <w:sz w:val="20"/>
          <w:szCs w:val="20"/>
          <w:color w:val="auto"/>
        </w:rPr>
      </w:pPr>
      <w:r>
        <w:rPr>
          <w:rFonts w:ascii="Times New Roman" w:cs="Times New Roman" w:eastAsia="Times New Roman" w:hAnsi="Times New Roman"/>
          <w:sz w:val="18"/>
          <w:szCs w:val="18"/>
          <w:color w:val="auto"/>
        </w:rPr>
        <w:t>Benefit - 6</w:t>
      </w:r>
    </w:p>
    <w:p>
      <w:pPr>
        <w:ind w:left="2560"/>
        <w:spacing w:after="0"/>
        <w:rPr>
          <w:sz w:val="20"/>
          <w:szCs w:val="20"/>
          <w:color w:val="auto"/>
        </w:rPr>
      </w:pPr>
      <w:r>
        <w:rPr>
          <w:rFonts w:ascii="Times New Roman" w:cs="Times New Roman" w:eastAsia="Times New Roman" w:hAnsi="Times New Roman"/>
          <w:sz w:val="18"/>
          <w:szCs w:val="18"/>
          <w:color w:val="auto"/>
        </w:rPr>
        <w:t>Months</w:t>
      </w:r>
    </w:p>
    <w:p>
      <w:pPr>
        <w:spacing w:after="0" w:line="3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Work</w:t>
      </w:r>
    </w:p>
    <w:p>
      <w:pPr>
        <w:ind w:left="2560"/>
        <w:spacing w:after="0" w:line="205" w:lineRule="auto"/>
        <w:rPr>
          <w:sz w:val="20"/>
          <w:szCs w:val="20"/>
          <w:color w:val="auto"/>
        </w:rPr>
      </w:pPr>
      <w:r>
        <w:rPr>
          <w:rFonts w:ascii="Times New Roman" w:cs="Times New Roman" w:eastAsia="Times New Roman" w:hAnsi="Times New Roman"/>
          <w:sz w:val="18"/>
          <w:szCs w:val="18"/>
          <w:color w:val="auto"/>
        </w:rPr>
        <w:t>Incentive</w:t>
      </w:r>
    </w:p>
    <w:p>
      <w:pPr>
        <w:ind w:left="2560"/>
        <w:spacing w:after="0" w:line="219" w:lineRule="auto"/>
        <w:rPr>
          <w:sz w:val="20"/>
          <w:szCs w:val="20"/>
          <w:color w:val="auto"/>
        </w:rPr>
      </w:pPr>
      <w:r>
        <w:rPr>
          <w:rFonts w:ascii="Times New Roman" w:cs="Times New Roman" w:eastAsia="Times New Roman" w:hAnsi="Times New Roman"/>
          <w:sz w:val="18"/>
          <w:szCs w:val="18"/>
          <w:color w:val="auto"/>
        </w:rPr>
        <w:t>Benefit – 6</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Months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*Revision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offer –</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Offering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moved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850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Census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Enroll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Processing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required)</w:t>
      </w:r>
    </w:p>
    <w:p>
      <w:pPr>
        <w:sectPr>
          <w:pgSz w:w="11900" w:h="16838" w:orient="portrait"/>
          <w:cols w:equalWidth="0" w:num="1">
            <w:col w:w="10119"/>
          </w:cols>
          <w:pgMar w:left="340" w:top="123" w:right="1440" w:bottom="1440" w:gutter="0" w:footer="0" w:header="0"/>
        </w:sectPr>
      </w:pPr>
    </w:p>
    <w:bookmarkStart w:id="106" w:name="page107"/>
    <w:bookmarkEnd w:id="106"/>
    <w:p>
      <w:pPr>
        <w:ind w:left="40"/>
        <w:spacing w:after="0"/>
        <w:tabs>
          <w:tab w:leader="none" w:pos="2120" w:val="left"/>
        </w:tabs>
        <w:rPr>
          <w:sz w:val="20"/>
          <w:szCs w:val="20"/>
          <w:color w:val="auto"/>
        </w:rPr>
      </w:pPr>
      <w:r>
        <w:rPr>
          <w:rFonts w:ascii="Times New Roman" w:cs="Times New Roman" w:eastAsia="Times New Roman" w:hAnsi="Times New Roman"/>
          <w:sz w:val="22"/>
          <w:szCs w:val="22"/>
          <w:b w:val="1"/>
          <w:bCs w:val="1"/>
          <w:color w:val="015293"/>
        </w:rPr>
        <w:t>Northrop Grumman</w:t>
      </w:r>
      <w:r>
        <w:rPr>
          <w:sz w:val="20"/>
          <w:szCs w:val="20"/>
          <w:color w:val="auto"/>
        </w:rPr>
        <w:tab/>
      </w:r>
      <w:r>
        <w:rPr>
          <w:rFonts w:ascii="Times New Roman" w:cs="Times New Roman" w:eastAsia="Times New Roman" w:hAnsi="Times New Roman"/>
          <w:sz w:val="21"/>
          <w:szCs w:val="21"/>
          <w:b w:val="1"/>
          <w:bCs w:val="1"/>
          <w:color w:val="015293"/>
        </w:rPr>
        <w:t>Supplemental Individual Disability Insurance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015293"/>
        </w:rPr>
        <w:t>850</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015293"/>
        </w:rPr>
        <w:t>Non-Cancellable Contract</w:t>
      </w:r>
    </w:p>
    <w:p>
      <w:pPr>
        <w:sectPr>
          <w:pgSz w:w="11900" w:h="16838" w:orient="portrait"/>
          <w:cols w:equalWidth="0" w:num="1">
            <w:col w:w="11200"/>
          </w:cols>
          <w:pgMar w:left="320" w:top="189" w:right="379" w:bottom="1440" w:gutter="0" w:footer="0" w:header="0"/>
        </w:sectPr>
      </w:pPr>
    </w:p>
    <w:p>
      <w:pPr>
        <w:spacing w:after="0" w:line="31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015293"/>
        </w:rPr>
        <w:t>Benefit Period</w:t>
      </w:r>
    </w:p>
    <w:p>
      <w:pPr>
        <w:spacing w:after="0" w:line="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To Age 65</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015293"/>
        </w:rPr>
        <w:t>Elimination Period</w:t>
      </w:r>
    </w:p>
    <w:p>
      <w:pPr>
        <w:spacing w:after="0" w:line="1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Benefits begin after a waiting period of 180 days</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015293"/>
        </w:rPr>
        <w:t>Income Replacement for Total Disability</w:t>
      </w:r>
    </w:p>
    <w:p>
      <w:pPr>
        <w:ind w:left="1840" w:right="60" w:hanging="324"/>
        <w:spacing w:after="0" w:line="251" w:lineRule="auto"/>
        <w:tabs>
          <w:tab w:leader="none" w:pos="183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1st Two Years of Disability: </w:t>
      </w:r>
      <w:r>
        <w:rPr>
          <w:rFonts w:ascii="Times New Roman" w:cs="Times New Roman" w:eastAsia="Times New Roman" w:hAnsi="Times New Roman"/>
          <w:sz w:val="17"/>
          <w:szCs w:val="17"/>
          <w:color w:val="auto"/>
        </w:rPr>
        <w:t>a monthly income benefit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paid if you are totally disabled in Your Occupation*, which means you are unable to work in your occupation, not working in any other occupation, and are under the care of a physician</w:t>
      </w:r>
    </w:p>
    <w:p>
      <w:pPr>
        <w:spacing w:after="0" w:line="3" w:lineRule="exact"/>
        <w:rPr>
          <w:rFonts w:ascii="Times New Roman" w:cs="Times New Roman" w:eastAsia="Times New Roman" w:hAnsi="Times New Roman"/>
          <w:sz w:val="17"/>
          <w:szCs w:val="17"/>
          <w:color w:val="auto"/>
        </w:rPr>
      </w:pPr>
    </w:p>
    <w:p>
      <w:pPr>
        <w:ind w:left="1840" w:right="120" w:hanging="324"/>
        <w:spacing w:after="0" w:line="268" w:lineRule="auto"/>
        <w:tabs>
          <w:tab w:leader="none" w:pos="183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Remainder of Your Benefit Period: </w:t>
      </w:r>
      <w:r>
        <w:rPr>
          <w:rFonts w:ascii="Times New Roman" w:cs="Times New Roman" w:eastAsia="Times New Roman" w:hAnsi="Times New Roman"/>
          <w:sz w:val="16"/>
          <w:szCs w:val="16"/>
          <w:color w:val="auto"/>
        </w:rPr>
        <w:t>after Your Occupation*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Period of 2 years, pays if, due to injuries or sickness, you are unable to perform the material and substantial duties of any occupation, and are under the care of a physician</w:t>
      </w:r>
    </w:p>
    <w:p>
      <w:pPr>
        <w:spacing w:after="0" w:line="1" w:lineRule="exact"/>
        <w:rPr>
          <w:rFonts w:ascii="Times New Roman" w:cs="Times New Roman" w:eastAsia="Times New Roman" w:hAnsi="Times New Roman"/>
          <w:sz w:val="16"/>
          <w:szCs w:val="16"/>
          <w:color w:val="auto"/>
        </w:rPr>
      </w:pPr>
    </w:p>
    <w:p>
      <w:pPr>
        <w:ind w:left="18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*Known as Usual Occupation in CA</w:t>
      </w:r>
    </w:p>
    <w:p>
      <w:pPr>
        <w:spacing w:after="0" w:line="7" w:lineRule="exact"/>
        <w:rPr>
          <w:rFonts w:ascii="Times New Roman" w:cs="Times New Roman" w:eastAsia="Times New Roman" w:hAnsi="Times New Roman"/>
          <w:sz w:val="16"/>
          <w:szCs w:val="16"/>
          <w:color w:val="auto"/>
        </w:rPr>
      </w:pPr>
    </w:p>
    <w:p>
      <w:pPr>
        <w:ind w:left="1840" w:hanging="324"/>
        <w:spacing w:after="0"/>
        <w:tabs>
          <w:tab w:leader="none" w:pos="18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2 Years Mental Disorder Benefit</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015293"/>
        </w:rPr>
        <w:t>Return-To-Work Benefits</w:t>
      </w:r>
    </w:p>
    <w:p>
      <w:pPr>
        <w:spacing w:after="0" w:line="29" w:lineRule="exact"/>
        <w:rPr>
          <w:sz w:val="20"/>
          <w:szCs w:val="20"/>
          <w:color w:val="auto"/>
        </w:rPr>
      </w:pPr>
    </w:p>
    <w:p>
      <w:pPr>
        <w:ind w:left="1840" w:right="280" w:hanging="324"/>
        <w:spacing w:after="0" w:line="248" w:lineRule="auto"/>
        <w:tabs>
          <w:tab w:leader="none" w:pos="183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Rehabilitation Benefit: </w:t>
      </w:r>
      <w:r>
        <w:rPr>
          <w:rFonts w:ascii="Times New Roman" w:cs="Times New Roman" w:eastAsia="Times New Roman" w:hAnsi="Times New Roman"/>
          <w:sz w:val="17"/>
          <w:szCs w:val="17"/>
          <w:color w:val="auto"/>
        </w:rPr>
        <w:t>can help you regain your self-sufficiency as soon as possible. While you are disabled and receiving benefits, we may pay rehabilitation expenses not covered by other benefits</w:t>
      </w:r>
    </w:p>
    <w:p>
      <w:pPr>
        <w:spacing w:after="0" w:line="2" w:lineRule="exact"/>
        <w:rPr>
          <w:rFonts w:ascii="Times New Roman" w:cs="Times New Roman" w:eastAsia="Times New Roman" w:hAnsi="Times New Roman"/>
          <w:sz w:val="17"/>
          <w:szCs w:val="17"/>
          <w:color w:val="auto"/>
        </w:rPr>
      </w:pPr>
    </w:p>
    <w:p>
      <w:pPr>
        <w:ind w:left="1840" w:right="140" w:hanging="324"/>
        <w:spacing w:after="0" w:line="251" w:lineRule="auto"/>
        <w:tabs>
          <w:tab w:leader="none" w:pos="183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Work Incentive Benefit: </w:t>
      </w:r>
      <w:r>
        <w:rPr>
          <w:rFonts w:ascii="Times New Roman" w:cs="Times New Roman" w:eastAsia="Times New Roman" w:hAnsi="Times New Roman"/>
          <w:sz w:val="17"/>
          <w:szCs w:val="17"/>
          <w:color w:val="auto"/>
        </w:rPr>
        <w:t>when you return to work, you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 a short-term incentive for up to 6 months equal to the difference between your prior income and your current income, for up to 100% income replacement (subject to the maximum benefit amount)</w:t>
      </w:r>
    </w:p>
    <w:p>
      <w:pPr>
        <w:spacing w:after="0" w:line="3" w:lineRule="exact"/>
        <w:rPr>
          <w:rFonts w:ascii="Times New Roman" w:cs="Times New Roman" w:eastAsia="Times New Roman" w:hAnsi="Times New Roman"/>
          <w:sz w:val="17"/>
          <w:szCs w:val="17"/>
          <w:color w:val="auto"/>
        </w:rPr>
      </w:pPr>
    </w:p>
    <w:p>
      <w:pPr>
        <w:ind w:left="1840" w:right="100" w:hanging="324"/>
        <w:spacing w:after="0" w:line="250" w:lineRule="auto"/>
        <w:tabs>
          <w:tab w:leader="none" w:pos="183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Residual Disability Benefit*: </w:t>
      </w:r>
      <w:r>
        <w:rPr>
          <w:rFonts w:ascii="Times New Roman" w:cs="Times New Roman" w:eastAsia="Times New Roman" w:hAnsi="Times New Roman"/>
          <w:sz w:val="17"/>
          <w:szCs w:val="17"/>
          <w:color w:val="auto"/>
        </w:rPr>
        <w:t>you must be under a doctor's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care to be eligible for this benefit, which can pay for up to 2 years. You don't have to be totally disabled to be eligible, but you must still either lose time (due to injury or sickness) from your job or be unable to perform some of your job requirements and incur a loss of earnings of at least 20% </w:t>
      </w:r>
      <w:r>
        <w:rPr>
          <w:rFonts w:ascii="Times New Roman" w:cs="Times New Roman" w:eastAsia="Times New Roman" w:hAnsi="Times New Roman"/>
          <w:sz w:val="17"/>
          <w:szCs w:val="17"/>
          <w:i w:val="1"/>
          <w:iCs w:val="1"/>
          <w:color w:val="auto"/>
        </w:rPr>
        <w:t>*Known as Partial Disability Benefit in CA</w:t>
      </w:r>
    </w:p>
    <w:p>
      <w:pPr>
        <w:spacing w:after="0" w:line="5" w:lineRule="exact"/>
        <w:rPr>
          <w:rFonts w:ascii="Times New Roman" w:cs="Times New Roman" w:eastAsia="Times New Roman" w:hAnsi="Times New Roman"/>
          <w:sz w:val="17"/>
          <w:szCs w:val="17"/>
          <w:color w:val="auto"/>
        </w:rPr>
      </w:pPr>
    </w:p>
    <w:p>
      <w:pPr>
        <w:ind w:left="1840" w:hanging="324"/>
        <w:spacing w:after="0" w:line="250" w:lineRule="auto"/>
        <w:tabs>
          <w:tab w:leader="none" w:pos="183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Recovery Benefit: </w:t>
      </w:r>
      <w:r>
        <w:rPr>
          <w:rFonts w:ascii="Times New Roman" w:cs="Times New Roman" w:eastAsia="Times New Roman" w:hAnsi="Times New Roman"/>
          <w:sz w:val="17"/>
          <w:szCs w:val="17"/>
          <w:color w:val="auto"/>
        </w:rPr>
        <w:t>provides a benefit for up to 6 months if you</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fully recover, return to full-time work in your occupation but you continue to lose earned income due to your prior disability. This provision pays a benefit while you re-establish your earnings base. The amount you get is based on the percentage of earnings you lose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015293"/>
        </w:rPr>
        <w:t>Other Features</w:t>
      </w:r>
    </w:p>
    <w:p>
      <w:pPr>
        <w:spacing w:after="0" w:line="16" w:lineRule="exact"/>
        <w:rPr>
          <w:sz w:val="20"/>
          <w:szCs w:val="20"/>
          <w:color w:val="auto"/>
        </w:rPr>
      </w:pPr>
    </w:p>
    <w:p>
      <w:pPr>
        <w:ind w:left="320" w:right="300" w:hanging="319"/>
        <w:spacing w:after="0" w:line="252" w:lineRule="auto"/>
        <w:tabs>
          <w:tab w:leader="none" w:pos="31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Voluntary Suspension During Unemployment: </w:t>
      </w:r>
      <w:r>
        <w:rPr>
          <w:rFonts w:ascii="Times New Roman" w:cs="Times New Roman" w:eastAsia="Times New Roman" w:hAnsi="Times New Roman"/>
          <w:sz w:val="17"/>
          <w:szCs w:val="17"/>
          <w:color w:val="auto"/>
        </w:rPr>
        <w:t>premium payments can be suspended for up to one year from date of unemployment. Any loss incurred during the suspension period is not covered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15293"/>
        </w:rPr>
        <w:t>Optional Benefits</w:t>
      </w:r>
    </w:p>
    <w:p>
      <w:pPr>
        <w:spacing w:after="0" w:line="16" w:lineRule="exact"/>
        <w:rPr>
          <w:sz w:val="20"/>
          <w:szCs w:val="20"/>
          <w:color w:val="auto"/>
        </w:rPr>
      </w:pPr>
    </w:p>
    <w:p>
      <w:pPr>
        <w:ind w:left="320" w:right="260" w:hanging="319"/>
        <w:spacing w:after="0" w:line="249" w:lineRule="auto"/>
        <w:tabs>
          <w:tab w:leader="none" w:pos="31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Guaranteed Coverage Increase: </w:t>
      </w:r>
      <w:r>
        <w:rPr>
          <w:rFonts w:ascii="Times New Roman" w:cs="Times New Roman" w:eastAsia="Times New Roman" w:hAnsi="Times New Roman"/>
          <w:sz w:val="17"/>
          <w:szCs w:val="17"/>
          <w:color w:val="auto"/>
        </w:rPr>
        <w:t>allows employer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to increase monthly benefit without evidence of medical insurability up to the GSI Benefit Maximum as salary increases occur</w:t>
      </w:r>
    </w:p>
    <w:p>
      <w:pPr>
        <w:ind w:left="320" w:right="320" w:hanging="319"/>
        <w:spacing w:after="0" w:line="251" w:lineRule="auto"/>
        <w:tabs>
          <w:tab w:leader="none" w:pos="31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Catastrophic Benefit*: </w:t>
      </w:r>
      <w:r>
        <w:rPr>
          <w:rFonts w:ascii="Times New Roman" w:cs="Times New Roman" w:eastAsia="Times New Roman" w:hAnsi="Times New Roman"/>
          <w:sz w:val="17"/>
          <w:szCs w:val="17"/>
          <w:color w:val="auto"/>
        </w:rPr>
        <w:t>provides an additional benefit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of catastrophic disabilities that are likely to increase your living expenses (your insurance professional can provide information on physical conditions that apply)</w:t>
      </w:r>
    </w:p>
    <w:p>
      <w:pPr>
        <w:spacing w:after="0" w:line="2"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 available in CA</w:t>
      </w:r>
    </w:p>
    <w:p>
      <w:pPr>
        <w:spacing w:after="0" w:line="7" w:lineRule="exact"/>
        <w:rPr>
          <w:rFonts w:ascii="Times New Roman" w:cs="Times New Roman" w:eastAsia="Times New Roman" w:hAnsi="Times New Roman"/>
          <w:sz w:val="17"/>
          <w:szCs w:val="17"/>
          <w:color w:val="auto"/>
        </w:rPr>
      </w:pPr>
    </w:p>
    <w:p>
      <w:pPr>
        <w:ind w:left="320" w:right="240" w:hanging="319"/>
        <w:spacing w:after="0" w:line="249" w:lineRule="auto"/>
        <w:tabs>
          <w:tab w:leader="none" w:pos="31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Presumptive Benefit*: </w:t>
      </w:r>
      <w:r>
        <w:rPr>
          <w:rFonts w:ascii="Times New Roman" w:cs="Times New Roman" w:eastAsia="Times New Roman" w:hAnsi="Times New Roman"/>
          <w:sz w:val="17"/>
          <w:szCs w:val="17"/>
          <w:color w:val="auto"/>
        </w:rPr>
        <w:t>provides an additional benefit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event of presumptive disabilities that are likely to increase your living expenses (your insurance professional can provide information on physical conditions that apply)</w:t>
      </w: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*Only applies in CA</w:t>
      </w:r>
    </w:p>
    <w:p>
      <w:pPr>
        <w:spacing w:after="0" w:line="3735" w:lineRule="exact"/>
        <w:rPr>
          <w:sz w:val="20"/>
          <w:szCs w:val="20"/>
          <w:color w:val="auto"/>
        </w:rPr>
      </w:pPr>
    </w:p>
    <w:p>
      <w:pPr>
        <w:sectPr>
          <w:pgSz w:w="11900" w:h="16838" w:orient="portrait"/>
          <w:cols w:equalWidth="0" w:num="2">
            <w:col w:w="6160" w:space="600"/>
            <w:col w:w="4440"/>
          </w:cols>
          <w:pgMar w:left="320" w:top="189"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This information is not intended to be a complete description of the insurance coverage available. Contract provisions, features and optional benefits are based on standard published issue ages. Contract provisions, features and optional benefits are based on our standard published ages. The policy or its provisions may vary or be unavailable in some states. The policy has exclusions and limitations that may affect any benefits payable. For complete details of coverage and availability, please refer to Policy Form 850 and contact your Unum representative.</w:t>
      </w:r>
    </w:p>
    <w:p>
      <w:pPr>
        <w:spacing w:after="0" w:line="347" w:lineRule="exact"/>
        <w:rPr>
          <w:sz w:val="20"/>
          <w:szCs w:val="20"/>
          <w:color w:val="auto"/>
        </w:rPr>
      </w:pPr>
    </w:p>
    <w:p>
      <w:pPr>
        <w:ind w:left="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20" w:top="189" w:right="379" w:bottom="1440" w:gutter="0" w:footer="0" w:header="0"/>
          <w:type w:val="continuous"/>
        </w:sectPr>
      </w:pPr>
    </w:p>
    <w:bookmarkStart w:id="107" w:name="page108"/>
    <w:bookmarkEnd w:id="107"/>
    <w:p>
      <w:pPr>
        <w:spacing w:after="0"/>
        <w:tabs>
          <w:tab w:leader="none" w:pos="2080" w:val="left"/>
        </w:tabs>
        <w:rPr>
          <w:sz w:val="20"/>
          <w:szCs w:val="20"/>
          <w:color w:val="auto"/>
        </w:rPr>
      </w:pPr>
      <w:r>
        <w:rPr>
          <w:rFonts w:ascii="Times New Roman" w:cs="Times New Roman" w:eastAsia="Times New Roman" w:hAnsi="Times New Roman"/>
          <w:sz w:val="22"/>
          <w:szCs w:val="22"/>
          <w:b w:val="1"/>
          <w:bCs w:val="1"/>
          <w:color w:val="015293"/>
        </w:rPr>
        <w:t>Northrop Grumman</w:t>
      </w:r>
      <w:r>
        <w:rPr>
          <w:sz w:val="20"/>
          <w:szCs w:val="20"/>
          <w:color w:val="auto"/>
        </w:rPr>
        <w:tab/>
      </w:r>
      <w:r>
        <w:rPr>
          <w:rFonts w:ascii="Times New Roman" w:cs="Times New Roman" w:eastAsia="Times New Roman" w:hAnsi="Times New Roman"/>
          <w:sz w:val="21"/>
          <w:szCs w:val="21"/>
          <w:b w:val="1"/>
          <w:bCs w:val="1"/>
          <w:color w:val="015293"/>
        </w:rPr>
        <w:t>Supplemental Individual Disability Insurance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015293"/>
        </w:rPr>
        <w:t>TERMS &amp; CONDITIONS</w:t>
      </w:r>
    </w:p>
    <w:p>
      <w:pPr>
        <w:sectPr>
          <w:pgSz w:w="11900" w:h="16838" w:orient="portrait"/>
          <w:cols w:equalWidth="0" w:num="1">
            <w:col w:w="10620"/>
          </w:cols>
          <w:pgMar w:left="360" w:top="189" w:right="919" w:bottom="1440" w:gutter="0" w:footer="0" w:header="0"/>
        </w:sectPr>
      </w:pP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15293"/>
        </w:rPr>
        <w:t>Who is Eligible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740" w:hanging="716"/>
        <w:spacing w:after="0" w:line="282" w:lineRule="auto"/>
        <w:rPr>
          <w:sz w:val="20"/>
          <w:szCs w:val="20"/>
          <w:color w:val="auto"/>
        </w:rPr>
      </w:pPr>
      <w:r>
        <w:rPr>
          <w:rFonts w:ascii="Times New Roman" w:cs="Times New Roman" w:eastAsia="Times New Roman" w:hAnsi="Times New Roman"/>
          <w:sz w:val="18"/>
          <w:szCs w:val="18"/>
          <w:color w:val="auto"/>
        </w:rPr>
        <w:t>This offer is extended to all eligible individuals (as defined under “Eligibility” on page 1) who are U.S. citizens or permanent U.S. residents possessing a green card.</w:t>
      </w:r>
    </w:p>
    <w:p>
      <w:pPr>
        <w:spacing w:after="0" w:line="189" w:lineRule="exact"/>
        <w:rPr>
          <w:sz w:val="20"/>
          <w:szCs w:val="20"/>
          <w:color w:val="auto"/>
        </w:rPr>
      </w:pPr>
    </w:p>
    <w:p>
      <w:pPr>
        <w:sectPr>
          <w:pgSz w:w="11900" w:h="16838" w:orient="portrait"/>
          <w:cols w:equalWidth="0" w:num="2">
            <w:col w:w="1660" w:space="720"/>
            <w:col w:w="8240"/>
          </w:cols>
          <w:pgMar w:left="360" w:top="189" w:right="919" w:bottom="1440" w:gutter="0" w:footer="0" w:header="0"/>
          <w:type w:val="continuous"/>
        </w:sectPr>
      </w:pPr>
    </w:p>
    <w:p>
      <w:pPr>
        <w:ind w:left="2380" w:right="100"/>
        <w:spacing w:after="0" w:line="282" w:lineRule="auto"/>
        <w:rPr>
          <w:sz w:val="20"/>
          <w:szCs w:val="20"/>
          <w:color w:val="auto"/>
        </w:rPr>
      </w:pPr>
      <w:r>
        <w:rPr>
          <w:rFonts w:ascii="Times New Roman" w:cs="Times New Roman" w:eastAsia="Times New Roman" w:hAnsi="Times New Roman"/>
          <w:sz w:val="18"/>
          <w:szCs w:val="18"/>
          <w:color w:val="auto"/>
        </w:rPr>
        <w:t>On the date of employer census submission, eligibles must be working on a full-time basis without restrictions or limitations due to injury or sickness (30 hours or more per week).</w:t>
      </w:r>
    </w:p>
    <w:p>
      <w:pPr>
        <w:sectPr>
          <w:pgSz w:w="11900" w:h="16838" w:orient="portrait"/>
          <w:cols w:equalWidth="0" w:num="1">
            <w:col w:w="10620"/>
          </w:cols>
          <w:pgMar w:left="360" w:top="189" w:right="919" w:bottom="1440" w:gutter="0" w:footer="0" w:header="0"/>
          <w:type w:val="continuous"/>
        </w:sectPr>
      </w:pP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15293"/>
        </w:rPr>
        <w:t>Basis of Issue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320" w:hanging="846"/>
        <w:spacing w:after="0" w:line="282" w:lineRule="auto"/>
        <w:rPr>
          <w:sz w:val="20"/>
          <w:szCs w:val="20"/>
          <w:color w:val="auto"/>
        </w:rPr>
      </w:pPr>
      <w:r>
        <w:rPr>
          <w:rFonts w:ascii="Times New Roman" w:cs="Times New Roman" w:eastAsia="Times New Roman" w:hAnsi="Times New Roman"/>
          <w:sz w:val="18"/>
          <w:szCs w:val="18"/>
          <w:color w:val="auto"/>
        </w:rPr>
        <w:t>A standard offer means no modifications can be made to the contract's premium rate, elimination period, benefit period or monthly benefit amounts to adjust for a pre-existing medical condition.</w:t>
      </w:r>
    </w:p>
    <w:p>
      <w:pPr>
        <w:spacing w:after="0" w:line="148" w:lineRule="exact"/>
        <w:rPr>
          <w:sz w:val="20"/>
          <w:szCs w:val="20"/>
          <w:color w:val="auto"/>
        </w:rPr>
      </w:pPr>
    </w:p>
    <w:p>
      <w:pPr>
        <w:sectPr>
          <w:pgSz w:w="11900" w:h="16838" w:orient="portrait"/>
          <w:cols w:equalWidth="0" w:num="2">
            <w:col w:w="1660" w:space="720"/>
            <w:col w:w="8240"/>
          </w:cols>
          <w:pgMar w:left="360" w:top="189" w:right="919" w:bottom="1440" w:gutter="0" w:footer="0" w:header="0"/>
          <w:type w:val="continuous"/>
        </w:sectPr>
      </w:pPr>
    </w:p>
    <w:p>
      <w:pPr>
        <w:ind w:left="2380" w:right="120"/>
        <w:spacing w:after="0" w:line="282" w:lineRule="auto"/>
        <w:rPr>
          <w:sz w:val="20"/>
          <w:szCs w:val="20"/>
          <w:color w:val="auto"/>
        </w:rPr>
      </w:pPr>
      <w:r>
        <w:rPr>
          <w:rFonts w:ascii="Times New Roman" w:cs="Times New Roman" w:eastAsia="Times New Roman" w:hAnsi="Times New Roman"/>
          <w:sz w:val="18"/>
          <w:szCs w:val="18"/>
          <w:color w:val="auto"/>
        </w:rPr>
        <w:t>If the Catastrophic Disability Benefit is included in the offering, the Catastrophic Benefit is only payable for loss that occurs after the coverage effective date.</w:t>
      </w:r>
    </w:p>
    <w:p>
      <w:pPr>
        <w:spacing w:after="0" w:line="189" w:lineRule="exact"/>
        <w:rPr>
          <w:sz w:val="20"/>
          <w:szCs w:val="20"/>
          <w:color w:val="auto"/>
        </w:rPr>
      </w:pPr>
    </w:p>
    <w:p>
      <w:pPr>
        <w:ind w:left="2380" w:right="40"/>
        <w:spacing w:after="0" w:line="282" w:lineRule="auto"/>
        <w:rPr>
          <w:sz w:val="20"/>
          <w:szCs w:val="20"/>
          <w:color w:val="auto"/>
        </w:rPr>
      </w:pPr>
      <w:r>
        <w:rPr>
          <w:rFonts w:ascii="Times New Roman" w:cs="Times New Roman" w:eastAsia="Times New Roman" w:hAnsi="Times New Roman"/>
          <w:sz w:val="18"/>
          <w:szCs w:val="18"/>
          <w:color w:val="auto"/>
        </w:rPr>
        <w:t>The IDI benefit will coordinate with any other disability coverage applied for; and any disability coverage already inforce.</w:t>
      </w:r>
    </w:p>
    <w:p>
      <w:pPr>
        <w:spacing w:after="0" w:line="148" w:lineRule="exact"/>
        <w:rPr>
          <w:sz w:val="20"/>
          <w:szCs w:val="20"/>
          <w:color w:val="auto"/>
        </w:rPr>
      </w:pPr>
    </w:p>
    <w:p>
      <w:pPr>
        <w:ind w:left="2380" w:right="20"/>
        <w:spacing w:after="0" w:line="312" w:lineRule="auto"/>
        <w:rPr>
          <w:sz w:val="20"/>
          <w:szCs w:val="20"/>
          <w:color w:val="auto"/>
        </w:rPr>
      </w:pPr>
      <w:r>
        <w:rPr>
          <w:rFonts w:ascii="Times New Roman" w:cs="Times New Roman" w:eastAsia="Times New Roman" w:hAnsi="Times New Roman"/>
          <w:sz w:val="17"/>
          <w:szCs w:val="17"/>
          <w:color w:val="auto"/>
        </w:rPr>
        <w:t>Coverage applied for on a GSI basis cannot exceed this plan design and total coverage to be in-force (includes Group Long Term Disability and Individual Disability Insurance) cannot exceed our issue and participation limits.</w:t>
      </w:r>
    </w:p>
    <w:p>
      <w:pPr>
        <w:spacing w:after="0" w:line="167" w:lineRule="exact"/>
        <w:rPr>
          <w:sz w:val="20"/>
          <w:szCs w:val="20"/>
          <w:color w:val="auto"/>
        </w:rPr>
      </w:pPr>
    </w:p>
    <w:p>
      <w:pPr>
        <w:ind w:left="2380" w:right="400"/>
        <w:spacing w:after="0" w:line="261" w:lineRule="auto"/>
        <w:rPr>
          <w:sz w:val="20"/>
          <w:szCs w:val="20"/>
          <w:color w:val="auto"/>
        </w:rPr>
      </w:pPr>
      <w:r>
        <w:rPr>
          <w:rFonts w:ascii="Times New Roman" w:cs="Times New Roman" w:eastAsia="Times New Roman" w:hAnsi="Times New Roman"/>
          <w:sz w:val="18"/>
          <w:szCs w:val="18"/>
          <w:color w:val="auto"/>
        </w:rPr>
        <w:t>The GSI benefit may be directly reduced by any inforce individual coverage that was issued by Unum or its affiliated companies on a GSI basis. Unum will not participate with any other active employer- sponsored individual disability GSI program that provides long-term coverage through a non- cancellable or guaranteed renewable contract.</w:t>
      </w:r>
    </w:p>
    <w:p>
      <w:pPr>
        <w:spacing w:after="0" w:line="2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Minimum policy size is $500 - must financially qualify.</w:t>
      </w:r>
    </w:p>
    <w:p>
      <w:pPr>
        <w:spacing w:after="0" w:line="212" w:lineRule="exact"/>
        <w:rPr>
          <w:sz w:val="20"/>
          <w:szCs w:val="20"/>
          <w:color w:val="auto"/>
        </w:rPr>
      </w:pPr>
    </w:p>
    <w:p>
      <w:pPr>
        <w:ind w:left="2380" w:right="120"/>
        <w:spacing w:after="0" w:line="282" w:lineRule="auto"/>
        <w:rPr>
          <w:sz w:val="20"/>
          <w:szCs w:val="20"/>
          <w:color w:val="auto"/>
        </w:rPr>
      </w:pPr>
      <w:r>
        <w:rPr>
          <w:rFonts w:ascii="Times New Roman" w:cs="Times New Roman" w:eastAsia="Times New Roman" w:hAnsi="Times New Roman"/>
          <w:sz w:val="18"/>
          <w:szCs w:val="18"/>
          <w:color w:val="auto"/>
        </w:rPr>
        <w:t>Any additional amounts purchased beyond this offer amount will be considered to be outside the plan design and subject to our normal medical and financial underwriting guidelines.</w:t>
      </w:r>
    </w:p>
    <w:p>
      <w:pPr>
        <w:sectPr>
          <w:pgSz w:w="11900" w:h="16838" w:orient="portrait"/>
          <w:cols w:equalWidth="0" w:num="1">
            <w:col w:w="10620"/>
          </w:cols>
          <w:pgMar w:left="360" w:top="189" w:right="919" w:bottom="1440" w:gutter="0" w:footer="0" w:header="0"/>
          <w:type w:val="continuous"/>
        </w:sectPr>
      </w:pPr>
    </w:p>
    <w:p>
      <w:pPr>
        <w:spacing w:after="0" w:line="297" w:lineRule="exact"/>
        <w:rPr>
          <w:sz w:val="20"/>
          <w:szCs w:val="20"/>
          <w:color w:val="auto"/>
        </w:rPr>
      </w:pPr>
    </w:p>
    <w:p>
      <w:pPr>
        <w:ind w:left="2240" w:hanging="2026"/>
        <w:spacing w:after="0" w:line="266" w:lineRule="auto"/>
        <w:tabs>
          <w:tab w:leader="none" w:pos="2220" w:val="left"/>
        </w:tabs>
        <w:rPr>
          <w:sz w:val="20"/>
          <w:szCs w:val="20"/>
          <w:color w:val="auto"/>
        </w:rPr>
      </w:pPr>
      <w:r>
        <w:rPr>
          <w:rFonts w:ascii="Times New Roman" w:cs="Times New Roman" w:eastAsia="Times New Roman" w:hAnsi="Times New Roman"/>
          <w:sz w:val="18"/>
          <w:szCs w:val="18"/>
          <w:color w:val="015293"/>
        </w:rPr>
        <w:t>Financial Requirements</w:t>
      </w:r>
      <w:r>
        <w:rPr>
          <w:rFonts w:ascii="Times New Roman" w:cs="Times New Roman" w:eastAsia="Times New Roman" w:hAnsi="Times New Roman"/>
          <w:sz w:val="18"/>
          <w:szCs w:val="18"/>
          <w:color w:val="auto"/>
        </w:rPr>
        <w:tab/>
        <w:t>We will accept a company-provided census (electronic preferred) listing employee name, date of birth, job title, date of hire and compensation (defined as Insurable Income on Page 1) as income documentation. Insurable income should be broken down into base salary and variable compensation in the census, if applicable.</w:t>
      </w: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620"/>
          </w:cols>
          <w:pgMar w:left="360" w:top="189" w:right="919" w:bottom="1440" w:gutter="0" w:footer="0" w:header="0"/>
          <w:type w:val="continuous"/>
        </w:sectPr>
      </w:pPr>
    </w:p>
    <w:bookmarkStart w:id="108" w:name="page109"/>
    <w:bookmarkEnd w:id="108"/>
    <w:p>
      <w:pPr>
        <w:spacing w:after="0"/>
        <w:tabs>
          <w:tab w:leader="none" w:pos="2080" w:val="left"/>
        </w:tabs>
        <w:rPr>
          <w:sz w:val="20"/>
          <w:szCs w:val="20"/>
          <w:color w:val="auto"/>
        </w:rPr>
      </w:pPr>
      <w:r>
        <w:rPr>
          <w:rFonts w:ascii="Times New Roman" w:cs="Times New Roman" w:eastAsia="Times New Roman" w:hAnsi="Times New Roman"/>
          <w:sz w:val="22"/>
          <w:szCs w:val="22"/>
          <w:b w:val="1"/>
          <w:bCs w:val="1"/>
          <w:color w:val="015293"/>
        </w:rPr>
        <w:t>Northrop Grumman</w:t>
      </w:r>
      <w:r>
        <w:rPr>
          <w:sz w:val="20"/>
          <w:szCs w:val="20"/>
          <w:color w:val="auto"/>
        </w:rPr>
        <w:tab/>
      </w:r>
      <w:r>
        <w:rPr>
          <w:rFonts w:ascii="Times New Roman" w:cs="Times New Roman" w:eastAsia="Times New Roman" w:hAnsi="Times New Roman"/>
          <w:sz w:val="21"/>
          <w:szCs w:val="21"/>
          <w:b w:val="1"/>
          <w:bCs w:val="1"/>
          <w:color w:val="015293"/>
        </w:rPr>
        <w:t>Supplemental Individual Disability Insurance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015293"/>
        </w:rPr>
        <w:t>OFFER REQUEST</w:t>
      </w:r>
    </w:p>
    <w:p>
      <w:pPr>
        <w:spacing w:after="0" w:line="31" w:lineRule="exact"/>
        <w:rPr>
          <w:sz w:val="20"/>
          <w:szCs w:val="20"/>
          <w:color w:val="auto"/>
        </w:rPr>
      </w:pPr>
    </w:p>
    <w:p>
      <w:pPr>
        <w:ind w:left="2600" w:hanging="328"/>
        <w:spacing w:after="0"/>
        <w:tabs>
          <w:tab w:leader="none" w:pos="26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 must be signed and received by Case Design Underwriting before applications can be accepted.</w:t>
      </w:r>
    </w:p>
    <w:p>
      <w:pPr>
        <w:spacing w:after="0" w:line="9" w:lineRule="exact"/>
        <w:rPr>
          <w:rFonts w:ascii="Times New Roman" w:cs="Times New Roman" w:eastAsia="Times New Roman" w:hAnsi="Times New Roman"/>
          <w:sz w:val="18"/>
          <w:szCs w:val="18"/>
          <w:color w:val="auto"/>
        </w:rPr>
      </w:pPr>
    </w:p>
    <w:p>
      <w:pPr>
        <w:ind w:left="2600" w:hanging="328"/>
        <w:spacing w:after="0"/>
        <w:tabs>
          <w:tab w:leader="none" w:pos="26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Written request for this offer must be received by </w:t>
      </w:r>
      <w:r>
        <w:rPr>
          <w:rFonts w:ascii="Times New Roman" w:cs="Times New Roman" w:eastAsia="Times New Roman" w:hAnsi="Times New Roman"/>
          <w:sz w:val="18"/>
          <w:szCs w:val="18"/>
          <w:b w:val="1"/>
          <w:bCs w:val="1"/>
          <w:color w:val="auto"/>
        </w:rPr>
        <w:t>July 10, 2022.</w:t>
      </w:r>
    </w:p>
    <w:p>
      <w:pPr>
        <w:spacing w:after="0" w:line="9" w:lineRule="exact"/>
        <w:rPr>
          <w:rFonts w:ascii="Times New Roman" w:cs="Times New Roman" w:eastAsia="Times New Roman" w:hAnsi="Times New Roman"/>
          <w:sz w:val="18"/>
          <w:szCs w:val="18"/>
          <w:color w:val="auto"/>
        </w:rPr>
      </w:pPr>
    </w:p>
    <w:p>
      <w:pPr>
        <w:ind w:left="2600" w:right="400" w:hanging="328"/>
        <w:spacing w:after="0" w:line="255" w:lineRule="auto"/>
        <w:tabs>
          <w:tab w:leader="none" w:pos="25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offer is contingent upon current ratebook and state regulations in effect at application time. Any change in plan design, eligibility/participation requirements, premium payer, etc. requires written approval by Case Design Underwriting.</w:t>
      </w:r>
    </w:p>
    <w:p>
      <w:pPr>
        <w:spacing w:after="0" w:line="200" w:lineRule="exact"/>
        <w:rPr>
          <w:sz w:val="20"/>
          <w:szCs w:val="20"/>
          <w:color w:val="auto"/>
        </w:rPr>
      </w:pPr>
    </w:p>
    <w:p>
      <w:pPr>
        <w:spacing w:after="0" w:line="21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015293"/>
        </w:rPr>
        <w:t>EMPLOYER AND BROKER OBLIGATIONS/ENROLLMENT PROCESS</w:t>
      </w:r>
    </w:p>
    <w:p>
      <w:pPr>
        <w:spacing w:after="0" w:line="40" w:lineRule="exact"/>
        <w:rPr>
          <w:sz w:val="20"/>
          <w:szCs w:val="20"/>
          <w:color w:val="auto"/>
        </w:rPr>
      </w:pPr>
    </w:p>
    <w:p>
      <w:pPr>
        <w:ind w:left="2600" w:right="220" w:hanging="328"/>
        <w:spacing w:after="0" w:line="261" w:lineRule="auto"/>
        <w:tabs>
          <w:tab w:leader="none" w:pos="25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Unum will be provided with a full census (name, job title, resident addresses, date of hire, work status, insurable income, DOB, gender and employee Social Security Number).</w:t>
      </w:r>
    </w:p>
    <w:p>
      <w:pPr>
        <w:ind w:left="2600" w:hanging="328"/>
        <w:spacing w:after="0"/>
        <w:tabs>
          <w:tab w:leader="none" w:pos="2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initial enrollment, new employees will be enrolled within an agreed upon enrollment schedule.</w:t>
      </w:r>
    </w:p>
    <w:p>
      <w:pPr>
        <w:spacing w:after="0" w:line="9" w:lineRule="exact"/>
        <w:rPr>
          <w:rFonts w:ascii="Times New Roman" w:cs="Times New Roman" w:eastAsia="Times New Roman" w:hAnsi="Times New Roman"/>
          <w:sz w:val="18"/>
          <w:szCs w:val="18"/>
          <w:color w:val="auto"/>
        </w:rPr>
      </w:pPr>
    </w:p>
    <w:p>
      <w:pPr>
        <w:ind w:left="2600" w:right="720" w:hanging="328"/>
        <w:spacing w:after="0" w:line="265" w:lineRule="auto"/>
        <w:tabs>
          <w:tab w:leader="none" w:pos="259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who enroll and fully participate in this plan will have the opportunity to update their coverage within the plan design and benefit maximums during a scheduled annual or biannual enrollment period.</w:t>
      </w:r>
    </w:p>
    <w:p>
      <w:pPr>
        <w:ind w:left="2600" w:hanging="328"/>
        <w:spacing w:after="0"/>
        <w:tabs>
          <w:tab w:leader="none" w:pos="2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required participation is not achieved, the offer becomes void.</w:t>
      </w:r>
    </w:p>
    <w:p>
      <w:pPr>
        <w:spacing w:after="0" w:line="17" w:lineRule="exact"/>
        <w:rPr>
          <w:rFonts w:ascii="Times New Roman" w:cs="Times New Roman" w:eastAsia="Times New Roman" w:hAnsi="Times New Roman"/>
          <w:sz w:val="18"/>
          <w:szCs w:val="18"/>
          <w:color w:val="auto"/>
        </w:rPr>
      </w:pPr>
    </w:p>
    <w:p>
      <w:pPr>
        <w:ind w:left="2600" w:right="700" w:hanging="328"/>
        <w:spacing w:after="0" w:line="254" w:lineRule="auto"/>
        <w:tabs>
          <w:tab w:leader="none" w:pos="258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Employer agrees with respect to policies issued by the Insurance Co. to certain salaried/wage earning employees:</w:t>
      </w:r>
    </w:p>
    <w:p>
      <w:pPr>
        <w:spacing w:after="0" w:line="1" w:lineRule="exact"/>
        <w:rPr>
          <w:rFonts w:ascii="Times New Roman" w:cs="Times New Roman" w:eastAsia="Times New Roman" w:hAnsi="Times New Roman"/>
          <w:sz w:val="20"/>
          <w:szCs w:val="20"/>
          <w:color w:val="auto"/>
        </w:rPr>
      </w:pPr>
    </w:p>
    <w:p>
      <w:pPr>
        <w:ind w:left="2600" w:right="26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To pay in full the required premiums (100% Employer Pay) for such policies and to remit such premiums to the Insurance Co. when due (refund check will be sent to the Employer if there is an overpayment).</w:t>
      </w:r>
    </w:p>
    <w:p>
      <w:pPr>
        <w:spacing w:after="0" w:line="200" w:lineRule="exact"/>
        <w:rPr>
          <w:sz w:val="20"/>
          <w:szCs w:val="20"/>
          <w:color w:val="auto"/>
        </w:rPr>
      </w:pPr>
    </w:p>
    <w:p>
      <w:pPr>
        <w:spacing w:after="0" w:line="34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015293"/>
        </w:rPr>
        <w:t>OFFER REVIEW PROCESS</w:t>
      </w:r>
    </w:p>
    <w:p>
      <w:pPr>
        <w:spacing w:after="0" w:line="31" w:lineRule="exact"/>
        <w:rPr>
          <w:sz w:val="20"/>
          <w:szCs w:val="20"/>
          <w:color w:val="auto"/>
        </w:rPr>
      </w:pPr>
    </w:p>
    <w:p>
      <w:pPr>
        <w:ind w:left="2280"/>
        <w:spacing w:after="0" w:line="252" w:lineRule="auto"/>
        <w:rPr>
          <w:sz w:val="20"/>
          <w:szCs w:val="20"/>
          <w:color w:val="auto"/>
        </w:rPr>
      </w:pPr>
      <w:r>
        <w:rPr>
          <w:rFonts w:ascii="Times New Roman" w:cs="Times New Roman" w:eastAsia="Times New Roman" w:hAnsi="Times New Roman"/>
          <w:sz w:val="18"/>
          <w:szCs w:val="18"/>
          <w:color w:val="auto"/>
        </w:rPr>
        <w:t>This offer will be reviewed every two years and remains in effect subject to our review of the plan design, persistency and overall case success. We may request current case information and census listing eligible individuals, dates of birth, job title and current income to complete our review. Although we do not anticipate doing so, we reserve the right to withdraw or modify this offer at any time. Factors such as experience, non-adherence to offer terms or availability of contract type could make this necessary. When appropriate, the Company will provide 90-days notice in advance of any anticipated change to this offer.</w:t>
      </w:r>
    </w:p>
    <w:p>
      <w:pPr>
        <w:spacing w:after="0" w:line="217" w:lineRule="exact"/>
        <w:rPr>
          <w:sz w:val="20"/>
          <w:szCs w:val="20"/>
          <w:color w:val="auto"/>
        </w:rPr>
      </w:pPr>
    </w:p>
    <w:p>
      <w:pPr>
        <w:ind w:left="2280" w:right="480"/>
        <w:spacing w:after="0" w:line="282" w:lineRule="auto"/>
        <w:rPr>
          <w:sz w:val="20"/>
          <w:szCs w:val="20"/>
          <w:color w:val="auto"/>
        </w:rPr>
      </w:pPr>
      <w:r>
        <w:rPr>
          <w:rFonts w:ascii="Times New Roman" w:cs="Times New Roman" w:eastAsia="Times New Roman" w:hAnsi="Times New Roman"/>
          <w:sz w:val="18"/>
          <w:szCs w:val="18"/>
          <w:color w:val="auto"/>
        </w:rPr>
        <w:t>We are privileged that you have selected Unum to meet your employees’ income protection needs. We appreciate the opportunity to serve you and your employees, and we look forward to a continuing relationship.</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00"/>
          </w:cols>
          <w:pgMar w:left="360" w:top="189" w:right="639" w:bottom="1440" w:gutter="0" w:footer="0" w:header="0"/>
        </w:sectPr>
      </w:pPr>
    </w:p>
    <w:bookmarkStart w:id="109" w:name="page110"/>
    <w:bookmarkEnd w:id="109"/>
    <w:p>
      <w:pPr>
        <w:ind w:left="40"/>
        <w:spacing w:after="0"/>
        <w:tabs>
          <w:tab w:leader="none" w:pos="2120" w:val="left"/>
          <w:tab w:leader="none" w:pos="7360" w:val="left"/>
        </w:tabs>
        <w:rPr>
          <w:sz w:val="20"/>
          <w:szCs w:val="20"/>
          <w:color w:val="auto"/>
        </w:rPr>
      </w:pPr>
      <w:r>
        <w:rPr>
          <w:rFonts w:ascii="Times New Roman" w:cs="Times New Roman" w:eastAsia="Times New Roman" w:hAnsi="Times New Roman"/>
          <w:sz w:val="22"/>
          <w:szCs w:val="22"/>
          <w:b w:val="1"/>
          <w:bCs w:val="1"/>
          <w:color w:val="015293"/>
        </w:rPr>
        <w:t>Northrop Grumman</w:t>
        <w:tab/>
        <w:t>Supplemental Individual Disability Insurance Plan</w:t>
      </w:r>
      <w:r>
        <w:rPr>
          <w:sz w:val="20"/>
          <w:szCs w:val="20"/>
          <w:color w:val="auto"/>
        </w:rPr>
        <w:tab/>
      </w:r>
      <w:r>
        <w:rPr>
          <w:rFonts w:ascii="Times New Roman" w:cs="Times New Roman" w:eastAsia="Times New Roman" w:hAnsi="Times New Roman"/>
          <w:sz w:val="19"/>
          <w:szCs w:val="19"/>
          <w:b w:val="1"/>
          <w:bCs w:val="1"/>
          <w:color w:val="FFFFFF"/>
        </w:rPr>
        <w:t>Offer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015293"/>
        </w:rPr>
        <w:t>OFFER ACCEPTANCE</w:t>
      </w:r>
    </w:p>
    <w:p>
      <w:pPr>
        <w:spacing w:after="0" w:line="31" w:lineRule="exact"/>
        <w:rPr>
          <w:sz w:val="20"/>
          <w:szCs w:val="20"/>
          <w:color w:val="auto"/>
        </w:rPr>
      </w:pPr>
    </w:p>
    <w:p>
      <w:pPr>
        <w:ind w:left="2320" w:right="740"/>
        <w:spacing w:after="0" w:line="260" w:lineRule="auto"/>
        <w:rPr>
          <w:sz w:val="20"/>
          <w:szCs w:val="20"/>
          <w:color w:val="auto"/>
        </w:rPr>
      </w:pPr>
      <w:r>
        <w:rPr>
          <w:rFonts w:ascii="Times New Roman" w:cs="Times New Roman" w:eastAsia="Times New Roman" w:hAnsi="Times New Roman"/>
          <w:sz w:val="18"/>
          <w:szCs w:val="18"/>
          <w:color w:val="auto"/>
        </w:rPr>
        <w:t>On behalf of Northrop Grumman, I request the offer outlined above and understand that these specifications are only available through the broker to whom this letter is addressed.</w:t>
      </w:r>
    </w:p>
    <w:p>
      <w:pPr>
        <w:spacing w:after="0" w:line="29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015293"/>
        </w:rPr>
        <w:t>DISCLOSURE REMINDER REGARDING BROKER COMPENSATION</w:t>
      </w:r>
    </w:p>
    <w:p>
      <w:pPr>
        <w:spacing w:after="0" w:line="94" w:lineRule="exact"/>
        <w:rPr>
          <w:sz w:val="20"/>
          <w:szCs w:val="20"/>
          <w:color w:val="auto"/>
        </w:rPr>
      </w:pPr>
    </w:p>
    <w:p>
      <w:pPr>
        <w:ind w:left="2320" w:right="80"/>
        <w:spacing w:after="0" w:line="309" w:lineRule="auto"/>
        <w:rPr>
          <w:sz w:val="20"/>
          <w:szCs w:val="20"/>
          <w:color w:val="auto"/>
        </w:rPr>
      </w:pPr>
      <w:r>
        <w:rPr>
          <w:rFonts w:ascii="Times New Roman" w:cs="Times New Roman" w:eastAsia="Times New Roman" w:hAnsi="Times New Roman"/>
          <w:sz w:val="18"/>
          <w:szCs w:val="18"/>
          <w:color w:val="auto"/>
        </w:rPr>
        <w:t>Your insurance or benefits advisor can offer you advice and guidance as you select the policy and provider most appropriate for your needs. At Unum we recognize the important role these professionals play in the sale of our products and services and offer them a variety of compensation programs. Your advisor can provide you with information about these programs as well as those available from other providers. We support disclosure of advisor compensation so that customers can make an informed buying decision.</w:t>
      </w:r>
    </w:p>
    <w:p>
      <w:pPr>
        <w:spacing w:after="0" w:line="261" w:lineRule="exact"/>
        <w:rPr>
          <w:sz w:val="20"/>
          <w:szCs w:val="20"/>
          <w:color w:val="auto"/>
        </w:rPr>
      </w:pPr>
    </w:p>
    <w:p>
      <w:pPr>
        <w:ind w:left="2320" w:right="180"/>
        <w:spacing w:after="0" w:line="307" w:lineRule="auto"/>
        <w:rPr>
          <w:sz w:val="20"/>
          <w:szCs w:val="20"/>
          <w:color w:val="auto"/>
        </w:rPr>
      </w:pPr>
      <w:r>
        <w:rPr>
          <w:rFonts w:ascii="Times New Roman" w:cs="Times New Roman" w:eastAsia="Times New Roman" w:hAnsi="Times New Roman"/>
          <w:sz w:val="18"/>
          <w:szCs w:val="18"/>
          <w:color w:val="auto"/>
        </w:rPr>
        <w:t xml:space="preserve">If you would like additional information about the range of compensation programs our company offers, you can find more details at </w:t>
      </w:r>
      <w:r>
        <w:rPr>
          <w:rFonts w:ascii="Times New Roman" w:cs="Times New Roman" w:eastAsia="Times New Roman" w:hAnsi="Times New Roman"/>
          <w:sz w:val="18"/>
          <w:szCs w:val="18"/>
          <w:u w:val="single" w:color="auto"/>
          <w:color w:val="auto"/>
        </w:rPr>
        <w:t>www.unum.com</w:t>
      </w:r>
      <w:r>
        <w:rPr>
          <w:rFonts w:ascii="Times New Roman" w:cs="Times New Roman" w:eastAsia="Times New Roman" w:hAnsi="Times New Roman"/>
          <w:sz w:val="18"/>
          <w:szCs w:val="18"/>
          <w:color w:val="auto"/>
        </w:rPr>
        <w:t>. Unum provides employers with the premium and commission information needed to complete Schedule A on Form 5500 for group insurance as may be required under ERISA. You may request similar information for ERISA reporting purposes for other insurance policies, such as Voluntary Benefits or Individual Disability. If you would like to request such information or if you have other questions, or if you would like to speak to us directly about advisor compensation, please call Broker Compensation Services at 1-800-ASK-UNUM (1-800-275-8686).</w:t>
      </w:r>
    </w:p>
    <w:p>
      <w:pPr>
        <w:spacing w:after="0" w:line="253" w:lineRule="exact"/>
        <w:rPr>
          <w:sz w:val="20"/>
          <w:szCs w:val="20"/>
          <w:color w:val="auto"/>
        </w:rPr>
      </w:pPr>
    </w:p>
    <w:p>
      <w:pPr>
        <w:ind w:left="2320"/>
        <w:spacing w:after="0" w:line="305" w:lineRule="auto"/>
        <w:rPr>
          <w:sz w:val="20"/>
          <w:szCs w:val="20"/>
          <w:color w:val="auto"/>
        </w:rPr>
      </w:pPr>
      <w:r>
        <w:rPr>
          <w:rFonts w:ascii="Times New Roman" w:cs="Times New Roman" w:eastAsia="Times New Roman" w:hAnsi="Times New Roman"/>
          <w:sz w:val="18"/>
          <w:szCs w:val="18"/>
          <w:color w:val="auto"/>
        </w:rPr>
        <w:t>At Unum, we recognize and support full transparency and disclosure of compensation. Unum Enrollment Representatives are licensed as insurance producers; they represent and act on behalf of Unum.</w:t>
      </w:r>
    </w:p>
    <w:p>
      <w:pPr>
        <w:ind w:left="2320" w:right="380"/>
        <w:spacing w:after="0" w:line="329" w:lineRule="auto"/>
        <w:rPr>
          <w:sz w:val="20"/>
          <w:szCs w:val="20"/>
          <w:color w:val="auto"/>
        </w:rPr>
      </w:pPr>
      <w:r>
        <w:rPr>
          <w:rFonts w:ascii="Times New Roman" w:cs="Times New Roman" w:eastAsia="Times New Roman" w:hAnsi="Times New Roman"/>
          <w:sz w:val="18"/>
          <w:szCs w:val="18"/>
          <w:color w:val="auto"/>
        </w:rPr>
        <w:t>Enrollment Representatives do not receive compensation based in whole or in part on the sale of insurance to you. If you have questions, contact your Unum IDI Executive Benefits Representative.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 ____________________________________</w:t>
      </w:r>
    </w:p>
    <w:p>
      <w:pPr>
        <w:spacing w:after="0" w:line="31" w:lineRule="exact"/>
        <w:rPr>
          <w:sz w:val="20"/>
          <w:szCs w:val="20"/>
          <w:color w:val="auto"/>
        </w:rPr>
      </w:pPr>
    </w:p>
    <w:p>
      <w:pPr>
        <w:ind w:left="3300"/>
        <w:spacing w:after="0"/>
        <w:tabs>
          <w:tab w:leader="none" w:pos="4240" w:val="left"/>
        </w:tabs>
        <w:rPr>
          <w:sz w:val="20"/>
          <w:szCs w:val="20"/>
          <w:color w:val="auto"/>
        </w:rPr>
      </w:pPr>
      <w:r>
        <w:rPr>
          <w:rFonts w:ascii="Times New Roman" w:cs="Times New Roman" w:eastAsia="Times New Roman" w:hAnsi="Times New Roman"/>
          <w:sz w:val="18"/>
          <w:szCs w:val="18"/>
          <w:color w:val="auto"/>
        </w:rPr>
        <w:t>(signature)</w:t>
        <w:tab/>
        <w:t>(signature)</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Ruth Kline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 ____________________________________</w:t>
      </w:r>
    </w:p>
    <w:p>
      <w:pPr>
        <w:spacing w:after="0" w:line="36" w:lineRule="exact"/>
        <w:rPr>
          <w:sz w:val="20"/>
          <w:szCs w:val="20"/>
          <w:color w:val="auto"/>
        </w:rPr>
      </w:pPr>
    </w:p>
    <w:p>
      <w:pPr>
        <w:ind w:left="2320"/>
        <w:spacing w:after="0"/>
        <w:tabs>
          <w:tab w:leader="none" w:pos="3740" w:val="left"/>
          <w:tab w:leader="none" w:pos="4260" w:val="left"/>
          <w:tab w:leader="none" w:pos="5700" w:val="left"/>
        </w:tabs>
        <w:rPr>
          <w:sz w:val="20"/>
          <w:szCs w:val="20"/>
          <w:color w:val="auto"/>
        </w:rPr>
      </w:pPr>
      <w:r>
        <w:rPr>
          <w:rFonts w:ascii="Times New Roman" w:cs="Times New Roman" w:eastAsia="Times New Roman" w:hAnsi="Times New Roman"/>
          <w:sz w:val="18"/>
          <w:szCs w:val="18"/>
          <w:color w:val="auto"/>
        </w:rPr>
        <w:t>Position and Title</w:t>
        <w:tab/>
        <w:t>Date</w:t>
        <w:tab/>
        <w:t>Broker of Record</w:t>
        <w:tab/>
        <w:t>Date</w:t>
      </w:r>
    </w:p>
    <w:p>
      <w:pPr>
        <w:spacing w:after="0" w:line="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(type or print clearly)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cc: Donna Dinsmore, Underwriting Consultant - IDI Case Design Underwriting</w:t>
      </w:r>
    </w:p>
    <w:p>
      <w:pPr>
        <w:spacing w:after="0" w:line="28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i w:val="1"/>
          <w:iCs w:val="1"/>
          <w:color w:val="auto"/>
        </w:rPr>
        <w:t>Northrop Grumman 2022 Revision dms</w:t>
      </w: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80"/>
          </w:cols>
          <w:pgMar w:left="320" w:top="189" w:right="49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GROUP PERSONAL EXCESS LIABILITY POLICY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20" w:right="360" w:hanging="3"/>
        <w:spacing w:after="0" w:line="282" w:lineRule="auto"/>
        <w:rPr>
          <w:sz w:val="20"/>
          <w:szCs w:val="20"/>
          <w:color w:val="auto"/>
        </w:rPr>
      </w:pPr>
      <w:r>
        <w:rPr>
          <w:rFonts w:ascii="Times New Roman" w:cs="Times New Roman" w:eastAsia="Times New Roman" w:hAnsi="Times New Roman"/>
          <w:sz w:val="18"/>
          <w:szCs w:val="18"/>
          <w:color w:val="auto"/>
        </w:rPr>
        <w:t>This is your Chubb Group Personal Excess Liability Policy. Together with your Coverage Summary, it explains your coverages and other conditions of your insurance in detail.</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policy is a contract between you and us. READ YOUR POLICY CAREFULLY and keep it in a safe place.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p>
    <w:p>
      <w:pPr>
        <w:spacing w:after="0" w:line="229" w:lineRule="exact"/>
        <w:rPr>
          <w:sz w:val="20"/>
          <w:szCs w:val="20"/>
          <w:color w:val="auto"/>
        </w:rPr>
      </w:pPr>
    </w:p>
    <w:p>
      <w:pPr>
        <w:ind w:left="20" w:right="280" w:hanging="9"/>
        <w:spacing w:after="0" w:line="282" w:lineRule="auto"/>
        <w:rPr>
          <w:sz w:val="20"/>
          <w:szCs w:val="20"/>
          <w:color w:val="auto"/>
        </w:rPr>
      </w:pPr>
      <w:r>
        <w:rPr>
          <w:rFonts w:ascii="Times New Roman" w:cs="Times New Roman" w:eastAsia="Times New Roman" w:hAnsi="Times New Roman"/>
          <w:sz w:val="18"/>
          <w:szCs w:val="18"/>
          <w:color w:val="auto"/>
        </w:rPr>
        <w:t>We agree to provide the insurance described in this policy in return for the premium paid by you or the Sponsoring Organization and your compliance with the policy conditions.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20" w:right="340" w:hanging="5"/>
        <w:spacing w:after="0" w:line="282" w:lineRule="auto"/>
        <w:rPr>
          <w:sz w:val="20"/>
          <w:szCs w:val="20"/>
          <w:color w:val="auto"/>
        </w:rPr>
      </w:pPr>
      <w:r>
        <w:rPr>
          <w:rFonts w:ascii="Times New Roman" w:cs="Times New Roman" w:eastAsia="Times New Roman" w:hAnsi="Times New Roman"/>
          <w:sz w:val="18"/>
          <w:szCs w:val="18"/>
          <w:color w:val="auto"/>
        </w:rPr>
        <w:t>In this policy, we use words in their plain English meaning. Words with special meanings are defined in the part of the policy where they are used. The few defined terms used throughout the policy are defined here: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You </w:t>
      </w:r>
      <w:r>
        <w:rPr>
          <w:rFonts w:ascii="Times New Roman" w:cs="Times New Roman" w:eastAsia="Times New Roman" w:hAnsi="Times New Roman"/>
          <w:sz w:val="18"/>
          <w:szCs w:val="18"/>
          <w:color w:val="auto"/>
        </w:rPr>
        <w:t>means the individual who is a member of the Defined Group shown as the Insured named in the Coverage Summary.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Spouse </w:t>
      </w:r>
      <w:r>
        <w:rPr>
          <w:rFonts w:ascii="Times New Roman" w:cs="Times New Roman" w:eastAsia="Times New Roman" w:hAnsi="Times New Roman"/>
          <w:sz w:val="18"/>
          <w:szCs w:val="18"/>
          <w:color w:val="auto"/>
        </w:rPr>
        <w:t>means a partner in marriage or a partner in a civil union recognized under state law and who lives with you.</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We and us </w:t>
      </w:r>
      <w:r>
        <w:rPr>
          <w:rFonts w:ascii="Times New Roman" w:cs="Times New Roman" w:eastAsia="Times New Roman" w:hAnsi="Times New Roman"/>
          <w:sz w:val="18"/>
          <w:szCs w:val="18"/>
          <w:color w:val="auto"/>
        </w:rPr>
        <w:t>mean the insurance company named in the Coverage Summary.</w:t>
      </w:r>
    </w:p>
    <w:p>
      <w:pPr>
        <w:spacing w:after="0" w:line="225" w:lineRule="exact"/>
        <w:rPr>
          <w:sz w:val="20"/>
          <w:szCs w:val="20"/>
          <w:color w:val="auto"/>
        </w:rPr>
      </w:pPr>
    </w:p>
    <w:p>
      <w:pPr>
        <w:ind w:left="20" w:right="60" w:hanging="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Family member </w:t>
      </w:r>
      <w:r>
        <w:rPr>
          <w:rFonts w:ascii="Times New Roman" w:cs="Times New Roman" w:eastAsia="Times New Roman" w:hAnsi="Times New Roman"/>
          <w:sz w:val="18"/>
          <w:szCs w:val="18"/>
          <w:color w:val="auto"/>
        </w:rPr>
        <w:t>means your spouse or domestic partner or other relative who lives with you, or any other person under 25 in your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your relative's care who lives with you.</w:t>
      </w:r>
    </w:p>
    <w:p>
      <w:pPr>
        <w:spacing w:after="0" w:line="155" w:lineRule="exact"/>
        <w:rPr>
          <w:sz w:val="20"/>
          <w:szCs w:val="20"/>
          <w:color w:val="auto"/>
        </w:rPr>
      </w:pPr>
    </w:p>
    <w:p>
      <w:pPr>
        <w:ind w:left="20" w:right="160" w:firstLine="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Domestic partner </w:t>
      </w:r>
      <w:r>
        <w:rPr>
          <w:rFonts w:ascii="Times New Roman" w:cs="Times New Roman" w:eastAsia="Times New Roman" w:hAnsi="Times New Roman"/>
          <w:sz w:val="18"/>
          <w:szCs w:val="18"/>
          <w:color w:val="auto"/>
        </w:rPr>
        <w:t>means a person in a legal or personal relationship with you, who lives with you and shares a common domestic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you, and meeting all of the benefits eligibility criteria as defined by the Sponsoring Organization.</w:t>
      </w:r>
    </w:p>
    <w:p>
      <w:pPr>
        <w:spacing w:after="0" w:line="155" w:lineRule="exact"/>
        <w:rPr>
          <w:sz w:val="20"/>
          <w:szCs w:val="20"/>
          <w:color w:val="auto"/>
        </w:rPr>
      </w:pPr>
    </w:p>
    <w:p>
      <w:pPr>
        <w:ind w:left="20" w:right="400" w:hanging="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Sponsoring Organization </w:t>
      </w:r>
      <w:r>
        <w:rPr>
          <w:rFonts w:ascii="Times New Roman" w:cs="Times New Roman" w:eastAsia="Times New Roman" w:hAnsi="Times New Roman"/>
          <w:sz w:val="18"/>
          <w:szCs w:val="18"/>
          <w:color w:val="auto"/>
        </w:rPr>
        <w:t>means the entity, corporation, partnership or sole proprietorship sponsoring and defining the criteria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qualification as an Insured.</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Policy </w:t>
      </w:r>
      <w:r>
        <w:rPr>
          <w:rFonts w:ascii="Times New Roman" w:cs="Times New Roman" w:eastAsia="Times New Roman" w:hAnsi="Times New Roman"/>
          <w:sz w:val="18"/>
          <w:szCs w:val="18"/>
          <w:color w:val="auto"/>
        </w:rPr>
        <w:t>means your entire Group Personal Excess Liability Policy, including the Coverage Summary.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Coverage Summary </w:t>
      </w:r>
      <w:r>
        <w:rPr>
          <w:rFonts w:ascii="Times New Roman" w:cs="Times New Roman" w:eastAsia="Times New Roman" w:hAnsi="Times New Roman"/>
          <w:sz w:val="18"/>
          <w:szCs w:val="18"/>
          <w:color w:val="auto"/>
        </w:rPr>
        <w:t>means the most recent Coverage Summary we issued to you, including any endorsements.</w:t>
      </w:r>
    </w:p>
    <w:p>
      <w:pPr>
        <w:spacing w:after="0" w:line="225" w:lineRule="exact"/>
        <w:rPr>
          <w:sz w:val="20"/>
          <w:szCs w:val="20"/>
          <w:color w:val="auto"/>
        </w:rPr>
      </w:pPr>
    </w:p>
    <w:p>
      <w:pPr>
        <w:ind w:left="20"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Occurrence </w:t>
      </w:r>
      <w:r>
        <w:rPr>
          <w:rFonts w:ascii="Times New Roman" w:cs="Times New Roman" w:eastAsia="Times New Roman" w:hAnsi="Times New Roman"/>
          <w:sz w:val="18"/>
          <w:szCs w:val="18"/>
          <w:color w:val="auto"/>
        </w:rPr>
        <w:t>means an accident or offense to which this insurance applies and which begins within the policy period. Continuous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repeated exposure to substantially the same general conditions unless excluded is considered to be one occurrence.</w:t>
      </w:r>
    </w:p>
    <w:p>
      <w:pPr>
        <w:spacing w:after="0" w:line="155" w:lineRule="exact"/>
        <w:rPr>
          <w:sz w:val="20"/>
          <w:szCs w:val="20"/>
          <w:color w:val="auto"/>
        </w:rPr>
      </w:pPr>
    </w:p>
    <w:p>
      <w:pPr>
        <w:ind w:left="20" w:right="540" w:hanging="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w:t>
      </w:r>
      <w:r>
        <w:rPr>
          <w:rFonts w:ascii="Times New Roman" w:cs="Times New Roman" w:eastAsia="Times New Roman" w:hAnsi="Times New Roman"/>
          <w:sz w:val="18"/>
          <w:szCs w:val="18"/>
          <w:color w:val="auto"/>
        </w:rPr>
        <w:t>means any employment, trade, occupation, profession, or farm operation including the raising or care of animals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intended to realize a benefit or financial gain engaged in on a full-time, part-time or occasional basis.</w:t>
      </w:r>
    </w:p>
    <w:p>
      <w:pPr>
        <w:spacing w:after="0" w:line="155" w:lineRule="exact"/>
        <w:rPr>
          <w:sz w:val="20"/>
          <w:szCs w:val="20"/>
          <w:color w:val="auto"/>
        </w:rPr>
      </w:pPr>
    </w:p>
    <w:p>
      <w:pPr>
        <w:ind w:left="20" w:right="140" w:firstLine="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Defined Group </w:t>
      </w:r>
      <w:r>
        <w:rPr>
          <w:rFonts w:ascii="Times New Roman" w:cs="Times New Roman" w:eastAsia="Times New Roman" w:hAnsi="Times New Roman"/>
          <w:sz w:val="18"/>
          <w:szCs w:val="18"/>
          <w:color w:val="auto"/>
        </w:rPr>
        <w:t>means those individuals meeting the criteria for qualification as an Insured as defined by the Sponsoring 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accepted by us.</w:t>
      </w:r>
    </w:p>
    <w:p>
      <w:pPr>
        <w:spacing w:after="0" w:line="155" w:lineRule="exact"/>
        <w:rPr>
          <w:sz w:val="20"/>
          <w:szCs w:val="20"/>
          <w:color w:val="auto"/>
        </w:rPr>
      </w:pPr>
    </w:p>
    <w:p>
      <w:pPr>
        <w:jc w:val="both"/>
        <w:ind w:left="20" w:firstLine="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Follow form </w:t>
      </w:r>
      <w:r>
        <w:rPr>
          <w:rFonts w:ascii="Times New Roman" w:cs="Times New Roman" w:eastAsia="Times New Roman" w:hAnsi="Times New Roman"/>
          <w:sz w:val="18"/>
          <w:szCs w:val="18"/>
          <w:color w:val="auto"/>
        </w:rPr>
        <w:t>means we cover damages to the extent they are both covered under the Required Primary Underlying Insurance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excluded under this policy. Also, the amount of coverage, defense coverages, cancellation and "other insurance" provisions of this policy supersede and replace the similar provisions contained in such other policies. When this policy is called upon to pay losses in excess of required primary underlying policies exhausted by payment of claims, we do not provide broader coverage than provided by such policies. When no primary underlying coverage exists, the extent of coverage provided on a follow form basis will be determined as if the required primary underlying insurance had been purchased from us.</w:t>
      </w:r>
    </w:p>
    <w:p>
      <w:pPr>
        <w:sectPr>
          <w:pgSz w:w="11900" w:h="16838" w:orient="portrait"/>
          <w:cols w:equalWidth="0" w:num="1">
            <w:col w:w="9840"/>
          </w:cols>
          <w:pgMar w:left="960" w:top="1130" w:right="1099" w:bottom="1440" w:gutter="0" w:footer="0" w:header="0"/>
        </w:sectPr>
      </w:pPr>
    </w:p>
    <w:bookmarkStart w:id="111" w:name="page112"/>
    <w:bookmarkEnd w:id="111"/>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Covered person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w:t>
      </w:r>
    </w:p>
    <w:p>
      <w:pPr>
        <w:spacing w:after="0" w:line="225" w:lineRule="exact"/>
        <w:rPr>
          <w:rFonts w:ascii="Times New Roman" w:cs="Times New Roman" w:eastAsia="Times New Roman" w:hAnsi="Times New Roman"/>
          <w:sz w:val="18"/>
          <w:szCs w:val="18"/>
          <w:color w:val="auto"/>
        </w:rPr>
      </w:pPr>
    </w:p>
    <w:p>
      <w:pPr>
        <w:ind w:left="324" w:right="280" w:hanging="324"/>
        <w:spacing w:after="0" w:line="282" w:lineRule="auto"/>
        <w:tabs>
          <w:tab w:leader="none" w:pos="3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using a vehicle or watercraft covered under this policy with permission from you or a family member with respect to their legal responsibility arising out of its use;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who is a covered person under your Required Primary Underlying Insurance;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organization with respect to their legal responsibility for covered acts or omissions of you or a family member; or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w:t>
      </w:r>
    </w:p>
    <w:p>
      <w:pPr>
        <w:spacing w:after="0" w:line="221" w:lineRule="exact"/>
        <w:rPr>
          <w:sz w:val="20"/>
          <w:szCs w:val="20"/>
          <w:color w:val="auto"/>
        </w:rPr>
      </w:pPr>
    </w:p>
    <w:p>
      <w:pPr>
        <w:ind w:left="4" w:right="140" w:firstLine="1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Damages </w:t>
      </w:r>
      <w:r>
        <w:rPr>
          <w:rFonts w:ascii="Times New Roman" w:cs="Times New Roman" w:eastAsia="Times New Roman" w:hAnsi="Times New Roman"/>
          <w:sz w:val="18"/>
          <w:szCs w:val="18"/>
          <w:color w:val="auto"/>
        </w:rPr>
        <w:t>mean the sum that is paid or is payable to satisfy a claim settled by us or resolved by judicial procedure or by a compromise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agree to in writing.</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Personal injury </w:t>
      </w:r>
      <w:r>
        <w:rPr>
          <w:rFonts w:ascii="Times New Roman" w:cs="Times New Roman" w:eastAsia="Times New Roman" w:hAnsi="Times New Roman"/>
          <w:sz w:val="18"/>
          <w:szCs w:val="18"/>
          <w:color w:val="auto"/>
        </w:rPr>
        <w:t>means the following injuries, and resulting death:</w:t>
      </w:r>
    </w:p>
    <w:p>
      <w:pPr>
        <w:spacing w:after="0" w:line="229" w:lineRule="exact"/>
        <w:rPr>
          <w:sz w:val="20"/>
          <w:szCs w:val="20"/>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bodily injury;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shock, mental anguish, or mental injury;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arrest, false imprisonment, or wrongful detention;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 entry or eviction;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prosecution or humiliation;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libel, slander, defamation of character, or invasion of privacy.</w:t>
      </w:r>
    </w:p>
    <w:p>
      <w:pPr>
        <w:spacing w:after="0" w:line="221" w:lineRule="exact"/>
        <w:rPr>
          <w:sz w:val="20"/>
          <w:szCs w:val="20"/>
          <w:color w:val="auto"/>
        </w:rPr>
      </w:pPr>
    </w:p>
    <w:p>
      <w:pPr>
        <w:ind w:left="4" w:right="360" w:hanging="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Bodily injury </w:t>
      </w:r>
      <w:r>
        <w:rPr>
          <w:rFonts w:ascii="Times New Roman" w:cs="Times New Roman" w:eastAsia="Times New Roman" w:hAnsi="Times New Roman"/>
          <w:sz w:val="18"/>
          <w:szCs w:val="18"/>
          <w:color w:val="auto"/>
        </w:rPr>
        <w:t>means physical bodily harm, including sickness or disease that results from it, and required care, loss of services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death.</w:t>
      </w:r>
    </w:p>
    <w:p>
      <w:pPr>
        <w:spacing w:after="0" w:line="155"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damage </w:t>
      </w:r>
      <w:r>
        <w:rPr>
          <w:rFonts w:ascii="Times New Roman" w:cs="Times New Roman" w:eastAsia="Times New Roman" w:hAnsi="Times New Roman"/>
          <w:sz w:val="18"/>
          <w:szCs w:val="18"/>
          <w:color w:val="auto"/>
        </w:rPr>
        <w:t>means physical injury to or destruction of tangible property and the resulting loss of its use. Tangible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the cost of recreating or replacing stocks, bonds, deeds, mortgages, bank deposits, and similar instruments, but does not include the value represented by such instruments. Tangible property does not include the cost of recreating or replacing any software, data or other information that is in electronic form.</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Registered vehicle </w:t>
      </w:r>
      <w:r>
        <w:rPr>
          <w:rFonts w:ascii="Times New Roman" w:cs="Times New Roman" w:eastAsia="Times New Roman" w:hAnsi="Times New Roman"/>
          <w:sz w:val="18"/>
          <w:szCs w:val="18"/>
          <w:color w:val="auto"/>
        </w:rPr>
        <w:t>means any motorized land vehicle not described in "unregistered vehicle."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Unregistered vehicle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motorized land vehicle not designed for or required to be registered for use on public roads;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motorized land vehicle which is in dead storage at your residence;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motorized land vehicle used solely on and to service your residence premises;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motorized land vehicle used to assist the disabled that is not designed for or required to be registered for use on public roads; or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carts.</w:t>
      </w:r>
    </w:p>
    <w:p>
      <w:pPr>
        <w:sectPr>
          <w:pgSz w:w="11900" w:h="16838" w:orient="portrait"/>
          <w:cols w:equalWidth="0" w:num="1">
            <w:col w:w="9824"/>
          </w:cols>
          <w:pgMar w:left="976" w:top="1130" w:right="1099" w:bottom="1440" w:gutter="0" w:footer="0" w:header="0"/>
        </w:sectPr>
      </w:pPr>
    </w:p>
    <w:bookmarkStart w:id="112" w:name="page113"/>
    <w:bookmarkEnd w:id="11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GROUP PERSONAL EXCESS COVERAGE</w:t>
      </w:r>
    </w:p>
    <w:p>
      <w:pPr>
        <w:spacing w:after="0" w:line="22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This part of your Group Personal Excess Liability Policy provides you or a family member with liability coverage in excess of your underlying insurance anywhere in the world unless stated otherwise or an exclusion applies.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Payment for a Loss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Amount of coverage</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amount of coverage for liability is shown in the Coverage Summary. We will pay on your behalf up to that amount for covered damages from any one occurrence, regardless of how many claims, homes, vehicles, watercraft, or people are involved in the occurrence.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Any costs we pay for legal expenses (see </w:t>
      </w:r>
      <w:r>
        <w:rPr>
          <w:rFonts w:ascii="Times New Roman" w:cs="Times New Roman" w:eastAsia="Times New Roman" w:hAnsi="Times New Roman"/>
          <w:sz w:val="18"/>
          <w:szCs w:val="18"/>
          <w:b w:val="1"/>
          <w:bCs w:val="1"/>
          <w:color w:val="auto"/>
        </w:rPr>
        <w:t>Defense coverages)</w:t>
      </w:r>
      <w:r>
        <w:rPr>
          <w:rFonts w:ascii="Times New Roman" w:cs="Times New Roman" w:eastAsia="Times New Roman" w:hAnsi="Times New Roman"/>
          <w:sz w:val="18"/>
          <w:szCs w:val="18"/>
          <w:color w:val="auto"/>
        </w:rPr>
        <w:t xml:space="preserve"> are in addition to the amount of coverage.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Underlying Insurance</w:t>
      </w:r>
    </w:p>
    <w:p>
      <w:pPr>
        <w:spacing w:after="0" w:line="229" w:lineRule="exact"/>
        <w:rPr>
          <w:sz w:val="20"/>
          <w:szCs w:val="20"/>
          <w:color w:val="auto"/>
        </w:rPr>
      </w:pPr>
    </w:p>
    <w:p>
      <w:pPr>
        <w:jc w:val="both"/>
        <w:ind w:left="20" w:hanging="13"/>
        <w:spacing w:after="0" w:line="282" w:lineRule="auto"/>
        <w:rPr>
          <w:sz w:val="20"/>
          <w:szCs w:val="20"/>
          <w:color w:val="auto"/>
        </w:rPr>
      </w:pPr>
      <w:r>
        <w:rPr>
          <w:rFonts w:ascii="Times New Roman" w:cs="Times New Roman" w:eastAsia="Times New Roman" w:hAnsi="Times New Roman"/>
          <w:sz w:val="18"/>
          <w:szCs w:val="18"/>
          <w:color w:val="auto"/>
        </w:rPr>
        <w:t>We will pay only for covered damages in excess of all underlying insurance covering those damages, even if the underlying coverage is for more than the minimum amount.</w:t>
      </w:r>
    </w:p>
    <w:p>
      <w:pPr>
        <w:spacing w:after="0" w:line="162" w:lineRule="exact"/>
        <w:rPr>
          <w:sz w:val="20"/>
          <w:szCs w:val="20"/>
          <w:color w:val="auto"/>
        </w:rPr>
      </w:pPr>
    </w:p>
    <w:p>
      <w:pPr>
        <w:jc w:val="both"/>
        <w:ind w:left="20" w:firstLine="4"/>
        <w:spacing w:after="0" w:line="282" w:lineRule="auto"/>
        <w:rPr>
          <w:sz w:val="20"/>
          <w:szCs w:val="20"/>
          <w:color w:val="auto"/>
        </w:rPr>
      </w:pPr>
      <w:r>
        <w:rPr>
          <w:rFonts w:ascii="Times New Roman" w:cs="Times New Roman" w:eastAsia="Times New Roman" w:hAnsi="Times New Roman"/>
          <w:sz w:val="18"/>
          <w:szCs w:val="18"/>
          <w:color w:val="auto"/>
        </w:rPr>
        <w:t>"Underlying insurance" includes all liability coverage that applies to the covered damages, except for other insurance purchased in excess of this policy.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Required primary underlying insurance</w:t>
      </w:r>
    </w:p>
    <w:p>
      <w:pPr>
        <w:spacing w:after="0" w:line="229" w:lineRule="exact"/>
        <w:rPr>
          <w:sz w:val="20"/>
          <w:szCs w:val="20"/>
          <w:color w:val="auto"/>
        </w:rPr>
      </w:pPr>
    </w:p>
    <w:p>
      <w:pPr>
        <w:jc w:val="both"/>
        <w:ind w:left="20" w:hanging="5"/>
        <w:spacing w:after="0" w:line="258" w:lineRule="auto"/>
        <w:rPr>
          <w:sz w:val="20"/>
          <w:szCs w:val="20"/>
          <w:color w:val="auto"/>
        </w:rPr>
      </w:pPr>
      <w:r>
        <w:rPr>
          <w:rFonts w:ascii="Times New Roman" w:cs="Times New Roman" w:eastAsia="Times New Roman" w:hAnsi="Times New Roman"/>
          <w:sz w:val="18"/>
          <w:szCs w:val="18"/>
          <w:color w:val="auto"/>
        </w:rPr>
        <w:t>Regardless of whatever other primary underlying insurance may be available in the event of a claim or loss, it is a condition of your policy that you and your family members must maintain in full effect primary underlying liability insurance of the types and in at least the amounts set forth below unless a different amount is shown in your Coverage Summary, covering your personal liability and to the extent you or a family member have such liability exposures, all vehicles and watercraft you or your family members own, or rent for longer than 60 days, or have furnished for longer than 60 days, as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liability(homeowners) for personal injury and property damage in the minimum amount of $300,000 each occurrence.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vehicles in the minimum amount of:</w:t>
      </w:r>
    </w:p>
    <w:p>
      <w:pPr>
        <w:spacing w:after="0" w:line="225" w:lineRule="exact"/>
        <w:rPr>
          <w:sz w:val="20"/>
          <w:szCs w:val="20"/>
          <w:color w:val="auto"/>
        </w:rPr>
      </w:pPr>
    </w:p>
    <w:p>
      <w:pPr>
        <w:ind w:left="660" w:hanging="320"/>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$250,000/$500,000 bodily injury and $100,000 property damage;</w:t>
      </w:r>
    </w:p>
    <w:p>
      <w:pPr>
        <w:spacing w:after="0" w:line="27" w:lineRule="exact"/>
        <w:rPr>
          <w:rFonts w:ascii="Times New Roman" w:cs="Times New Roman" w:eastAsia="Times New Roman" w:hAnsi="Times New Roman"/>
          <w:sz w:val="18"/>
          <w:szCs w:val="18"/>
          <w:color w:val="auto"/>
        </w:rPr>
      </w:pPr>
    </w:p>
    <w:p>
      <w:pPr>
        <w:ind w:left="660" w:hanging="320"/>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$300,000/$300,000 bodily injury and $100,000 property damage; or</w:t>
      </w:r>
    </w:p>
    <w:p>
      <w:pPr>
        <w:spacing w:after="0" w:line="9" w:lineRule="exact"/>
        <w:rPr>
          <w:rFonts w:ascii="Times New Roman" w:cs="Times New Roman" w:eastAsia="Times New Roman" w:hAnsi="Times New Roman"/>
          <w:sz w:val="18"/>
          <w:szCs w:val="18"/>
          <w:color w:val="auto"/>
        </w:rPr>
      </w:pPr>
    </w:p>
    <w:p>
      <w:pPr>
        <w:ind w:left="660" w:hanging="320"/>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single limit each occurrence.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Unregistered vehicles in the minimum amount of $300,000 bodily injury and property damage each occurrence.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vehicles with less than four wheels and motorhomes in the minimum amount of:</w:t>
      </w:r>
    </w:p>
    <w:p>
      <w:pPr>
        <w:spacing w:after="0" w:line="225" w:lineRule="exact"/>
        <w:rPr>
          <w:sz w:val="20"/>
          <w:szCs w:val="20"/>
          <w:color w:val="auto"/>
        </w:rPr>
      </w:pPr>
    </w:p>
    <w:p>
      <w:pPr>
        <w:ind w:left="660" w:hanging="320"/>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$250,000/$500,000 bodily injury and $100,000 property damage;</w:t>
      </w:r>
    </w:p>
    <w:p>
      <w:pPr>
        <w:spacing w:after="0" w:line="27" w:lineRule="exact"/>
        <w:rPr>
          <w:rFonts w:ascii="Times New Roman" w:cs="Times New Roman" w:eastAsia="Times New Roman" w:hAnsi="Times New Roman"/>
          <w:sz w:val="18"/>
          <w:szCs w:val="18"/>
          <w:color w:val="auto"/>
        </w:rPr>
      </w:pPr>
    </w:p>
    <w:p>
      <w:pPr>
        <w:ind w:left="660" w:hanging="320"/>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$300,000/$300,000 bodily injury and $100,000 property damage; or</w:t>
      </w:r>
    </w:p>
    <w:p>
      <w:pPr>
        <w:spacing w:after="0" w:line="9" w:lineRule="exact"/>
        <w:rPr>
          <w:rFonts w:ascii="Times New Roman" w:cs="Times New Roman" w:eastAsia="Times New Roman" w:hAnsi="Times New Roman"/>
          <w:sz w:val="18"/>
          <w:szCs w:val="18"/>
          <w:color w:val="auto"/>
        </w:rPr>
      </w:pPr>
    </w:p>
    <w:p>
      <w:pPr>
        <w:ind w:left="660" w:hanging="320"/>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single limit each occurrence.</w:t>
      </w:r>
    </w:p>
    <w:p>
      <w:pPr>
        <w:spacing w:after="0" w:line="234" w:lineRule="exact"/>
        <w:rPr>
          <w:sz w:val="20"/>
          <w:szCs w:val="20"/>
          <w:color w:val="auto"/>
        </w:rPr>
      </w:pPr>
    </w:p>
    <w:p>
      <w:pPr>
        <w:ind w:left="20" w:hanging="5"/>
        <w:spacing w:after="0" w:line="282" w:lineRule="auto"/>
        <w:rPr>
          <w:sz w:val="20"/>
          <w:szCs w:val="20"/>
          <w:color w:val="auto"/>
        </w:rPr>
      </w:pPr>
      <w:r>
        <w:rPr>
          <w:rFonts w:ascii="Times New Roman" w:cs="Times New Roman" w:eastAsia="Times New Roman" w:hAnsi="Times New Roman"/>
          <w:sz w:val="18"/>
          <w:szCs w:val="18"/>
          <w:color w:val="auto"/>
        </w:rPr>
        <w:t>Watercraft less than 26 feet and 50 engine rated horsepower or less for bodily injury and property damage in the minimum amount of $300,000 each occurrence.</w:t>
      </w:r>
    </w:p>
    <w:p>
      <w:pPr>
        <w:spacing w:after="0" w:line="162" w:lineRule="exact"/>
        <w:rPr>
          <w:sz w:val="20"/>
          <w:szCs w:val="20"/>
          <w:color w:val="auto"/>
        </w:rPr>
      </w:pPr>
    </w:p>
    <w:p>
      <w:pPr>
        <w:ind w:left="20" w:hanging="5"/>
        <w:spacing w:after="0" w:line="282" w:lineRule="auto"/>
        <w:rPr>
          <w:sz w:val="20"/>
          <w:szCs w:val="20"/>
          <w:color w:val="auto"/>
        </w:rPr>
      </w:pPr>
      <w:r>
        <w:rPr>
          <w:rFonts w:ascii="Times New Roman" w:cs="Times New Roman" w:eastAsia="Times New Roman" w:hAnsi="Times New Roman"/>
          <w:sz w:val="18"/>
          <w:szCs w:val="18"/>
          <w:color w:val="auto"/>
        </w:rPr>
        <w:t>Watercraft 26 feet or longer or more than 50 engine rated horsepower for bodily injury and property damage in the minimum amount of $500,000 each occurrence.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Uninsured motorists/underinsure d motorist protection in the minimum amounts of:</w:t>
      </w:r>
    </w:p>
    <w:p>
      <w:pPr>
        <w:spacing w:after="0" w:line="225" w:lineRule="exact"/>
        <w:rPr>
          <w:sz w:val="20"/>
          <w:szCs w:val="20"/>
          <w:color w:val="auto"/>
        </w:rPr>
      </w:pPr>
    </w:p>
    <w:p>
      <w:pPr>
        <w:ind w:left="660" w:hanging="320"/>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$250,000/$500,000 bodily injury and $100,000 property damage;</w:t>
      </w:r>
    </w:p>
    <w:p>
      <w:pPr>
        <w:sectPr>
          <w:pgSz w:w="11900" w:h="16838" w:orient="portrait"/>
          <w:cols w:equalWidth="0" w:num="1">
            <w:col w:w="9840"/>
          </w:cols>
          <w:pgMar w:left="960" w:top="1130" w:right="1099" w:bottom="1440" w:gutter="0" w:footer="0" w:header="0"/>
        </w:sectPr>
      </w:pPr>
    </w:p>
    <w:bookmarkStart w:id="113" w:name="page114"/>
    <w:bookmarkEnd w:id="113"/>
    <w:p>
      <w:pPr>
        <w:ind w:left="660" w:hanging="320"/>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$300,000/$300,000 bodily injury and $100,000 property damage; or</w:t>
      </w:r>
    </w:p>
    <w:p>
      <w:pPr>
        <w:spacing w:after="0" w:line="27" w:lineRule="exact"/>
        <w:rPr>
          <w:rFonts w:ascii="Times New Roman" w:cs="Times New Roman" w:eastAsia="Times New Roman" w:hAnsi="Times New Roman"/>
          <w:sz w:val="18"/>
          <w:szCs w:val="18"/>
          <w:color w:val="auto"/>
        </w:rPr>
      </w:pPr>
    </w:p>
    <w:p>
      <w:pPr>
        <w:ind w:left="660" w:hanging="320"/>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single limit each occurrence.</w:t>
      </w:r>
    </w:p>
    <w:p>
      <w:pPr>
        <w:spacing w:after="0" w:line="9" w:lineRule="exact"/>
        <w:rPr>
          <w:sz w:val="20"/>
          <w:szCs w:val="20"/>
          <w:color w:val="auto"/>
        </w:rPr>
      </w:pPr>
    </w:p>
    <w:p>
      <w:pPr>
        <w:jc w:val="both"/>
        <w:ind w:left="20" w:hanging="5"/>
        <w:spacing w:after="0" w:line="252" w:lineRule="auto"/>
        <w:rPr>
          <w:sz w:val="20"/>
          <w:szCs w:val="20"/>
          <w:color w:val="auto"/>
        </w:rPr>
      </w:pPr>
      <w:r>
        <w:rPr>
          <w:rFonts w:ascii="Times New Roman" w:cs="Times New Roman" w:eastAsia="Times New Roman" w:hAnsi="Times New Roman"/>
          <w:sz w:val="18"/>
          <w:szCs w:val="18"/>
          <w:color w:val="auto"/>
        </w:rPr>
        <w:t>With respect to you and your family members residing outside of the United States, the required primary underlying insurance limits of liability shall be the same limits of liability as shown above, unless you and your family members reside in a country where the minimum required primary underlying insurance limits of liability are not available. In these countries, you and your family members must maintain in full effect primary underlying liability insurance limits equal to the maximum limits of liability available in that country for all coverages up to the minimum required primary underlying limits shown in the Coverage Summary under Required Primary Underlying Insurance.</w:t>
      </w:r>
    </w:p>
    <w:p>
      <w:pPr>
        <w:spacing w:after="0" w:line="190" w:lineRule="exact"/>
        <w:rPr>
          <w:sz w:val="20"/>
          <w:szCs w:val="20"/>
          <w:color w:val="auto"/>
        </w:rPr>
      </w:pPr>
    </w:p>
    <w:p>
      <w:pPr>
        <w:jc w:val="both"/>
        <w:ind w:left="20" w:hanging="5"/>
        <w:spacing w:after="0" w:line="261" w:lineRule="auto"/>
        <w:rPr>
          <w:sz w:val="20"/>
          <w:szCs w:val="20"/>
          <w:color w:val="auto"/>
        </w:rPr>
      </w:pPr>
      <w:r>
        <w:rPr>
          <w:rFonts w:ascii="Times New Roman" w:cs="Times New Roman" w:eastAsia="Times New Roman" w:hAnsi="Times New Roman"/>
          <w:sz w:val="18"/>
          <w:szCs w:val="18"/>
          <w:color w:val="auto"/>
        </w:rPr>
        <w:t>Failure by you or your family members to comply with this condition, or failure of any of your primary underlying insurers due to insolvency or bankruptcy, shall not invalidate this policy. In the event of any such failure, we shall only be liable in excess of the foregoing minimum amounts and to no greater extent with respect to coverages, amounts and defense costs than we would have been had this failure not occurred.</w:t>
      </w:r>
    </w:p>
    <w:p>
      <w:pPr>
        <w:spacing w:after="0" w:line="180" w:lineRule="exact"/>
        <w:rPr>
          <w:sz w:val="20"/>
          <w:szCs w:val="20"/>
          <w:color w:val="auto"/>
        </w:rPr>
      </w:pPr>
    </w:p>
    <w:p>
      <w:pPr>
        <w:jc w:val="both"/>
        <w:ind w:left="20" w:hanging="5"/>
        <w:spacing w:after="0" w:line="282" w:lineRule="auto"/>
        <w:rPr>
          <w:sz w:val="20"/>
          <w:szCs w:val="20"/>
          <w:color w:val="auto"/>
        </w:rPr>
      </w:pPr>
      <w:r>
        <w:rPr>
          <w:rFonts w:ascii="Times New Roman" w:cs="Times New Roman" w:eastAsia="Times New Roman" w:hAnsi="Times New Roman"/>
          <w:sz w:val="18"/>
          <w:szCs w:val="18"/>
          <w:color w:val="auto"/>
        </w:rPr>
        <w:t>You must also give notice of losses and otherwise cooperate and comply with the terms and conditions of such primary underlying insurance.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Group Personal Excess Liability Coverage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cover damages a covered person is legally obligated to pay for bodily injury and property damage, caused by an occurrence:</w:t>
      </w:r>
    </w:p>
    <w:p>
      <w:pPr>
        <w:spacing w:after="0" w:line="225" w:lineRule="exact"/>
        <w:rPr>
          <w:sz w:val="20"/>
          <w:szCs w:val="20"/>
          <w:color w:val="auto"/>
        </w:rPr>
      </w:pPr>
    </w:p>
    <w:p>
      <w:pPr>
        <w:ind w:left="1300" w:hanging="649"/>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damages covered by the underlying insurance; or</w:t>
      </w:r>
    </w:p>
    <w:p>
      <w:pPr>
        <w:spacing w:after="0" w:line="27" w:lineRule="exact"/>
        <w:rPr>
          <w:rFonts w:ascii="Times New Roman" w:cs="Times New Roman" w:eastAsia="Times New Roman" w:hAnsi="Times New Roman"/>
          <w:sz w:val="18"/>
          <w:szCs w:val="18"/>
          <w:color w:val="auto"/>
        </w:rPr>
      </w:pPr>
    </w:p>
    <w:p>
      <w:pPr>
        <w:ind w:left="1300" w:hanging="649"/>
        <w:spacing w:after="0" w:line="250" w:lineRule="auto"/>
        <w:tabs>
          <w:tab w:leader="none" w:pos="12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first dollar of damage where no underlying insurance is required under this policy and no underlying insurance exists; or</w:t>
      </w:r>
    </w:p>
    <w:p>
      <w:pPr>
        <w:ind w:left="1300" w:hanging="649"/>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first dollar of damage where underlying insurance is required under this policy but no coverage is provided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by the underlying insurance for a particular occurrence;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unless stated otherwise or an exclusion applies.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Exclusions to this coverage are described in </w:t>
      </w: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Excess uninsured motorists/underinsured motorist protection</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coverage is in effect only if excess uninsured motorists/underinsure d motorists protection is shown in the Coverage Summary.</w:t>
      </w:r>
    </w:p>
    <w:p>
      <w:pPr>
        <w:spacing w:after="0" w:line="225"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We cover damages for bodily injury and property damage a covered person is legally entitled to receive from the owner or operator of an uninsured motorized/underinsured motorized land vehicle. We cover these damages in excess of the underlying insurance or the Required Primary Underlying Insurance, whichever is greater, if they are caused by an occurrence during the policy period, unless otherwise stated.</w:t>
      </w:r>
    </w:p>
    <w:p>
      <w:pPr>
        <w:spacing w:after="0" w:line="176"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Amount of coverage. </w:t>
      </w:r>
      <w:r>
        <w:rPr>
          <w:rFonts w:ascii="Times New Roman" w:cs="Times New Roman" w:eastAsia="Times New Roman" w:hAnsi="Times New Roman"/>
          <w:sz w:val="18"/>
          <w:szCs w:val="18"/>
          <w:color w:val="auto"/>
        </w:rPr>
        <w:t>The maximum amount of excess uninsured motorists/underinsure d motorists protection available for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is the excess uninsured motorists/underinsure d motorists protection amount shown in the Coverage Summary regardless of the number of vehicles covered by the Required Primary Underlying Insurance. We will not pay more than this amount in any one occurrence for covered damages regardless of how many claims, vehicles or people are involved in the occurrence. This coverage will follow form.</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Uninsured motorists/underinsured motorists protection arbitration</w:t>
      </w:r>
    </w:p>
    <w:p>
      <w:pPr>
        <w:spacing w:after="0" w:line="229" w:lineRule="exact"/>
        <w:rPr>
          <w:sz w:val="20"/>
          <w:szCs w:val="20"/>
          <w:color w:val="auto"/>
        </w:rPr>
      </w:pPr>
    </w:p>
    <w:p>
      <w:pPr>
        <w:jc w:val="both"/>
        <w:ind w:left="20" w:hanging="9"/>
        <w:spacing w:after="0" w:line="255" w:lineRule="auto"/>
        <w:rPr>
          <w:sz w:val="20"/>
          <w:szCs w:val="20"/>
          <w:color w:val="auto"/>
        </w:rPr>
      </w:pPr>
      <w:r>
        <w:rPr>
          <w:rFonts w:ascii="Times New Roman" w:cs="Times New Roman" w:eastAsia="Times New Roman" w:hAnsi="Times New Roman"/>
          <w:sz w:val="18"/>
          <w:szCs w:val="18"/>
          <w:color w:val="auto"/>
        </w:rPr>
        <w:t>If we and a covered person disagree whether that person is legally entitled to recover damages from the owner or operator of an uninsured motor vehicle/underinsured motor vehicle, or do not agree as to the amount of damages, either party may make a written demand for arbitration. In this event, each party will select an arbitrator. The two arbitrators will select a third. If they cannot agree on a third arbitrator within 45 days, either may request that the arbitration be submitted to the American Arbitration Association. When the covered person's recovery exceeds the minimum limit specified in the applicable jurisdiction's financial responsibility law, each party will pay the expenses it incurs, and bear the expenses of the third arbitrator equally. Otherwise, we will bear all the expenses of the arbitration.</w:t>
      </w:r>
    </w:p>
    <w:p>
      <w:pPr>
        <w:sectPr>
          <w:pgSz w:w="11900" w:h="16838" w:orient="portrait"/>
          <w:cols w:equalWidth="0" w:num="1">
            <w:col w:w="9840"/>
          </w:cols>
          <w:pgMar w:left="960" w:top="1134" w:right="1099" w:bottom="1440" w:gutter="0" w:footer="0" w:header="0"/>
        </w:sectPr>
      </w:pPr>
    </w:p>
    <w:bookmarkStart w:id="114" w:name="page115"/>
    <w:bookmarkEnd w:id="114"/>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Unless both parties agree otherwise, arbitration will take place in the county and state in which the covered person lives. Local rules of law as to procedure and evidence will apply. A decision agreed to by two arbitrators will be binding unless the recovery amount for bodily injury exceeds the minimum limit specified by the applicable jurisdiction's financial responsibility law. If the amount exceeds that limit, either party may demand the right to a trial. This demand must be made within 60 days of the arbitrator's decision. If this demand is not made, the amount of damages agreed to by the arbitrators will be binding.</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Uninsured/underinsured liability coverage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coverage is in effect only if excess uninsured motorists/underinsured motorists protection is shown in the Coverage Summary.</w:t>
      </w:r>
    </w:p>
    <w:p>
      <w:pPr>
        <w:spacing w:after="0" w:line="225"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We cover up to a maximum of $1 million for bodily injury and personal injury you or a family member are legally entitled to receive from an uninsured or underinsured negligent person caused by an occurrence, unless stated otherwise or an exclusion applies. We will not pay more than this amount for covered damages from any one occurrence, regardless of how many claims or people are involved in the occurrence. This coverage is excess over the total of any other collectible insurance that covers damages from the occurrence.</w:t>
      </w:r>
    </w:p>
    <w:p>
      <w:pPr>
        <w:spacing w:after="0" w:line="180" w:lineRule="exact"/>
        <w:rPr>
          <w:sz w:val="20"/>
          <w:szCs w:val="20"/>
          <w:color w:val="auto"/>
        </w:rPr>
      </w:pPr>
    </w:p>
    <w:p>
      <w:pPr>
        <w:jc w:val="both"/>
        <w:ind w:left="4" w:firstLine="9"/>
        <w:spacing w:after="0" w:line="255" w:lineRule="auto"/>
        <w:rPr>
          <w:sz w:val="20"/>
          <w:szCs w:val="20"/>
          <w:color w:val="auto"/>
        </w:rPr>
      </w:pPr>
      <w:r>
        <w:rPr>
          <w:rFonts w:ascii="Times New Roman" w:cs="Times New Roman" w:eastAsia="Times New Roman" w:hAnsi="Times New Roman"/>
          <w:sz w:val="18"/>
          <w:szCs w:val="18"/>
          <w:color w:val="auto"/>
        </w:rPr>
        <w:t>All the exclusions under the Group Personal Excess Liability Coverage are applicable to this Uninsured/underinsured liability coverage, and where used, the definition of you or a family member is extended to include negligent person. This coverage also does not apply to damages from an occurrence arising out of any business activities; any activities involving business property or the sale or transfer of property; or the ownership, maintenance, use, loading, unloading, or towing of any motor vehicle, watercraft, or aircraft. In addition, this coverage does not apply to damages from an occurrence arising from any employment related harassment, termination, demotion, breach of an oral or written employment contract or agreement or violation of any state or federal wrongful employment practices act or similar law.</w:t>
      </w:r>
    </w:p>
    <w:p>
      <w:pPr>
        <w:spacing w:after="0" w:line="189" w:lineRule="exact"/>
        <w:rPr>
          <w:sz w:val="20"/>
          <w:szCs w:val="20"/>
          <w:color w:val="auto"/>
        </w:rPr>
      </w:pPr>
    </w:p>
    <w:p>
      <w:pPr>
        <w:ind w:left="4" w:right="120" w:hanging="3"/>
        <w:spacing w:after="0" w:line="282" w:lineRule="auto"/>
        <w:rPr>
          <w:sz w:val="20"/>
          <w:szCs w:val="20"/>
          <w:color w:val="auto"/>
        </w:rPr>
      </w:pPr>
      <w:r>
        <w:rPr>
          <w:rFonts w:ascii="Times New Roman" w:cs="Times New Roman" w:eastAsia="Times New Roman" w:hAnsi="Times New Roman"/>
          <w:sz w:val="18"/>
          <w:szCs w:val="18"/>
          <w:color w:val="auto"/>
        </w:rPr>
        <w:t>We also do not cover any fines, penalties, taxes, punitive, exemplary or multiplied damages, or any claim or suit seeking non­monetary relief, including but not limited to, injunctive relief, declaratory relief or other equitable remedies.</w:t>
      </w:r>
    </w:p>
    <w:p>
      <w:pPr>
        <w:spacing w:after="0" w:line="162" w:lineRule="exact"/>
        <w:rPr>
          <w:sz w:val="20"/>
          <w:szCs w:val="20"/>
          <w:color w:val="auto"/>
        </w:rPr>
      </w:pPr>
    </w:p>
    <w:p>
      <w:pPr>
        <w:ind w:left="4" w:right="160" w:hanging="5"/>
        <w:spacing w:after="0" w:line="282" w:lineRule="auto"/>
        <w:rPr>
          <w:sz w:val="20"/>
          <w:szCs w:val="20"/>
          <w:color w:val="auto"/>
        </w:rPr>
      </w:pPr>
      <w:r>
        <w:rPr>
          <w:rFonts w:ascii="Times New Roman" w:cs="Times New Roman" w:eastAsia="Times New Roman" w:hAnsi="Times New Roman"/>
          <w:sz w:val="18"/>
          <w:szCs w:val="18"/>
          <w:color w:val="auto"/>
        </w:rPr>
        <w:t>"Negligent person" means an identifiable natural person by legal name who is not a family member, and who is legally responsible for damages sustained by you or a family member caused by an occurrence.</w:t>
      </w:r>
    </w:p>
    <w:p>
      <w:pPr>
        <w:spacing w:after="0" w:line="158" w:lineRule="exact"/>
        <w:rPr>
          <w:sz w:val="20"/>
          <w:szCs w:val="20"/>
          <w:color w:val="auto"/>
        </w:rPr>
      </w:pPr>
    </w:p>
    <w:p>
      <w:pPr>
        <w:jc w:val="both"/>
        <w:ind w:left="4" w:firstLine="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Duplication of coverage. </w:t>
      </w:r>
      <w:r>
        <w:rPr>
          <w:rFonts w:ascii="Times New Roman" w:cs="Times New Roman" w:eastAsia="Times New Roman" w:hAnsi="Times New Roman"/>
          <w:sz w:val="18"/>
          <w:szCs w:val="18"/>
          <w:color w:val="auto"/>
        </w:rPr>
        <w:t>We will not make a duplicate payment for any portion of damages for which payment has been made by or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persons who may be legally responsible, or otherwise covered by any other collectible insurance. Nor will we pay for any portion of damages if you or a family member is entitled to receive payment for the same portion of damages under any workers' compensation law, disability benefits law or similar law.</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Defense coverages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will defend a covered person against any suit seeking covered damages for personal injury or property damage that is either:</w:t>
      </w:r>
    </w:p>
    <w:p>
      <w:pPr>
        <w:spacing w:after="0" w:line="225" w:lineRule="exact"/>
        <w:rPr>
          <w:sz w:val="20"/>
          <w:szCs w:val="20"/>
          <w:color w:val="auto"/>
        </w:rPr>
      </w:pPr>
    </w:p>
    <w:p>
      <w:pPr>
        <w:ind w:left="324" w:hanging="324"/>
        <w:spacing w:after="0"/>
        <w:tabs>
          <w:tab w:leader="none" w:pos="3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covered by any underlying insurance; or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by an underlying policy. This will apply to each Defense Coverage as it has been exhausted by payment of claims.</w:t>
      </w:r>
    </w:p>
    <w:p>
      <w:pPr>
        <w:spacing w:after="0" w:line="225" w:lineRule="exact"/>
        <w:rPr>
          <w:sz w:val="20"/>
          <w:szCs w:val="20"/>
          <w:color w:val="auto"/>
        </w:rPr>
      </w:pPr>
    </w:p>
    <w:p>
      <w:pPr>
        <w:ind w:left="4" w:right="740" w:hanging="5"/>
        <w:spacing w:after="0" w:line="282" w:lineRule="auto"/>
        <w:rPr>
          <w:sz w:val="20"/>
          <w:szCs w:val="20"/>
          <w:color w:val="auto"/>
        </w:rPr>
      </w:pPr>
      <w:r>
        <w:rPr>
          <w:rFonts w:ascii="Times New Roman" w:cs="Times New Roman" w:eastAsia="Times New Roman" w:hAnsi="Times New Roman"/>
          <w:sz w:val="18"/>
          <w:szCs w:val="18"/>
          <w:color w:val="auto"/>
        </w:rPr>
        <w:t>We provide this defense at our expense, with counsel of our choice, even if the suit is groundless, false, or fraudulent. We may investigate, negotiate, and settle any such claim or suit at our discretion.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part of our investigation, defense, negotiation, or settlement, we will pay:</w:t>
      </w:r>
    </w:p>
    <w:p>
      <w:pPr>
        <w:spacing w:after="0" w:line="225" w:lineRule="exact"/>
        <w:rPr>
          <w:sz w:val="20"/>
          <w:szCs w:val="20"/>
          <w:color w:val="auto"/>
        </w:rPr>
      </w:pPr>
    </w:p>
    <w:p>
      <w:pPr>
        <w:ind w:left="324" w:hanging="324"/>
        <w:spacing w:after="0"/>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on appeal bonds required in any suit we defend;</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1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on bonds to release attachments for any amount up to the amount of coverage (but we are not obligated to apply for or furnish any bond);</w:t>
      </w:r>
    </w:p>
    <w:p>
      <w:pPr>
        <w:sectPr>
          <w:pgSz w:w="11900" w:h="16838" w:orient="portrait"/>
          <w:cols w:equalWidth="0" w:num="1">
            <w:col w:w="9824"/>
          </w:cols>
          <w:pgMar w:left="976" w:top="1134" w:right="1099" w:bottom="1440" w:gutter="0" w:footer="0" w:header="0"/>
        </w:sectPr>
      </w:pPr>
    </w:p>
    <w:bookmarkStart w:id="115" w:name="page116"/>
    <w:bookmarkEnd w:id="115"/>
    <w:p>
      <w:pPr>
        <w:ind w:left="324" w:hanging="324"/>
        <w:spacing w:after="0"/>
        <w:tabs>
          <w:tab w:leader="none" w:pos="3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by us;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taxed against a covered person;</w:t>
      </w:r>
    </w:p>
    <w:p>
      <w:pPr>
        <w:spacing w:after="0" w:line="225"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accruing after a judgment is entered in a suit we defend on only that part of the judgment we are responsible for paying. We will not pay interest accruing after we have paid the judgment up to the amount of coverage;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prejudgment interest awarded against a covered person on that part of the judgment we pay or offer to pay.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will not pay any prejudgment interest based on that period of time after we make an offer to pay the amount of coverage;</w:t>
      </w:r>
    </w:p>
    <w:p>
      <w:pPr>
        <w:spacing w:after="0" w:line="225" w:lineRule="exact"/>
        <w:rPr>
          <w:sz w:val="20"/>
          <w:szCs w:val="20"/>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earnings lost by each covered person at our request, up to $25,000;</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reasonable expenses incurred by a covered person at our request;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bail bonds required of a covered person because of a covered loss.</w:t>
      </w:r>
    </w:p>
    <w:p>
      <w:pPr>
        <w:spacing w:after="0" w:line="225" w:lineRule="exact"/>
        <w:rPr>
          <w:sz w:val="20"/>
          <w:szCs w:val="20"/>
          <w:color w:val="auto"/>
        </w:rPr>
      </w:pPr>
    </w:p>
    <w:p>
      <w:pPr>
        <w:ind w:left="4" w:right="260" w:firstLine="4"/>
        <w:spacing w:after="0" w:line="282" w:lineRule="auto"/>
        <w:rPr>
          <w:sz w:val="20"/>
          <w:szCs w:val="20"/>
          <w:color w:val="auto"/>
        </w:rPr>
      </w:pPr>
      <w:r>
        <w:rPr>
          <w:rFonts w:ascii="Times New Roman" w:cs="Times New Roman" w:eastAsia="Times New Roman" w:hAnsi="Times New Roman"/>
          <w:sz w:val="18"/>
          <w:szCs w:val="18"/>
          <w:color w:val="auto"/>
        </w:rPr>
        <w:t>In jurisdictions where we may be prevented by local law from carrying out these Defense Coverages, we will pay only those defense expenses that we agree in writing to pay and that are incurred by you.</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Extra Coverages</w:t>
      </w:r>
    </w:p>
    <w:p>
      <w:pPr>
        <w:spacing w:after="0" w:line="229"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In addition to covering damages and defense costs, we also provide other related coverages. These coverages are in addition to the amount of coverage for damages and defense costs unless stated otherwise.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Shadow defense coverage</w:t>
      </w:r>
    </w:p>
    <w:p>
      <w:pPr>
        <w:spacing w:after="0" w:line="229" w:lineRule="exact"/>
        <w:rPr>
          <w:sz w:val="20"/>
          <w:szCs w:val="20"/>
          <w:color w:val="auto"/>
        </w:rPr>
      </w:pPr>
    </w:p>
    <w:p>
      <w:pPr>
        <w:jc w:val="both"/>
        <w:ind w:left="4" w:firstLine="15"/>
        <w:spacing w:after="0" w:line="261" w:lineRule="auto"/>
        <w:rPr>
          <w:sz w:val="20"/>
          <w:szCs w:val="20"/>
          <w:color w:val="auto"/>
        </w:rPr>
      </w:pPr>
      <w:r>
        <w:rPr>
          <w:rFonts w:ascii="Times New Roman" w:cs="Times New Roman" w:eastAsia="Times New Roman" w:hAnsi="Times New Roman"/>
          <w:sz w:val="18"/>
          <w:szCs w:val="18"/>
          <w:color w:val="auto"/>
        </w:rPr>
        <w:t>If we are defending you or a family member in a suit seeking covered damages, we will pay reasonable expenses you or a family member incur up to $10,000 or the amount shown in the Coverage Summary for a law firm of your choice to review and monitor the defense. However any recommendation by your personal attorney is not binding on us. We will pay these costs provided that you obtain prior approval from us before incurring any fees or expenses.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Identity fraud</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will pay for your or a family member's identity fraud expenses, up to a maximum of $25,000, for each identity fraud occurrence.</w:t>
      </w:r>
    </w:p>
    <w:p>
      <w:pPr>
        <w:spacing w:after="0" w:line="225" w:lineRule="exact"/>
        <w:rPr>
          <w:sz w:val="20"/>
          <w:szCs w:val="20"/>
          <w:color w:val="auto"/>
        </w:rPr>
      </w:pPr>
    </w:p>
    <w:p>
      <w:pPr>
        <w:jc w:val="both"/>
        <w:ind w:left="4" w:firstLine="7"/>
        <w:spacing w:after="0" w:line="282" w:lineRule="auto"/>
        <w:rPr>
          <w:sz w:val="20"/>
          <w:szCs w:val="20"/>
          <w:color w:val="auto"/>
        </w:rPr>
      </w:pPr>
      <w:r>
        <w:rPr>
          <w:rFonts w:ascii="Times New Roman" w:cs="Times New Roman" w:eastAsia="Times New Roman" w:hAnsi="Times New Roman"/>
          <w:sz w:val="18"/>
          <w:szCs w:val="18"/>
          <w:color w:val="auto"/>
        </w:rPr>
        <w:t>"Identity fraud" means the act of knowingly transferring or using, without lawful authority, your or a family member's means of identity which constitutes a violation of federal law or a crime under any applicable state or local law.</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"Identity fraud occurrence" means any act or series of acts of identity fraud by a person or group commencing in the policy period.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"Identity fraud expenses" means:</w:t>
      </w:r>
    </w:p>
    <w:p>
      <w:pPr>
        <w:spacing w:after="0" w:line="225" w:lineRule="exact"/>
        <w:rPr>
          <w:sz w:val="20"/>
          <w:szCs w:val="20"/>
          <w:color w:val="auto"/>
        </w:rPr>
      </w:pPr>
    </w:p>
    <w:p>
      <w:pPr>
        <w:ind w:left="324" w:right="640" w:hanging="324"/>
        <w:spacing w:after="0" w:line="282" w:lineRule="auto"/>
        <w:tabs>
          <w:tab w:leader="none" w:pos="3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notarizing affidavits or similar documents for law enforcement agencies, financial institutions or similar credit grantors, and credit agencies;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for sending certified mail to law enforcement agencies, financial institutions or similar credit grantors, and credit agencies;</w:t>
      </w:r>
    </w:p>
    <w:p>
      <w:pPr>
        <w:spacing w:after="0" w:line="236" w:lineRule="exact"/>
        <w:rPr>
          <w:rFonts w:ascii="Times New Roman" w:cs="Times New Roman" w:eastAsia="Times New Roman" w:hAnsi="Times New Roman"/>
          <w:sz w:val="17"/>
          <w:szCs w:val="17"/>
          <w:color w:val="auto"/>
        </w:rPr>
      </w:pPr>
    </w:p>
    <w:p>
      <w:pPr>
        <w:ind w:left="324" w:right="520" w:hanging="324"/>
        <w:spacing w:after="0" w:line="282" w:lineRule="auto"/>
        <w:tabs>
          <w:tab w:leader="none" w:pos="3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application fees for reapplying for loan(s) due to the rejection of the original application because the lender received incorrect credit information;</w:t>
      </w:r>
    </w:p>
    <w:p>
      <w:pPr>
        <w:spacing w:after="0" w:line="161"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expenses for calls to businesses, law enforcement agencies, financial institutions or similar credit grantors, and credit agencies;</w:t>
      </w:r>
    </w:p>
    <w:p>
      <w:pPr>
        <w:sectPr>
          <w:pgSz w:w="11900" w:h="16838" w:orient="portrait"/>
          <w:cols w:equalWidth="0" w:num="1">
            <w:col w:w="9824"/>
          </w:cols>
          <w:pgMar w:left="976" w:top="1134" w:right="1099" w:bottom="1440" w:gutter="0" w:footer="0" w:header="0"/>
        </w:sectPr>
      </w:pPr>
    </w:p>
    <w:bookmarkStart w:id="116" w:name="page117"/>
    <w:bookmarkEnd w:id="116"/>
    <w:p>
      <w:pPr>
        <w:ind w:left="325" w:right="100" w:hanging="324"/>
        <w:spacing w:after="0" w:line="282"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lost by you or a family member as a result of time off from work to complete fraud affidavits, meet with law enforcement agencies, credit agencies, merchants, or legal counsel;</w:t>
      </w:r>
    </w:p>
    <w:p>
      <w:pPr>
        <w:spacing w:after="0" w:line="161"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attorney fees incurred with prior notice to us for:</w:t>
      </w:r>
    </w:p>
    <w:p>
      <w:pPr>
        <w:spacing w:after="0" w:line="225"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you or a family member against any suit(s) by businesses or their collection agencies;</w:t>
      </w:r>
    </w:p>
    <w:p>
      <w:pPr>
        <w:spacing w:after="0" w:line="225"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any criminal or civil judgements wrongly entered against you or a family member;</w:t>
      </w:r>
    </w:p>
    <w:p>
      <w:pPr>
        <w:spacing w:after="0" w:line="225"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challenge to the information in your or a family member's consumer credit report; and</w:t>
      </w:r>
    </w:p>
    <w:p>
      <w:pPr>
        <w:spacing w:after="0" w:line="225"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fees incurred with prior notice to us by an identity fraud mitigation entity to:</w:t>
      </w:r>
    </w:p>
    <w:p>
      <w:pPr>
        <w:spacing w:after="0" w:line="225"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services for the activities described above;</w:t>
      </w:r>
    </w:p>
    <w:p>
      <w:pPr>
        <w:spacing w:after="0" w:line="225"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accounts or credit standing with financial institutions or similar credit grantors and credit agencies; and</w:t>
      </w:r>
    </w:p>
    <w:p>
      <w:pPr>
        <w:spacing w:after="0" w:line="225" w:lineRule="exact"/>
        <w:rPr>
          <w:rFonts w:ascii="Times New Roman" w:cs="Times New Roman" w:eastAsia="Times New Roman" w:hAnsi="Times New Roman"/>
          <w:sz w:val="18"/>
          <w:szCs w:val="18"/>
          <w:color w:val="auto"/>
        </w:rPr>
      </w:pPr>
    </w:p>
    <w:p>
      <w:pPr>
        <w:ind w:left="325" w:right="380" w:hanging="324"/>
        <w:spacing w:after="0" w:line="282"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for up to one year the effectiveness of the fraud mitigation and to detect additional identity fraud activity after the first identify fraud occurrence.</w:t>
      </w:r>
    </w:p>
    <w:p>
      <w:pPr>
        <w:spacing w:after="0" w:line="162" w:lineRule="exact"/>
        <w:rPr>
          <w:sz w:val="20"/>
          <w:szCs w:val="20"/>
          <w:color w:val="auto"/>
        </w:rPr>
      </w:pPr>
    </w:p>
    <w:p>
      <w:pPr>
        <w:jc w:val="both"/>
        <w:ind w:left="5" w:firstLine="3"/>
        <w:spacing w:after="0" w:line="282" w:lineRule="auto"/>
        <w:rPr>
          <w:sz w:val="20"/>
          <w:szCs w:val="20"/>
          <w:color w:val="auto"/>
        </w:rPr>
      </w:pPr>
      <w:r>
        <w:rPr>
          <w:rFonts w:ascii="Times New Roman" w:cs="Times New Roman" w:eastAsia="Times New Roman" w:hAnsi="Times New Roman"/>
          <w:sz w:val="18"/>
          <w:szCs w:val="18"/>
          <w:color w:val="auto"/>
        </w:rPr>
        <w:t>However, such monitoring must begin no later than one year after you or a family member first report an identity fraud occurrence to us.</w:t>
      </w:r>
    </w:p>
    <w:p>
      <w:pPr>
        <w:spacing w:after="0" w:line="162" w:lineRule="exact"/>
        <w:rPr>
          <w:sz w:val="20"/>
          <w:szCs w:val="20"/>
          <w:color w:val="auto"/>
        </w:rPr>
      </w:pPr>
    </w:p>
    <w:p>
      <w:pPr>
        <w:jc w:val="both"/>
        <w:ind w:left="5" w:firstLine="3"/>
        <w:spacing w:after="0" w:line="266" w:lineRule="auto"/>
        <w:rPr>
          <w:sz w:val="20"/>
          <w:szCs w:val="20"/>
          <w:color w:val="auto"/>
        </w:rPr>
      </w:pPr>
      <w:r>
        <w:rPr>
          <w:rFonts w:ascii="Times New Roman" w:cs="Times New Roman" w:eastAsia="Times New Roman" w:hAnsi="Times New Roman"/>
          <w:sz w:val="18"/>
          <w:szCs w:val="18"/>
          <w:color w:val="auto"/>
        </w:rPr>
        <w:t>However, "identity fraud expenses" does not include expenses incurred due to any fraudulent, dishonest or criminal act by a covered person or any person acting with a covered person, or by any authorized representative of a covered person, whether acting alone or in collusion with others.</w:t>
      </w:r>
    </w:p>
    <w:p>
      <w:pPr>
        <w:spacing w:after="0" w:line="176" w:lineRule="exact"/>
        <w:rPr>
          <w:sz w:val="20"/>
          <w:szCs w:val="20"/>
          <w:color w:val="auto"/>
        </w:rPr>
      </w:pPr>
    </w:p>
    <w:p>
      <w:pPr>
        <w:jc w:val="both"/>
        <w:ind w:left="5" w:firstLine="2"/>
        <w:spacing w:after="0" w:line="282" w:lineRule="auto"/>
        <w:rPr>
          <w:sz w:val="20"/>
          <w:szCs w:val="20"/>
          <w:color w:val="auto"/>
        </w:rPr>
      </w:pPr>
      <w:r>
        <w:rPr>
          <w:rFonts w:ascii="Times New Roman" w:cs="Times New Roman" w:eastAsia="Times New Roman" w:hAnsi="Times New Roman"/>
          <w:sz w:val="18"/>
          <w:szCs w:val="18"/>
          <w:color w:val="auto"/>
        </w:rPr>
        <w:t>"Identity fraud mitigation entity" means a company that principally provides professional, specialized services to counter identity fraud for individuals or groups of individuals, or a financial institution that provides similar services.</w:t>
      </w:r>
    </w:p>
    <w:p>
      <w:pPr>
        <w:spacing w:after="0" w:line="162" w:lineRule="exact"/>
        <w:rPr>
          <w:sz w:val="20"/>
          <w:szCs w:val="20"/>
          <w:color w:val="auto"/>
        </w:rPr>
      </w:pPr>
    </w:p>
    <w:p>
      <w:pPr>
        <w:jc w:val="both"/>
        <w:ind w:left="5" w:hanging="9"/>
        <w:spacing w:after="0" w:line="282" w:lineRule="auto"/>
        <w:rPr>
          <w:sz w:val="20"/>
          <w:szCs w:val="20"/>
          <w:color w:val="auto"/>
        </w:rPr>
      </w:pPr>
      <w:r>
        <w:rPr>
          <w:rFonts w:ascii="Times New Roman" w:cs="Times New Roman" w:eastAsia="Times New Roman" w:hAnsi="Times New Roman"/>
          <w:sz w:val="18"/>
          <w:szCs w:val="18"/>
          <w:color w:val="auto"/>
        </w:rPr>
        <w:t>In addition to the duties described in Policy Terms, Liability Conditions, Your duties after a loss, you shall notify an applicable law enforcement agency.</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Kidnap expenses</w:t>
      </w:r>
    </w:p>
    <w:p>
      <w:pPr>
        <w:spacing w:after="0" w:line="229" w:lineRule="exact"/>
        <w:rPr>
          <w:sz w:val="20"/>
          <w:szCs w:val="20"/>
          <w:color w:val="auto"/>
        </w:rPr>
      </w:pPr>
    </w:p>
    <w:p>
      <w:pPr>
        <w:jc w:val="both"/>
        <w:ind w:left="5"/>
        <w:spacing w:after="0" w:line="261" w:lineRule="auto"/>
        <w:rPr>
          <w:sz w:val="20"/>
          <w:szCs w:val="20"/>
          <w:color w:val="auto"/>
        </w:rPr>
      </w:pPr>
      <w:r>
        <w:rPr>
          <w:rFonts w:ascii="Times New Roman" w:cs="Times New Roman" w:eastAsia="Times New Roman" w:hAnsi="Times New Roman"/>
          <w:sz w:val="18"/>
          <w:szCs w:val="18"/>
          <w:color w:val="auto"/>
        </w:rPr>
        <w:t>We will pay up to a maximum of $100,000 for kidnap expenses you or a family member incurs solely and directly as a result of a kidnap and ransom occurrence. In addition, we also will pay up to $25,000 to any person for information not otherwise available leading to the arrest and conviction of any person(s) who kidnaps you, a family member or a covered relative. The following are not eligible to receive this reward payment:</w:t>
      </w:r>
    </w:p>
    <w:p>
      <w:pPr>
        <w:spacing w:after="0" w:line="180" w:lineRule="exact"/>
        <w:rPr>
          <w:sz w:val="20"/>
          <w:szCs w:val="20"/>
          <w:color w:val="auto"/>
        </w:rPr>
      </w:pPr>
    </w:p>
    <w:p>
      <w:pPr>
        <w:ind w:left="325" w:hanging="325"/>
        <w:spacing w:after="0"/>
        <w:tabs>
          <w:tab w:leader="none" w:pos="32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 or</w:t>
      </w:r>
    </w:p>
    <w:p>
      <w:pPr>
        <w:spacing w:after="0" w:line="225"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relative who witnessed the occurrence.</w:t>
      </w:r>
    </w:p>
    <w:p>
      <w:pPr>
        <w:spacing w:after="0" w:line="2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"Kidnap and ransom occurrence" means the actual or alleged wrongful taking of:</w:t>
      </w:r>
    </w:p>
    <w:p>
      <w:pPr>
        <w:spacing w:after="0" w:line="225" w:lineRule="exact"/>
        <w:rPr>
          <w:sz w:val="20"/>
          <w:szCs w:val="20"/>
          <w:color w:val="auto"/>
        </w:rPr>
      </w:pPr>
    </w:p>
    <w:p>
      <w:pPr>
        <w:ind w:left="325" w:hanging="324"/>
        <w:spacing w:after="0"/>
        <w:tabs>
          <w:tab w:leader="none" w:pos="3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w:t>
      </w:r>
    </w:p>
    <w:p>
      <w:pPr>
        <w:spacing w:after="0" w:line="225"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family members; or</w:t>
      </w:r>
    </w:p>
    <w:p>
      <w:pPr>
        <w:spacing w:after="0" w:line="225"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covered relatives while visiting or legally traveling with you or a family member;</w:t>
      </w:r>
    </w:p>
    <w:p>
      <w:pPr>
        <w:spacing w:after="0" w:line="225" w:lineRule="exact"/>
        <w:rPr>
          <w:rFonts w:ascii="Times New Roman" w:cs="Times New Roman" w:eastAsia="Times New Roman" w:hAnsi="Times New Roman"/>
          <w:sz w:val="18"/>
          <w:szCs w:val="18"/>
          <w:color w:val="auto"/>
        </w:rPr>
      </w:pPr>
    </w:p>
    <w:p>
      <w:pPr>
        <w:jc w:val="both"/>
        <w:ind w:left="325" w:hanging="324"/>
        <w:spacing w:after="0" w:line="266" w:lineRule="auto"/>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anywhere in the world except those places listed on the United States State Department Bureau of Consular Affairs Travel Warnings list at the time of the occurrence. The occurrence must include a demand for ransom payment which would be paid by you or a family member in exchange for the release of the kidnapped person(s).</w:t>
      </w:r>
    </w:p>
    <w:p>
      <w:pPr>
        <w:spacing w:after="0" w:line="1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"Kidnap expenses" means the reasonable costs for:</w:t>
      </w:r>
    </w:p>
    <w:p>
      <w:pPr>
        <w:sectPr>
          <w:pgSz w:w="11900" w:h="16838" w:orient="portrait"/>
          <w:cols w:equalWidth="0" w:num="1">
            <w:col w:w="9825"/>
          </w:cols>
          <w:pgMar w:left="975" w:top="1134" w:right="1099" w:bottom="1440" w:gutter="0" w:footer="0" w:header="0"/>
        </w:sectPr>
      </w:pPr>
    </w:p>
    <w:bookmarkStart w:id="117" w:name="page118"/>
    <w:bookmarkEnd w:id="117"/>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negotiator;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security consultant;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security guard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public relations consultant;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meals, lodging and phone expenses incurred by you or a family member;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communications and recording equipment;</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medical, cosmetic, psychiatric and dental expenses incurred by a kidnapped person within 12 months from that person's release;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attorneys fees;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forensic analyst;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lost by you or a family member, up to $25,000.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However, "kidnap expenses" does not include expenses incurred due to any kidnap and ransom occurrence caused by:</w:t>
      </w:r>
    </w:p>
    <w:p>
      <w:pPr>
        <w:spacing w:after="0" w:line="225"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relative;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guardian, or former guardian of you, a family member or covered relative;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estranged spouse or domestic partner, or former spouse or domestic partner of you or a family member;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unrelated to you or a family member who lives with you or a family member or has ever lived with you or a family member for 6 or more months, other than a domestic employee, residential staff, or a person employed by you or a family member for farm work;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authority,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person acting on behalf of any of the above, whether acting alone or in collusion with others.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"Covered relative" means the following relatives of you, or a spouse or domestic partner who lives with you, or any family member:</w:t>
      </w:r>
    </w:p>
    <w:p>
      <w:pPr>
        <w:spacing w:after="0" w:line="225" w:lineRule="exact"/>
        <w:rPr>
          <w:sz w:val="20"/>
          <w:szCs w:val="20"/>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children, their children or other descendents of theirs;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grandparents or other ancestors of theirs;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siblings, their children or other descendents of theirs;</w:t>
      </w:r>
    </w:p>
    <w:p>
      <w:pPr>
        <w:spacing w:after="0" w:line="225" w:lineRule="exact"/>
        <w:rPr>
          <w:sz w:val="20"/>
          <w:szCs w:val="20"/>
          <w:color w:val="auto"/>
        </w:rPr>
      </w:pPr>
    </w:p>
    <w:p>
      <w:pPr>
        <w:ind w:left="660" w:right="120" w:firstLine="4"/>
        <w:spacing w:after="0" w:line="282" w:lineRule="auto"/>
        <w:rPr>
          <w:sz w:val="20"/>
          <w:szCs w:val="20"/>
          <w:color w:val="auto"/>
        </w:rPr>
      </w:pPr>
      <w:r>
        <w:rPr>
          <w:rFonts w:ascii="Times New Roman" w:cs="Times New Roman" w:eastAsia="Times New Roman" w:hAnsi="Times New Roman"/>
          <w:sz w:val="18"/>
          <w:szCs w:val="18"/>
          <w:color w:val="auto"/>
        </w:rPr>
        <w:t>who do not live with you, including spouses or domestic partners of all of the above. Parents, grandparents and other ancestors include adoptive parents, stepparents and stepgrandparents.</w:t>
      </w:r>
    </w:p>
    <w:p>
      <w:pPr>
        <w:spacing w:after="0" w:line="158" w:lineRule="exact"/>
        <w:rPr>
          <w:sz w:val="20"/>
          <w:szCs w:val="20"/>
          <w:color w:val="auto"/>
        </w:rPr>
      </w:pPr>
    </w:p>
    <w:p>
      <w:pPr>
        <w:jc w:val="both"/>
        <w:ind w:left="660" w:firstLine="1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Reputational injury. </w:t>
      </w:r>
      <w:r>
        <w:rPr>
          <w:rFonts w:ascii="Times New Roman" w:cs="Times New Roman" w:eastAsia="Times New Roman" w:hAnsi="Times New Roman"/>
          <w:sz w:val="18"/>
          <w:szCs w:val="18"/>
          <w:color w:val="auto"/>
        </w:rPr>
        <w:t>If we are defending you or a family member in a suit seeking covered damages, we will pay reasonable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fees or expenses that you or a family member incur for services provided by a reputation management firm to minimize potential injury to the reputation of you or a family member solely as a result of personal injury or property damage, caused by an occurrence if:</w:t>
      </w:r>
    </w:p>
    <w:p>
      <w:pPr>
        <w:sectPr>
          <w:pgSz w:w="11900" w:h="16838" w:orient="portrait"/>
          <w:cols w:equalWidth="0" w:num="1">
            <w:col w:w="10480"/>
          </w:cols>
          <w:pgMar w:left="320" w:top="1134" w:right="1099" w:bottom="1440" w:gutter="0" w:footer="0" w:header="0"/>
        </w:sectPr>
      </w:pPr>
    </w:p>
    <w:bookmarkStart w:id="118" w:name="page119"/>
    <w:bookmarkEnd w:id="118"/>
    <w:p>
      <w:pPr>
        <w:ind w:left="329" w:hanging="329"/>
        <w:spacing w:after="0" w:line="282" w:lineRule="auto"/>
        <w:tabs>
          <w:tab w:leader="none" w:pos="3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reputational injury is reported to us as soon as reasonably possible but not later than 30 days after the personal injury or property damage occurrence; and</w:t>
      </w:r>
    </w:p>
    <w:p>
      <w:pPr>
        <w:spacing w:after="0" w:line="161" w:lineRule="exact"/>
        <w:rPr>
          <w:rFonts w:ascii="Times New Roman" w:cs="Times New Roman" w:eastAsia="Times New Roman" w:hAnsi="Times New Roman"/>
          <w:sz w:val="18"/>
          <w:szCs w:val="18"/>
          <w:color w:val="auto"/>
        </w:rPr>
      </w:pPr>
    </w:p>
    <w:p>
      <w:pPr>
        <w:ind w:left="329" w:hanging="329"/>
        <w:spacing w:after="0" w:line="282" w:lineRule="auto"/>
        <w:tabs>
          <w:tab w:leader="none" w:pos="3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obtain approval of the reputation management firm from us before incurring any fees or expenses, unless stated otherwise or an exclusion applies. There is no deductible for this coverage.</w:t>
      </w:r>
    </w:p>
    <w:p>
      <w:pPr>
        <w:spacing w:after="0" w:line="162" w:lineRule="exact"/>
        <w:rPr>
          <w:sz w:val="20"/>
          <w:szCs w:val="20"/>
          <w:color w:val="auto"/>
        </w:rPr>
      </w:pPr>
    </w:p>
    <w:p>
      <w:pPr>
        <w:jc w:val="both"/>
        <w:ind w:left="9" w:firstLine="4"/>
        <w:spacing w:after="0" w:line="282" w:lineRule="auto"/>
        <w:rPr>
          <w:sz w:val="20"/>
          <w:szCs w:val="20"/>
          <w:color w:val="auto"/>
        </w:rPr>
      </w:pPr>
      <w:r>
        <w:rPr>
          <w:rFonts w:ascii="Times New Roman" w:cs="Times New Roman" w:eastAsia="Times New Roman" w:hAnsi="Times New Roman"/>
          <w:sz w:val="18"/>
          <w:szCs w:val="18"/>
          <w:color w:val="auto"/>
        </w:rPr>
        <w:t>A Reputation management firm means a professional public relations consulting firm, a professional security consulting firm or a professional media management consulting firm.</w:t>
      </w:r>
    </w:p>
    <w:p>
      <w:pPr>
        <w:spacing w:after="0" w:line="162" w:lineRule="exact"/>
        <w:rPr>
          <w:sz w:val="20"/>
          <w:szCs w:val="20"/>
          <w:color w:val="auto"/>
        </w:rPr>
      </w:pPr>
    </w:p>
    <w:p>
      <w:pPr>
        <w:jc w:val="both"/>
        <w:ind w:left="9" w:firstLine="4"/>
        <w:spacing w:after="0" w:line="266" w:lineRule="auto"/>
        <w:rPr>
          <w:sz w:val="20"/>
          <w:szCs w:val="20"/>
          <w:color w:val="auto"/>
        </w:rPr>
      </w:pPr>
      <w:r>
        <w:rPr>
          <w:rFonts w:ascii="Times New Roman" w:cs="Times New Roman" w:eastAsia="Times New Roman" w:hAnsi="Times New Roman"/>
          <w:sz w:val="18"/>
          <w:szCs w:val="18"/>
          <w:color w:val="auto"/>
        </w:rPr>
        <w:t>The maximum amount of coverage for Reputational injury available for any one occurrence is $25,000 or the amount shown in the Coverage Summary. We will not pay more than this amount in any one occurrence for covered damages regardless of how many claims or people are involved in the occurrence.</w:t>
      </w:r>
    </w:p>
    <w:p>
      <w:pPr>
        <w:spacing w:after="0" w:line="176" w:lineRule="exact"/>
        <w:rPr>
          <w:sz w:val="20"/>
          <w:szCs w:val="20"/>
          <w:color w:val="auto"/>
        </w:rPr>
      </w:pPr>
    </w:p>
    <w:p>
      <w:pPr>
        <w:jc w:val="both"/>
        <w:ind w:left="9" w:hanging="1"/>
        <w:spacing w:after="0" w:line="266" w:lineRule="auto"/>
        <w:rPr>
          <w:sz w:val="20"/>
          <w:szCs w:val="20"/>
          <w:color w:val="auto"/>
        </w:rPr>
      </w:pPr>
      <w:r>
        <w:rPr>
          <w:rFonts w:ascii="Times New Roman" w:cs="Times New Roman" w:eastAsia="Times New Roman" w:hAnsi="Times New Roman"/>
          <w:sz w:val="18"/>
          <w:szCs w:val="18"/>
          <w:color w:val="auto"/>
        </w:rPr>
        <w:t>The maximum annual amount of coverage for Reputational injury shown in the Coverage Summary is the most we will pay for the sum of all covered damages you or a family member inrur during the policy period regardless of the number of claims, people, or occurrences.</w:t>
      </w:r>
    </w:p>
    <w:p>
      <w:pPr>
        <w:spacing w:after="0" w:line="17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This coverage does not apply to loss caused by a wrongful employment act covered by Employment Practices Liability Insurance.</w:t>
      </w:r>
    </w:p>
    <w:p>
      <w:pPr>
        <w:sectPr>
          <w:pgSz w:w="11900" w:h="16838" w:orient="portrait"/>
          <w:cols w:equalWidth="0" w:num="1">
            <w:col w:w="9829"/>
          </w:cols>
          <w:pgMar w:left="971" w:top="1134" w:right="1099" w:bottom="1440" w:gutter="0" w:footer="0" w:header="0"/>
        </w:sectPr>
      </w:pPr>
    </w:p>
    <w:bookmarkStart w:id="119" w:name="page120"/>
    <w:bookmarkEnd w:id="119"/>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Exclusions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These exclusions apply to your Group Personal Excess Liability Coverage, unless stated otherwise.</w:t>
      </w:r>
    </w:p>
    <w:p>
      <w:pPr>
        <w:spacing w:after="0" w:line="221" w:lineRule="exact"/>
        <w:rPr>
          <w:sz w:val="20"/>
          <w:szCs w:val="20"/>
          <w:color w:val="auto"/>
        </w:rPr>
      </w:pPr>
    </w:p>
    <w:p>
      <w:pPr>
        <w:jc w:val="both"/>
        <w:ind w:left="4" w:hanging="3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Aircraft. </w:t>
      </w:r>
      <w:r>
        <w:rPr>
          <w:rFonts w:ascii="Times New Roman" w:cs="Times New Roman" w:eastAsia="Times New Roman" w:hAnsi="Times New Roman"/>
          <w:sz w:val="18"/>
          <w:szCs w:val="18"/>
          <w:color w:val="auto"/>
        </w:rPr>
        <w:t>We do not cover any damages arising out of the ownership, maintenance, use, loading, unloading, or towing of any aircraft,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aircraft chartered with crew by you. We do not cover any property damages to aircraft rented to, owned by, or in the care, custody or control of a covered person.</w:t>
      </w:r>
    </w:p>
    <w:p>
      <w:pPr>
        <w:spacing w:after="0" w:line="171" w:lineRule="exact"/>
        <w:rPr>
          <w:sz w:val="20"/>
          <w:szCs w:val="20"/>
          <w:color w:val="auto"/>
        </w:rPr>
      </w:pPr>
    </w:p>
    <w:p>
      <w:pPr>
        <w:jc w:val="both"/>
        <w:ind w:left="4" w:firstLine="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Hovercraft. </w:t>
      </w:r>
      <w:r>
        <w:rPr>
          <w:rFonts w:ascii="Times New Roman" w:cs="Times New Roman" w:eastAsia="Times New Roman" w:hAnsi="Times New Roman"/>
          <w:sz w:val="18"/>
          <w:szCs w:val="18"/>
          <w:color w:val="auto"/>
        </w:rPr>
        <w:t>We do not cover any damages arising out of the ownership, maintenance, use, loading, unloading or towing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hovercraft. We do not cover any property damages to hovercraft rented to, owned by, or in the care, custody or control of a covered person.</w:t>
      </w:r>
    </w:p>
    <w:p>
      <w:pPr>
        <w:spacing w:after="0" w:line="171" w:lineRule="exact"/>
        <w:rPr>
          <w:sz w:val="20"/>
          <w:szCs w:val="20"/>
          <w:color w:val="auto"/>
        </w:rPr>
      </w:pPr>
    </w:p>
    <w:p>
      <w:pPr>
        <w:jc w:val="both"/>
        <w:ind w:left="4" w:firstLine="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Motorized land vehicle racing or track usage. </w:t>
      </w:r>
      <w:r>
        <w:rPr>
          <w:rFonts w:ascii="Times New Roman" w:cs="Times New Roman" w:eastAsia="Times New Roman" w:hAnsi="Times New Roman"/>
          <w:sz w:val="18"/>
          <w:szCs w:val="18"/>
          <w:color w:val="auto"/>
        </w:rPr>
        <w:t>We do not cover any damages arising out of the ownership, maintenance or use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motorized land vehicle:</w:t>
      </w:r>
    </w:p>
    <w:p>
      <w:pPr>
        <w:spacing w:after="0" w:line="159" w:lineRule="exact"/>
        <w:rPr>
          <w:sz w:val="20"/>
          <w:szCs w:val="20"/>
          <w:color w:val="auto"/>
        </w:rPr>
      </w:pPr>
    </w:p>
    <w:p>
      <w:pPr>
        <w:ind w:left="324" w:right="580" w:hanging="324"/>
        <w:spacing w:after="0" w:line="282" w:lineRule="auto"/>
        <w:tabs>
          <w:tab w:leader="none" w:pos="3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instruction, practice, preparation for, or participation in, any competitive, prearranged or organized racing, speed contest, rally, gymkhana, sports event, stunting activity, or timed event of any kind; or</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racetrack, test track or other course of any kind.</w:t>
      </w:r>
    </w:p>
    <w:p>
      <w:pPr>
        <w:spacing w:after="0" w:line="221"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Watercraft and aircraft racing or track usage. </w:t>
      </w:r>
      <w:r>
        <w:rPr>
          <w:rFonts w:ascii="Times New Roman" w:cs="Times New Roman" w:eastAsia="Times New Roman" w:hAnsi="Times New Roman"/>
          <w:sz w:val="18"/>
          <w:szCs w:val="18"/>
          <w:color w:val="auto"/>
        </w:rPr>
        <w:t>We do not cover any damages arising out of the ownership, maintenance or use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watercraft or aircraft during any instruction, practice, preparation for, or participation in, any competitive, prearranged or organized racing, speed contest, rally, sports event, stunting activity or timed event of any kind. This exclusion does not apply to you or a family member for sailboatracing even if the sailboat is equippw with an auxiliary motor.</w:t>
      </w:r>
    </w:p>
    <w:p>
      <w:pPr>
        <w:spacing w:after="0" w:line="176" w:lineRule="exact"/>
        <w:rPr>
          <w:sz w:val="20"/>
          <w:szCs w:val="20"/>
          <w:color w:val="auto"/>
        </w:rPr>
      </w:pPr>
    </w:p>
    <w:p>
      <w:pPr>
        <w:jc w:val="both"/>
        <w:ind w:left="4" w:firstLine="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Motorized land vehicle-related jobs. </w:t>
      </w:r>
      <w:r>
        <w:rPr>
          <w:rFonts w:ascii="Times New Roman" w:cs="Times New Roman" w:eastAsia="Times New Roman" w:hAnsi="Times New Roman"/>
          <w:sz w:val="18"/>
          <w:szCs w:val="18"/>
          <w:color w:val="auto"/>
        </w:rPr>
        <w:t>We do not cover any damages arising out of the ownership, maintenance, or use of a motorized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 vehicle by any person who is employed or otherwise engaged in the business of selling, repairing, servicing, storing, parking, testing, or delivering motorized land vehicles. This exclusion does not apply to you, a family member, or your employee or an employee of a family member for damages arising out of the ownership, maintenance or use of a motorized land vehicle owned by, rented to, or furnished to you or a family member.</w:t>
      </w:r>
    </w:p>
    <w:p>
      <w:pPr>
        <w:spacing w:after="0" w:line="179" w:lineRule="exact"/>
        <w:rPr>
          <w:sz w:val="20"/>
          <w:szCs w:val="20"/>
          <w:color w:val="auto"/>
        </w:rPr>
      </w:pPr>
    </w:p>
    <w:p>
      <w:pPr>
        <w:jc w:val="both"/>
        <w:ind w:left="4" w:firstLine="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Watercraft related jobs. </w:t>
      </w:r>
      <w:r>
        <w:rPr>
          <w:rFonts w:ascii="Times New Roman" w:cs="Times New Roman" w:eastAsia="Times New Roman" w:hAnsi="Times New Roman"/>
          <w:sz w:val="18"/>
          <w:szCs w:val="18"/>
          <w:color w:val="auto"/>
        </w:rPr>
        <w:t>We do not cover any damages arising out of the ownership, maintenance, or use of a watercraft by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is engaged by or employed by, or is operating a marina, boat repair yard, shipyard, yacht club, boat sales agency, boat service station, or other similar organization. This exclusion does not apply to damages arising out of the ownership, maintenance, or use of a watercraft by you, a family member, or your or a family member's captain or full time paid crew member maintaining or using this watercraft with permission from you or a family member.</w:t>
      </w:r>
    </w:p>
    <w:p>
      <w:pPr>
        <w:spacing w:after="0" w:line="179" w:lineRule="exact"/>
        <w:rPr>
          <w:sz w:val="20"/>
          <w:szCs w:val="20"/>
          <w:color w:val="auto"/>
        </w:rPr>
      </w:pPr>
    </w:p>
    <w:p>
      <w:pPr>
        <w:jc w:val="both"/>
        <w:ind w:left="4" w:firstLine="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Motorized land vehicle and watercraft loading. </w:t>
      </w:r>
      <w:r>
        <w:rPr>
          <w:rFonts w:ascii="Times New Roman" w:cs="Times New Roman" w:eastAsia="Times New Roman" w:hAnsi="Times New Roman"/>
          <w:sz w:val="18"/>
          <w:szCs w:val="18"/>
          <w:color w:val="auto"/>
        </w:rPr>
        <w:t>We do not cover any person or organization, other than you or a family member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or a family member's employees, with respect to the loading or unloading of motorized land vehicles or watercraft.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Workers' compensation or disability. </w:t>
      </w:r>
      <w:r>
        <w:rPr>
          <w:rFonts w:ascii="Times New Roman" w:cs="Times New Roman" w:eastAsia="Times New Roman" w:hAnsi="Times New Roman"/>
          <w:sz w:val="18"/>
          <w:szCs w:val="18"/>
          <w:color w:val="auto"/>
        </w:rPr>
        <w:t>We do not cover any damages a covered person is legally:</w:t>
      </w:r>
    </w:p>
    <w:p>
      <w:pPr>
        <w:spacing w:after="0" w:line="229" w:lineRule="exact"/>
        <w:rPr>
          <w:sz w:val="20"/>
          <w:szCs w:val="20"/>
          <w:color w:val="auto"/>
        </w:rPr>
      </w:pPr>
    </w:p>
    <w:p>
      <w:pPr>
        <w:ind w:left="324" w:hanging="324"/>
        <w:spacing w:after="0"/>
        <w:tabs>
          <w:tab w:leader="none" w:pos="3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provide; or</w:t>
      </w:r>
    </w:p>
    <w:p>
      <w:pPr>
        <w:spacing w:after="0" w:line="225" w:lineRule="exact"/>
        <w:rPr>
          <w:rFonts w:ascii="Times New Roman" w:cs="Times New Roman" w:eastAsia="Times New Roman" w:hAnsi="Times New Roman"/>
          <w:sz w:val="18"/>
          <w:szCs w:val="18"/>
          <w:color w:val="auto"/>
        </w:rPr>
      </w:pPr>
    </w:p>
    <w:p>
      <w:pPr>
        <w:ind w:left="4" w:right="8060" w:hanging="4"/>
        <w:spacing w:after="0" w:line="500" w:lineRule="auto"/>
        <w:tabs>
          <w:tab w:leader="none" w:pos="32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provides under any:</w:t>
      </w:r>
    </w:p>
    <w:p>
      <w:pPr>
        <w:spacing w:after="0" w:line="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benefits;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unemployment compensation; or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laws.</w:t>
      </w:r>
    </w:p>
    <w:p>
      <w:pPr>
        <w:sectPr>
          <w:pgSz w:w="11900" w:h="16838" w:orient="portrait"/>
          <w:cols w:equalWidth="0" w:num="1">
            <w:col w:w="9824"/>
          </w:cols>
          <w:pgMar w:left="976" w:top="1130" w:right="1099" w:bottom="1440" w:gutter="0" w:footer="0" w:header="0"/>
        </w:sectPr>
      </w:pPr>
    </w:p>
    <w:bookmarkStart w:id="120" w:name="page121"/>
    <w:bookmarkEnd w:id="120"/>
    <w:p>
      <w:pPr>
        <w:jc w:val="both"/>
        <w:ind w:left="14" w:firstLine="12"/>
        <w:spacing w:after="0" w:line="266" w:lineRule="auto"/>
        <w:rPr>
          <w:sz w:val="20"/>
          <w:szCs w:val="20"/>
          <w:color w:val="auto"/>
        </w:rPr>
      </w:pPr>
      <w:r>
        <w:rPr>
          <w:rFonts w:ascii="Times New Roman" w:cs="Times New Roman" w:eastAsia="Times New Roman" w:hAnsi="Times New Roman"/>
          <w:sz w:val="18"/>
          <w:szCs w:val="18"/>
          <w:color w:val="auto"/>
        </w:rPr>
        <w:t>But we do provide coverage in excess over any other insurance for damages you or a family member is legally required to pay for bodily injury to a domestic employee of a residence covered under the Required Primary Underlying Insurance which are not compensable under workers' compensation, unless another exclusion applies.</w:t>
      </w:r>
    </w:p>
    <w:p>
      <w:pPr>
        <w:spacing w:after="0" w:line="172" w:lineRule="exact"/>
        <w:rPr>
          <w:sz w:val="20"/>
          <w:szCs w:val="20"/>
          <w:color w:val="auto"/>
        </w:rPr>
      </w:pPr>
    </w:p>
    <w:p>
      <w:pPr>
        <w:jc w:val="both"/>
        <w:ind w:left="14"/>
        <w:spacing w:after="0" w:line="268" w:lineRule="auto"/>
        <w:rPr>
          <w:sz w:val="20"/>
          <w:szCs w:val="20"/>
          <w:color w:val="auto"/>
        </w:rPr>
      </w:pPr>
      <w:r>
        <w:rPr>
          <w:rFonts w:ascii="Times New Roman" w:cs="Times New Roman" w:eastAsia="Times New Roman" w:hAnsi="Times New Roman"/>
          <w:sz w:val="18"/>
          <w:szCs w:val="18"/>
          <w:b w:val="1"/>
          <w:bCs w:val="1"/>
          <w:color w:val="auto"/>
        </w:rPr>
        <w:t>Director's liability</w:t>
      </w:r>
      <w:r>
        <w:rPr>
          <w:rFonts w:ascii="Times New Roman" w:cs="Times New Roman" w:eastAsia="Times New Roman" w:hAnsi="Times New Roman"/>
          <w:sz w:val="18"/>
          <w:szCs w:val="18"/>
          <w:color w:val="auto"/>
        </w:rPr>
        <w:t>. We do not cover any damages for any covered person's actions or failure to act as an officer or member of a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of any corporation or organization. However, we do cover such damages if you are or a family member is an officer or member of a board of directors of a:</w:t>
      </w:r>
    </w:p>
    <w:p>
      <w:pPr>
        <w:spacing w:after="0" w:line="175" w:lineRule="exact"/>
        <w:rPr>
          <w:sz w:val="20"/>
          <w:szCs w:val="20"/>
          <w:color w:val="auto"/>
        </w:rPr>
      </w:pPr>
    </w:p>
    <w:p>
      <w:pPr>
        <w:ind w:left="314" w:hanging="314"/>
        <w:spacing w:after="0"/>
        <w:tabs>
          <w:tab w:leader="none" w:pos="31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homeowner, condominium or cooperative association; or</w:t>
      </w:r>
    </w:p>
    <w:p>
      <w:pPr>
        <w:spacing w:after="0" w:line="225" w:lineRule="exact"/>
        <w:rPr>
          <w:rFonts w:ascii="Times New Roman" w:cs="Times New Roman" w:eastAsia="Times New Roman" w:hAnsi="Times New Roman"/>
          <w:sz w:val="18"/>
          <w:szCs w:val="18"/>
          <w:color w:val="auto"/>
        </w:rPr>
      </w:pPr>
    </w:p>
    <w:p>
      <w:pPr>
        <w:ind w:left="314" w:hanging="314"/>
        <w:spacing w:after="0"/>
        <w:tabs>
          <w:tab w:leader="none" w:pos="31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profit corporation or organization for which he or she is not compensated; unless another exclusion applies.</w:t>
      </w:r>
    </w:p>
    <w:p>
      <w:pPr>
        <w:spacing w:after="0" w:line="221"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b w:val="1"/>
          <w:bCs w:val="1"/>
          <w:color w:val="auto"/>
        </w:rPr>
        <w:t xml:space="preserve">Damage to covered person's property. </w:t>
      </w:r>
      <w:r>
        <w:rPr>
          <w:rFonts w:ascii="Times New Roman" w:cs="Times New Roman" w:eastAsia="Times New Roman" w:hAnsi="Times New Roman"/>
          <w:sz w:val="18"/>
          <w:szCs w:val="18"/>
          <w:color w:val="auto"/>
        </w:rPr>
        <w:t>We do not cover any person for property damage to property owned by any covered person.</w:t>
      </w:r>
    </w:p>
    <w:p>
      <w:pPr>
        <w:spacing w:after="0" w:line="225" w:lineRule="exact"/>
        <w:rPr>
          <w:sz w:val="20"/>
          <w:szCs w:val="20"/>
          <w:color w:val="auto"/>
        </w:rPr>
      </w:pPr>
    </w:p>
    <w:p>
      <w:pPr>
        <w:jc w:val="both"/>
        <w:ind w:left="14" w:firstLine="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Damage to property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your care. </w:t>
      </w:r>
      <w:r>
        <w:rPr>
          <w:rFonts w:ascii="Times New Roman" w:cs="Times New Roman" w:eastAsia="Times New Roman" w:hAnsi="Times New Roman"/>
          <w:sz w:val="18"/>
          <w:szCs w:val="18"/>
          <w:color w:val="auto"/>
        </w:rPr>
        <w:t>We do not cover any person for property damage to property rented to, occupied by, used by,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care of any covered person, to the extent that the covered person is required by contract to provide insurance. But we do cover such damages for loss caused by fire, smoke, or explosion unless another exclusion applies.</w:t>
      </w:r>
    </w:p>
    <w:p>
      <w:pPr>
        <w:spacing w:after="0" w:line="171" w:lineRule="exact"/>
        <w:rPr>
          <w:sz w:val="20"/>
          <w:szCs w:val="20"/>
          <w:color w:val="auto"/>
        </w:rPr>
      </w:pPr>
    </w:p>
    <w:p>
      <w:pPr>
        <w:jc w:val="both"/>
        <w:ind w:left="14" w:firstLine="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Wrongful employment act. </w:t>
      </w:r>
      <w:r>
        <w:rPr>
          <w:rFonts w:ascii="Times New Roman" w:cs="Times New Roman" w:eastAsia="Times New Roman" w:hAnsi="Times New Roman"/>
          <w:sz w:val="18"/>
          <w:szCs w:val="18"/>
          <w:color w:val="auto"/>
        </w:rPr>
        <w:t>We do not cover any damages arising out of a wrongful employment act. A wrongful employment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employment discrimination, sexual harassment, or wrongful termination of any residential staff actually or allegedly committed or attempted by a covered person while acting in the capacity as an employer, that violates applicable employment law of any federal, state, or local statute, regulation, ordinance, or common law of the United States of America, its territories or possessions, or Puerto Rico.</w:t>
      </w:r>
    </w:p>
    <w:p>
      <w:pPr>
        <w:spacing w:after="0" w:line="179" w:lineRule="exact"/>
        <w:rPr>
          <w:sz w:val="20"/>
          <w:szCs w:val="20"/>
          <w:color w:val="auto"/>
        </w:rPr>
      </w:pPr>
    </w:p>
    <w:p>
      <w:pPr>
        <w:jc w:val="both"/>
        <w:ind w:left="14" w:firstLine="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Employment discrimination </w:t>
      </w:r>
      <w:r>
        <w:rPr>
          <w:rFonts w:ascii="Times New Roman" w:cs="Times New Roman" w:eastAsia="Times New Roman" w:hAnsi="Times New Roman"/>
          <w:sz w:val="18"/>
          <w:szCs w:val="18"/>
          <w:color w:val="auto"/>
        </w:rPr>
        <w:t>as it relates solely to a wrongful employment act means a violation of applicable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discrimination law protecting any residential staff based on his or her race, color, religion, creed, age, sex, disability, national origin or other status according to any federal, state, or local statute, regulation, ordinance, or common law of the United States of America, its territories or possessions, or Puerto Rico.</w:t>
      </w:r>
    </w:p>
    <w:p>
      <w:pPr>
        <w:spacing w:after="0" w:line="176" w:lineRule="exact"/>
        <w:rPr>
          <w:sz w:val="20"/>
          <w:szCs w:val="20"/>
          <w:color w:val="auto"/>
        </w:rPr>
      </w:pPr>
    </w:p>
    <w:p>
      <w:pPr>
        <w:ind w:left="14" w:right="80" w:hanging="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Sexual harassment </w:t>
      </w:r>
      <w:r>
        <w:rPr>
          <w:rFonts w:ascii="Times New Roman" w:cs="Times New Roman" w:eastAsia="Times New Roman" w:hAnsi="Times New Roman"/>
          <w:sz w:val="18"/>
          <w:szCs w:val="18"/>
          <w:color w:val="auto"/>
        </w:rPr>
        <w:t>as it relates solely to a wrongful employment act means unwelcome sexual advances, requests for sexual favors,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conduct of a sexual nature that:</w:t>
      </w:r>
    </w:p>
    <w:p>
      <w:pPr>
        <w:spacing w:after="0" w:line="159" w:lineRule="exact"/>
        <w:rPr>
          <w:sz w:val="20"/>
          <w:szCs w:val="20"/>
          <w:color w:val="auto"/>
        </w:rPr>
      </w:pPr>
    </w:p>
    <w:p>
      <w:pPr>
        <w:ind w:left="334" w:hanging="327"/>
        <w:spacing w:after="0"/>
        <w:tabs>
          <w:tab w:leader="none" w:pos="33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made a condition of employment of any residential staff;</w:t>
      </w:r>
    </w:p>
    <w:p>
      <w:pPr>
        <w:spacing w:after="0" w:line="225" w:lineRule="exact"/>
        <w:rPr>
          <w:rFonts w:ascii="Times New Roman" w:cs="Times New Roman" w:eastAsia="Times New Roman" w:hAnsi="Times New Roman"/>
          <w:sz w:val="18"/>
          <w:szCs w:val="18"/>
          <w:color w:val="auto"/>
        </w:rPr>
      </w:pPr>
    </w:p>
    <w:p>
      <w:pPr>
        <w:ind w:left="334" w:hanging="327"/>
        <w:spacing w:after="0"/>
        <w:tabs>
          <w:tab w:leader="none" w:pos="33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as a basis for employment decisions;</w:t>
      </w:r>
    </w:p>
    <w:p>
      <w:pPr>
        <w:spacing w:after="0" w:line="225" w:lineRule="exact"/>
        <w:rPr>
          <w:rFonts w:ascii="Times New Roman" w:cs="Times New Roman" w:eastAsia="Times New Roman" w:hAnsi="Times New Roman"/>
          <w:sz w:val="18"/>
          <w:szCs w:val="18"/>
          <w:color w:val="auto"/>
        </w:rPr>
      </w:pPr>
    </w:p>
    <w:p>
      <w:pPr>
        <w:ind w:left="334" w:hanging="327"/>
        <w:spacing w:after="0"/>
        <w:tabs>
          <w:tab w:leader="none" w:pos="33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interferes with performance of any residential staffs duties; or</w:t>
      </w:r>
    </w:p>
    <w:p>
      <w:pPr>
        <w:spacing w:after="0" w:line="225" w:lineRule="exact"/>
        <w:rPr>
          <w:rFonts w:ascii="Times New Roman" w:cs="Times New Roman" w:eastAsia="Times New Roman" w:hAnsi="Times New Roman"/>
          <w:sz w:val="18"/>
          <w:szCs w:val="18"/>
          <w:color w:val="auto"/>
        </w:rPr>
      </w:pPr>
    </w:p>
    <w:p>
      <w:pPr>
        <w:ind w:left="334" w:hanging="327"/>
        <w:spacing w:after="0"/>
        <w:tabs>
          <w:tab w:leader="none" w:pos="33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an intimidating, hostile, or offensive working environment.</w:t>
      </w:r>
    </w:p>
    <w:p>
      <w:pPr>
        <w:spacing w:after="0" w:line="221"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b w:val="1"/>
          <w:bCs w:val="1"/>
          <w:color w:val="auto"/>
        </w:rPr>
        <w:t xml:space="preserve">Wrongful termination </w:t>
      </w:r>
      <w:r>
        <w:rPr>
          <w:rFonts w:ascii="Times New Roman" w:cs="Times New Roman" w:eastAsia="Times New Roman" w:hAnsi="Times New Roman"/>
          <w:sz w:val="18"/>
          <w:szCs w:val="18"/>
          <w:color w:val="auto"/>
        </w:rPr>
        <w:t>as it relates solely to a wrongful employment act means:</w:t>
      </w:r>
    </w:p>
    <w:p>
      <w:pPr>
        <w:spacing w:after="0" w:line="229" w:lineRule="exact"/>
        <w:rPr>
          <w:sz w:val="20"/>
          <w:szCs w:val="20"/>
          <w:color w:val="auto"/>
        </w:rPr>
      </w:pPr>
    </w:p>
    <w:p>
      <w:pPr>
        <w:ind w:left="334" w:right="160" w:hanging="324"/>
        <w:spacing w:after="0" w:line="282" w:lineRule="auto"/>
        <w:tabs>
          <w:tab w:leader="none" w:pos="32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constructive termination of employment of any residential staff by you or a family member in violation of applicable employment law; or</w:t>
      </w:r>
    </w:p>
    <w:p>
      <w:pPr>
        <w:spacing w:after="0" w:line="161" w:lineRule="exact"/>
        <w:rPr>
          <w:rFonts w:ascii="Times New Roman" w:cs="Times New Roman" w:eastAsia="Times New Roman" w:hAnsi="Times New Roman"/>
          <w:sz w:val="18"/>
          <w:szCs w:val="18"/>
          <w:color w:val="auto"/>
        </w:rPr>
      </w:pPr>
    </w:p>
    <w:p>
      <w:pPr>
        <w:ind w:left="334" w:hanging="324"/>
        <w:spacing w:after="0"/>
        <w:tabs>
          <w:tab w:leader="none" w:pos="33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duty and care when you or a family member terminates an employment relationship with any residential staff.</w:t>
      </w:r>
    </w:p>
    <w:p>
      <w:pPr>
        <w:spacing w:after="0" w:line="221"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b w:val="1"/>
          <w:bCs w:val="1"/>
          <w:color w:val="auto"/>
        </w:rPr>
        <w:t xml:space="preserve">Residential staff </w:t>
      </w:r>
      <w:r>
        <w:rPr>
          <w:rFonts w:ascii="Times New Roman" w:cs="Times New Roman" w:eastAsia="Times New Roman" w:hAnsi="Times New Roman"/>
          <w:sz w:val="18"/>
          <w:szCs w:val="18"/>
          <w:color w:val="auto"/>
        </w:rPr>
        <w:t>as it relates solely to a wrongful employment act means your or a family member's employee who is:</w:t>
      </w:r>
    </w:p>
    <w:p>
      <w:pPr>
        <w:spacing w:after="0" w:line="229" w:lineRule="exact"/>
        <w:rPr>
          <w:sz w:val="20"/>
          <w:szCs w:val="20"/>
          <w:color w:val="auto"/>
        </w:rPr>
      </w:pPr>
    </w:p>
    <w:p>
      <w:pPr>
        <w:ind w:left="334" w:hanging="324"/>
        <w:spacing w:after="0" w:line="282" w:lineRule="auto"/>
        <w:tabs>
          <w:tab w:leader="none" w:pos="32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by you or a family member, or through a firm under an agreement with you or a family member, to perform duties related only to a covered person's domestic, personal, or business pursuits covered under this part of your policy;</w:t>
      </w:r>
    </w:p>
    <w:p>
      <w:pPr>
        <w:spacing w:after="0" w:line="161" w:lineRule="exact"/>
        <w:rPr>
          <w:rFonts w:ascii="Times New Roman" w:cs="Times New Roman" w:eastAsia="Times New Roman" w:hAnsi="Times New Roman"/>
          <w:sz w:val="18"/>
          <w:szCs w:val="18"/>
          <w:color w:val="auto"/>
        </w:rPr>
      </w:pPr>
    </w:p>
    <w:p>
      <w:pPr>
        <w:ind w:left="334" w:hanging="324"/>
        <w:spacing w:after="0"/>
        <w:tabs>
          <w:tab w:leader="none" w:pos="33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labor or services directed by you or a family member; and</w:t>
      </w:r>
    </w:p>
    <w:p>
      <w:pPr>
        <w:spacing w:after="0" w:line="225" w:lineRule="exact"/>
        <w:rPr>
          <w:rFonts w:ascii="Times New Roman" w:cs="Times New Roman" w:eastAsia="Times New Roman" w:hAnsi="Times New Roman"/>
          <w:sz w:val="18"/>
          <w:szCs w:val="18"/>
          <w:color w:val="auto"/>
        </w:rPr>
      </w:pPr>
    </w:p>
    <w:p>
      <w:pPr>
        <w:ind w:left="334" w:hanging="324"/>
        <w:spacing w:after="0"/>
        <w:tabs>
          <w:tab w:leader="none" w:pos="33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regularly to work 15 or more hours per week.</w:t>
      </w:r>
    </w:p>
    <w:p>
      <w:pPr>
        <w:sectPr>
          <w:pgSz w:w="11900" w:h="16838" w:orient="portrait"/>
          <w:cols w:equalWidth="0" w:num="1">
            <w:col w:w="9834"/>
          </w:cols>
          <w:pgMar w:left="966" w:top="1134" w:right="1099" w:bottom="1440" w:gutter="0" w:footer="0" w:header="0"/>
        </w:sectPr>
      </w:pPr>
    </w:p>
    <w:bookmarkStart w:id="121" w:name="page122"/>
    <w:bookmarkEnd w:id="121"/>
    <w:p>
      <w:pPr>
        <w:ind w:left="4"/>
        <w:spacing w:after="0"/>
        <w:rPr>
          <w:sz w:val="20"/>
          <w:szCs w:val="20"/>
          <w:color w:val="auto"/>
        </w:rPr>
      </w:pPr>
      <w:r>
        <w:rPr>
          <w:rFonts w:ascii="Times New Roman" w:cs="Times New Roman" w:eastAsia="Times New Roman" w:hAnsi="Times New Roman"/>
          <w:sz w:val="18"/>
          <w:szCs w:val="18"/>
          <w:color w:val="auto"/>
        </w:rPr>
        <w:t>Residential staff includes a temporary worker. Residential staff does not include an independent contractor or any covered person.</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Temporary worker </w:t>
      </w:r>
      <w:r>
        <w:rPr>
          <w:rFonts w:ascii="Times New Roman" w:cs="Times New Roman" w:eastAsia="Times New Roman" w:hAnsi="Times New Roman"/>
          <w:sz w:val="18"/>
          <w:szCs w:val="18"/>
          <w:color w:val="auto"/>
        </w:rPr>
        <w:t>as it relates solely to a wrongful employment act means your or a family member's employee who is:</w:t>
      </w:r>
    </w:p>
    <w:p>
      <w:pPr>
        <w:spacing w:after="0" w:line="229" w:lineRule="exact"/>
        <w:rPr>
          <w:sz w:val="20"/>
          <w:szCs w:val="20"/>
          <w:color w:val="auto"/>
        </w:rPr>
      </w:pPr>
    </w:p>
    <w:p>
      <w:pPr>
        <w:ind w:left="324" w:hanging="324"/>
        <w:spacing w:after="0" w:line="282" w:lineRule="auto"/>
        <w:tabs>
          <w:tab w:leader="none" w:pos="3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by you or a family member, or through a firm under an agreement with you or a family member, to perform duties related only to a covered person's domestic, personal, or business pursuits covered under this part of your policy;</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labor or services directed by you or a family member; and</w:t>
      </w:r>
    </w:p>
    <w:p>
      <w:pPr>
        <w:spacing w:after="0" w:line="225" w:lineRule="exact"/>
        <w:rPr>
          <w:rFonts w:ascii="Times New Roman" w:cs="Times New Roman" w:eastAsia="Times New Roman" w:hAnsi="Times New Roman"/>
          <w:sz w:val="18"/>
          <w:szCs w:val="18"/>
          <w:color w:val="auto"/>
        </w:rPr>
      </w:pPr>
    </w:p>
    <w:p>
      <w:pPr>
        <w:ind w:left="324" w:right="460" w:hanging="324"/>
        <w:spacing w:after="0" w:line="282" w:lineRule="auto"/>
        <w:tabs>
          <w:tab w:leader="none" w:pos="3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to work 15 or more hours per week to substitute for any residential staff on leave or to meet seasonal or short- term workload demands for 30 consecutive days or longer during a 6 month period.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Temporary worker does not include an independent contractor or any covered person.</w:t>
      </w:r>
    </w:p>
    <w:p>
      <w:pPr>
        <w:spacing w:after="0" w:line="221"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Discrimination. </w:t>
      </w:r>
      <w:r>
        <w:rPr>
          <w:rFonts w:ascii="Times New Roman" w:cs="Times New Roman" w:eastAsia="Times New Roman" w:hAnsi="Times New Roman"/>
          <w:sz w:val="18"/>
          <w:szCs w:val="18"/>
          <w:color w:val="auto"/>
        </w:rPr>
        <w:t>We do not cover any damages arising out of discrimination due to age, race, color, sex, creed, national origin,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discrimination.</w:t>
      </w:r>
    </w:p>
    <w:p>
      <w:pPr>
        <w:spacing w:after="0" w:line="155"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Intentional acts. </w:t>
      </w:r>
      <w:r>
        <w:rPr>
          <w:rFonts w:ascii="Times New Roman" w:cs="Times New Roman" w:eastAsia="Times New Roman" w:hAnsi="Times New Roman"/>
          <w:sz w:val="18"/>
          <w:szCs w:val="18"/>
          <w:color w:val="auto"/>
        </w:rPr>
        <w:t>We do not cover any damages arising out of a willful, malicious, fraudulent or dishonest act or any act intended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covered person to cause personal injury or property damage, even if the injury or damage is of a different degree or type than actually intended or expected. But we do cover such damages if the act was intended to protect people or property unless another exclusion applies. An intentional act is one whose consequences could have been foreseen by a reasonable person.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Molestation, misconduct or abuse. </w:t>
      </w:r>
      <w:r>
        <w:rPr>
          <w:rFonts w:ascii="Times New Roman" w:cs="Times New Roman" w:eastAsia="Times New Roman" w:hAnsi="Times New Roman"/>
          <w:sz w:val="18"/>
          <w:szCs w:val="18"/>
          <w:color w:val="auto"/>
        </w:rPr>
        <w:t>We do not cover any damages arising out of any actual, alleged or threatened:</w:t>
      </w:r>
    </w:p>
    <w:p>
      <w:pPr>
        <w:spacing w:after="0" w:line="229" w:lineRule="exact"/>
        <w:rPr>
          <w:sz w:val="20"/>
          <w:szCs w:val="20"/>
          <w:color w:val="auto"/>
        </w:rPr>
      </w:pPr>
    </w:p>
    <w:p>
      <w:pPr>
        <w:ind w:left="324" w:hanging="324"/>
        <w:spacing w:after="0"/>
        <w:tabs>
          <w:tab w:leader="none" w:pos="3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sexual molestation;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sexual misconduct or harassment; or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abuse.</w:t>
      </w:r>
    </w:p>
    <w:p>
      <w:pPr>
        <w:spacing w:after="0" w:line="22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Nonpermissive use. </w:t>
      </w:r>
      <w:r>
        <w:rPr>
          <w:rFonts w:ascii="Times New Roman" w:cs="Times New Roman" w:eastAsia="Times New Roman" w:hAnsi="Times New Roman"/>
          <w:sz w:val="18"/>
          <w:szCs w:val="18"/>
          <w:color w:val="auto"/>
        </w:rPr>
        <w:t>We do not cover any person who uses a motorized land vehicle or watercraft without permission from you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family member.</w:t>
      </w:r>
    </w:p>
    <w:p>
      <w:pPr>
        <w:spacing w:after="0" w:line="155" w:lineRule="exact"/>
        <w:rPr>
          <w:sz w:val="20"/>
          <w:szCs w:val="20"/>
          <w:color w:val="auto"/>
        </w:rPr>
      </w:pPr>
    </w:p>
    <w:p>
      <w:pPr>
        <w:jc w:val="both"/>
        <w:ind w:left="4" w:firstLine="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pursuits. </w:t>
      </w:r>
      <w:r>
        <w:rPr>
          <w:rFonts w:ascii="Times New Roman" w:cs="Times New Roman" w:eastAsia="Times New Roman" w:hAnsi="Times New Roman"/>
          <w:sz w:val="18"/>
          <w:szCs w:val="18"/>
          <w:color w:val="auto"/>
        </w:rPr>
        <w:t>We do not cover any damages arising out of a covered person's business pursuits, investment or other for-profit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for the account of a covered person or others, or busi ness property except on a follow form basis.</w:t>
      </w:r>
    </w:p>
    <w:p>
      <w:pPr>
        <w:spacing w:after="0" w:line="159" w:lineRule="exact"/>
        <w:rPr>
          <w:sz w:val="20"/>
          <w:szCs w:val="20"/>
          <w:color w:val="auto"/>
        </w:rPr>
      </w:pPr>
    </w:p>
    <w:p>
      <w:pPr>
        <w:jc w:val="both"/>
        <w:ind w:left="4" w:firstLine="3"/>
        <w:spacing w:after="0" w:line="258" w:lineRule="auto"/>
        <w:rPr>
          <w:sz w:val="20"/>
          <w:szCs w:val="20"/>
          <w:color w:val="auto"/>
        </w:rPr>
      </w:pPr>
      <w:r>
        <w:rPr>
          <w:rFonts w:ascii="Times New Roman" w:cs="Times New Roman" w:eastAsia="Times New Roman" w:hAnsi="Times New Roman"/>
          <w:sz w:val="18"/>
          <w:szCs w:val="18"/>
          <w:color w:val="auto"/>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or a family member's ownership, maintenance, or use of a private passenger motor vehicle in business activ ities other than selling, repairing, servicing, storing, parking, testing, or delivering motorized land vehicles.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Unless stated otherwise in your Coverage Summary:</w:t>
      </w:r>
    </w:p>
    <w:p>
      <w:pPr>
        <w:spacing w:after="0" w:line="225" w:lineRule="exact"/>
        <w:rPr>
          <w:sz w:val="20"/>
          <w:szCs w:val="20"/>
          <w:color w:val="auto"/>
        </w:rPr>
      </w:pPr>
    </w:p>
    <w:p>
      <w:pPr>
        <w:ind w:left="4" w:right="260" w:firstLine="1"/>
        <w:spacing w:after="0" w:line="282" w:lineRule="auto"/>
        <w:rPr>
          <w:sz w:val="20"/>
          <w:szCs w:val="20"/>
          <w:color w:val="auto"/>
        </w:rPr>
      </w:pPr>
      <w:r>
        <w:rPr>
          <w:rFonts w:ascii="Times New Roman" w:cs="Times New Roman" w:eastAsia="Times New Roman" w:hAnsi="Times New Roman"/>
          <w:sz w:val="18"/>
          <w:szCs w:val="18"/>
          <w:color w:val="auto"/>
        </w:rPr>
        <w:t>"Incidental business away from home" is a self-employed sales activity, or a self-employed business activity normally undertaken by person under the age of 18 such as newspaper delivery, babysitting, caddying, and lawn care. Either of these activities must:</w:t>
      </w:r>
    </w:p>
    <w:p>
      <w:pPr>
        <w:spacing w:after="0" w:line="162" w:lineRule="exact"/>
        <w:rPr>
          <w:sz w:val="20"/>
          <w:szCs w:val="20"/>
          <w:color w:val="auto"/>
        </w:rPr>
      </w:pPr>
    </w:p>
    <w:p>
      <w:pPr>
        <w:ind w:left="324" w:hanging="324"/>
        <w:spacing w:after="0"/>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yield gross revenues in excess of $15,000 in any year;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employees subject to worker's compensation or other similar disability laws;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to local, state, and federal laws.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"Incidental business at home" is a business activity, other than farming, conducted on your residence premises which must:</w:t>
      </w:r>
    </w:p>
    <w:p>
      <w:pPr>
        <w:sectPr>
          <w:pgSz w:w="11900" w:h="16838" w:orient="portrait"/>
          <w:cols w:equalWidth="0" w:num="1">
            <w:col w:w="9824"/>
          </w:cols>
          <w:pgMar w:left="976" w:top="1134" w:right="1099" w:bottom="1440" w:gutter="0" w:footer="0" w:header="0"/>
        </w:sectPr>
      </w:pPr>
    </w:p>
    <w:bookmarkStart w:id="122" w:name="page123"/>
    <w:bookmarkEnd w:id="122"/>
    <w:p>
      <w:pPr>
        <w:ind w:left="324" w:right="660" w:hanging="324"/>
        <w:spacing w:after="0" w:line="282" w:lineRule="auto"/>
        <w:tabs>
          <w:tab w:leader="none" w:pos="31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yield gross revenues in excess of $15,000, in any year, except for the business activity of managing one's own personal investments;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employees subject to worker's compensation or other similar disability laws;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to local, state, and federal laws.</w:t>
      </w:r>
    </w:p>
    <w:p>
      <w:pPr>
        <w:spacing w:after="0" w:line="225" w:lineRule="exact"/>
        <w:rPr>
          <w:sz w:val="20"/>
          <w:szCs w:val="20"/>
          <w:color w:val="auto"/>
        </w:rPr>
      </w:pPr>
    </w:p>
    <w:p>
      <w:pPr>
        <w:jc w:val="both"/>
        <w:ind w:left="4" w:firstLine="12"/>
        <w:spacing w:after="0" w:line="261" w:lineRule="auto"/>
        <w:rPr>
          <w:sz w:val="20"/>
          <w:szCs w:val="20"/>
          <w:color w:val="auto"/>
        </w:rPr>
      </w:pPr>
      <w:r>
        <w:rPr>
          <w:rFonts w:ascii="Times New Roman" w:cs="Times New Roman" w:eastAsia="Times New Roman" w:hAnsi="Times New Roman"/>
          <w:sz w:val="18"/>
          <w:szCs w:val="18"/>
          <w:color w:val="auto"/>
        </w:rPr>
        <w:t>"Incidental business property" is limited to the rental or holding for rental, to be used as a residence, of a condominium or cooperative unit owned by you or a family member, an apartment unit rented to you or a family member, a one or two family dwelling owned by you or a family member, or a three or four family dwelling owned and occupied by you or a family member. We provide this coverage only for premises covered under the Required Primary Underlying Insurance unless the rental or holding for rental is for:</w:t>
      </w:r>
    </w:p>
    <w:p>
      <w:pPr>
        <w:spacing w:after="0" w:line="180" w:lineRule="exact"/>
        <w:rPr>
          <w:sz w:val="20"/>
          <w:szCs w:val="20"/>
          <w:color w:val="auto"/>
        </w:rPr>
      </w:pPr>
    </w:p>
    <w:p>
      <w:pPr>
        <w:ind w:left="324" w:hanging="324"/>
        <w:spacing w:after="0"/>
        <w:tabs>
          <w:tab w:leader="none" w:pos="3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residence of yours or a family member's that is occasionally rented and that is used exclusively as a residence; or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a residence of yours or a family member's by one or two roomers or boarders; or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a residence of yours or a family member's as an office, school, studio, or private garage.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"Incidental farming" is a farming activity which meets all of the following requirements:</w:t>
      </w:r>
    </w:p>
    <w:p>
      <w:pPr>
        <w:spacing w:after="0" w:line="225" w:lineRule="exact"/>
        <w:rPr>
          <w:sz w:val="20"/>
          <w:szCs w:val="20"/>
          <w:color w:val="auto"/>
        </w:rPr>
      </w:pPr>
    </w:p>
    <w:p>
      <w:pPr>
        <w:ind w:left="324" w:hanging="324"/>
        <w:spacing w:after="0"/>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incidental to your or a family member's use of the premises as a residence;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employment of others for more than 1,500 hours of farm work during the policy period;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produce more than $25,000 in gross annual revenue from agricultural operations;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with respect to the raising or care of animals: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produce more than $50,000 in gross annual revenues;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more than 25 sales transactions during the policy period;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the sale of more than 50 animals during the policy period.</w:t>
      </w:r>
    </w:p>
    <w:p>
      <w:pPr>
        <w:spacing w:after="0" w:line="225" w:lineRule="exact"/>
        <w:rPr>
          <w:sz w:val="20"/>
          <w:szCs w:val="20"/>
          <w:color w:val="auto"/>
        </w:rPr>
      </w:pPr>
    </w:p>
    <w:p>
      <w:pPr>
        <w:jc w:val="both"/>
        <w:ind w:left="4" w:firstLine="3"/>
        <w:spacing w:after="0" w:line="266" w:lineRule="auto"/>
        <w:rPr>
          <w:sz w:val="20"/>
          <w:szCs w:val="20"/>
          <w:color w:val="auto"/>
        </w:rPr>
      </w:pPr>
      <w:r>
        <w:rPr>
          <w:rFonts w:ascii="Times New Roman" w:cs="Times New Roman" w:eastAsia="Times New Roman" w:hAnsi="Times New Roman"/>
          <w:sz w:val="18"/>
          <w:szCs w:val="18"/>
          <w:color w:val="auto"/>
        </w:rPr>
        <w:t>"Residence premises conditional business liability" is limited to business or professional activities when legally conducted by you or a family member at your residence. We provide coverage only for personal injury or property damage arising out of the physical condition of that residence if:</w:t>
      </w:r>
    </w:p>
    <w:p>
      <w:pPr>
        <w:spacing w:after="0" w:line="176" w:lineRule="exact"/>
        <w:rPr>
          <w:sz w:val="20"/>
          <w:szCs w:val="20"/>
          <w:color w:val="auto"/>
        </w:rPr>
      </w:pPr>
    </w:p>
    <w:p>
      <w:pPr>
        <w:jc w:val="both"/>
        <w:ind w:left="324" w:hanging="324"/>
        <w:spacing w:after="0" w:line="266" w:lineRule="auto"/>
        <w:tabs>
          <w:tab w:leader="none" w:pos="3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 do not have any employees involved in your business or professional activities who are subject to workers' compensation or other similar disability laws; or, if you or a family member are a doctor or dentist, you do not have more than two employees subject to such laws;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 do not earn annual gross revenues in excess of $5,000, if you or a family member are a home day care provider.</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do not cover damages or consequences resulting from business or professional care or services performed or not performed.</w:t>
      </w:r>
    </w:p>
    <w:p>
      <w:pPr>
        <w:sectPr>
          <w:pgSz w:w="11900" w:h="16838" w:orient="portrait"/>
          <w:cols w:equalWidth="0" w:num="1">
            <w:col w:w="9824"/>
          </w:cols>
          <w:pgMar w:left="976" w:top="1134" w:right="1099" w:bottom="1440" w:gutter="0" w:footer="0" w:header="0"/>
        </w:sectPr>
      </w:pPr>
    </w:p>
    <w:bookmarkStart w:id="123" w:name="page124"/>
    <w:bookmarkEnd w:id="123"/>
    <w:p>
      <w:pPr>
        <w:ind w:left="4"/>
        <w:spacing w:after="0"/>
        <w:rPr>
          <w:sz w:val="20"/>
          <w:szCs w:val="20"/>
          <w:color w:val="auto"/>
        </w:rPr>
      </w:pPr>
      <w:r>
        <w:rPr>
          <w:rFonts w:ascii="Times New Roman" w:cs="Times New Roman" w:eastAsia="Times New Roman" w:hAnsi="Times New Roman"/>
          <w:sz w:val="18"/>
          <w:szCs w:val="18"/>
          <w:b w:val="1"/>
          <w:bCs w:val="1"/>
          <w:color w:val="auto"/>
        </w:rPr>
        <w:t>The following additional exclusion applies only to "incidental farming" as described under the exclusion, Business pursuits.</w:t>
      </w:r>
    </w:p>
    <w:p>
      <w:pPr>
        <w:spacing w:after="0" w:line="225" w:lineRule="exact"/>
        <w:rPr>
          <w:sz w:val="20"/>
          <w:szCs w:val="20"/>
          <w:color w:val="auto"/>
        </w:rPr>
      </w:pPr>
    </w:p>
    <w:p>
      <w:pPr>
        <w:ind w:left="4" w:right="60" w:firstLine="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Contamination. </w:t>
      </w:r>
      <w:r>
        <w:rPr>
          <w:rFonts w:ascii="Times New Roman" w:cs="Times New Roman" w:eastAsia="Times New Roman" w:hAnsi="Times New Roman"/>
          <w:sz w:val="18"/>
          <w:szCs w:val="18"/>
          <w:color w:val="auto"/>
        </w:rPr>
        <w:t>We do not cover any actual or alleged damages arising out of the discharge, dispersal, seepage, migration or release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escape of pollutants. Nor do we cover any cost or expense arising out of any request, demand or order to:</w:t>
      </w:r>
    </w:p>
    <w:p>
      <w:pPr>
        <w:spacing w:after="0" w:line="159" w:lineRule="exact"/>
        <w:rPr>
          <w:sz w:val="20"/>
          <w:szCs w:val="20"/>
          <w:color w:val="auto"/>
        </w:rPr>
      </w:pPr>
    </w:p>
    <w:p>
      <w:pPr>
        <w:ind w:left="324" w:hanging="324"/>
        <w:spacing w:after="0"/>
        <w:tabs>
          <w:tab w:leader="none" w:pos="3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 pollutants from land or water;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restore or replace polluted or contaminated land or water; or</w:t>
      </w:r>
    </w:p>
    <w:p>
      <w:pPr>
        <w:spacing w:after="0" w:line="225"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1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for, monitor, clean up, remove, contain, treat, detoxify or neutralize pollutants, or in any way respond to or assess the effects of pollutants.</w:t>
      </w:r>
    </w:p>
    <w:p>
      <w:pPr>
        <w:spacing w:after="0" w:line="162" w:lineRule="exact"/>
        <w:rPr>
          <w:sz w:val="20"/>
          <w:szCs w:val="20"/>
          <w:color w:val="auto"/>
        </w:rPr>
      </w:pPr>
    </w:p>
    <w:p>
      <w:pPr>
        <w:jc w:val="both"/>
        <w:ind w:left="4" w:hanging="1"/>
        <w:spacing w:after="0" w:line="261" w:lineRule="auto"/>
        <w:rPr>
          <w:sz w:val="20"/>
          <w:szCs w:val="20"/>
          <w:color w:val="auto"/>
        </w:rPr>
      </w:pPr>
      <w:r>
        <w:rPr>
          <w:rFonts w:ascii="Times New Roman" w:cs="Times New Roman" w:eastAsia="Times New Roman" w:hAnsi="Times New Roman"/>
          <w:sz w:val="18"/>
          <w:szCs w:val="18"/>
          <w:color w:val="auto"/>
        </w:rPr>
        <w:t>However, this exclusion does not apply if the discharge, dispersal, seepage, migration, release or escape is sudden and accidental. A "pollutant" is any solid, liquid, gaseous or thermal irritant or contaminant, including smoke (except smoke from a hostile fire), vapor, soot, fumes, acids, alkalis, chemicals and waste. A "contaminant" is an impurity resulting from the mixture of or contact of a substance with a foreign substance. "Waste" includes materials to be disposed of, recycled, reconditioned or reclaimed.</w:t>
      </w:r>
    </w:p>
    <w:p>
      <w:pPr>
        <w:spacing w:after="0" w:line="176" w:lineRule="exact"/>
        <w:rPr>
          <w:sz w:val="20"/>
          <w:szCs w:val="20"/>
          <w:color w:val="auto"/>
        </w:rPr>
      </w:pPr>
    </w:p>
    <w:p>
      <w:pPr>
        <w:jc w:val="both"/>
        <w:ind w:left="4" w:hanging="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Financial guarantees. </w:t>
      </w:r>
      <w:r>
        <w:rPr>
          <w:rFonts w:ascii="Times New Roman" w:cs="Times New Roman" w:eastAsia="Times New Roman" w:hAnsi="Times New Roman"/>
          <w:sz w:val="18"/>
          <w:szCs w:val="18"/>
          <w:color w:val="auto"/>
        </w:rPr>
        <w:t>We do not cover any damages for any covered person's financial guarantee of the financial performance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 other individual or organization.</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Professional services. </w:t>
      </w:r>
      <w:r>
        <w:rPr>
          <w:rFonts w:ascii="Times New Roman" w:cs="Times New Roman" w:eastAsia="Times New Roman" w:hAnsi="Times New Roman"/>
          <w:sz w:val="18"/>
          <w:szCs w:val="18"/>
          <w:color w:val="auto"/>
        </w:rPr>
        <w:t>We do not cover any damages for any covered person's performing or failure to perform professional services,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professional services for which any covered person is legally responsible or licensed.</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Acts of war. </w:t>
      </w:r>
      <w:r>
        <w:rPr>
          <w:rFonts w:ascii="Times New Roman" w:cs="Times New Roman" w:eastAsia="Times New Roman" w:hAnsi="Times New Roman"/>
          <w:sz w:val="18"/>
          <w:szCs w:val="18"/>
          <w:color w:val="auto"/>
        </w:rPr>
        <w:t>We do not cover any damages caused directly or indirectly by war, undeclared war, civil war, insurrection, rebellion,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revolution, warlike acts by military forces or personnel, the destruction or seizure of property for a military purpose, or the consequences of any of these actions.</w:t>
      </w:r>
    </w:p>
    <w:p>
      <w:pPr>
        <w:spacing w:after="0" w:line="171" w:lineRule="exact"/>
        <w:rPr>
          <w:sz w:val="20"/>
          <w:szCs w:val="20"/>
          <w:color w:val="auto"/>
        </w:rPr>
      </w:pPr>
    </w:p>
    <w:p>
      <w:pPr>
        <w:jc w:val="both"/>
        <w:ind w:left="4" w:firstLine="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Contractual liability. </w:t>
      </w:r>
      <w:r>
        <w:rPr>
          <w:rFonts w:ascii="Times New Roman" w:cs="Times New Roman" w:eastAsia="Times New Roman" w:hAnsi="Times New Roman"/>
          <w:sz w:val="18"/>
          <w:szCs w:val="18"/>
          <w:color w:val="auto"/>
        </w:rPr>
        <w:t>We do not cover any assessments charged against a covered person as a member of a homeowners, condominium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cooperative association. We also do not cover any damages arising from contracts or agreements made in connection with any covered person's business. Nor do we cover any liability for unwritten contracts, or contracts in which the liability of others is assumed after a covered loss.</w:t>
      </w:r>
    </w:p>
    <w:p>
      <w:pPr>
        <w:spacing w:after="0" w:line="176" w:lineRule="exact"/>
        <w:rPr>
          <w:sz w:val="20"/>
          <w:szCs w:val="20"/>
          <w:color w:val="auto"/>
        </w:rPr>
      </w:pPr>
    </w:p>
    <w:p>
      <w:pPr>
        <w:jc w:val="both"/>
        <w:ind w:left="4" w:firstLine="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Covered person's or dependent's personal injury. </w:t>
      </w:r>
      <w:r>
        <w:rPr>
          <w:rFonts w:ascii="Times New Roman" w:cs="Times New Roman" w:eastAsia="Times New Roman" w:hAnsi="Times New Roman"/>
          <w:sz w:val="18"/>
          <w:szCs w:val="18"/>
          <w:color w:val="auto"/>
        </w:rPr>
        <w:t>We do not cover any damages for personal injury for any covered person or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dependents where the ultimate beneficiary is the offending party or defendant. We also do not cover any damages for personal injury for which you can be held legally liable, in any way, to a family member, your spouse or domestic partner or for which a family member, your spouse or domestic partner can be held legally liable, in any way, to you.</w:t>
      </w:r>
    </w:p>
    <w:p>
      <w:pPr>
        <w:spacing w:after="0" w:line="180" w:lineRule="exact"/>
        <w:rPr>
          <w:sz w:val="20"/>
          <w:szCs w:val="20"/>
          <w:color w:val="auto"/>
        </w:rPr>
      </w:pPr>
    </w:p>
    <w:p>
      <w:pPr>
        <w:jc w:val="both"/>
        <w:ind w:left="4" w:firstLine="3"/>
        <w:spacing w:after="0" w:line="258" w:lineRule="auto"/>
        <w:rPr>
          <w:sz w:val="20"/>
          <w:szCs w:val="20"/>
          <w:color w:val="auto"/>
        </w:rPr>
      </w:pPr>
      <w:r>
        <w:rPr>
          <w:rFonts w:ascii="Times New Roman" w:cs="Times New Roman" w:eastAsia="Times New Roman" w:hAnsi="Times New Roman"/>
          <w:sz w:val="18"/>
          <w:szCs w:val="18"/>
          <w:color w:val="auto"/>
        </w:rPr>
        <w:t>However, we do cover damages for bodily injury arising out of the use of a motorized land vehicle for which you can be held legally liable to a family member, your spouse or domestic partner or for which a family member, your spouse or domestic partner can be held legally liable to you to the extent that coverage is provided under this policy. This coverage applies only to the extent such damages are covered by primary underlying insurance and exceed the limits of insurance required for that motorized land vehicle under the Required Primary Underlying Insurance provisions of this policy.</w:t>
      </w:r>
    </w:p>
    <w:p>
      <w:pPr>
        <w:spacing w:after="0" w:line="179" w:lineRule="exact"/>
        <w:rPr>
          <w:sz w:val="20"/>
          <w:szCs w:val="20"/>
          <w:color w:val="auto"/>
        </w:rPr>
      </w:pPr>
    </w:p>
    <w:p>
      <w:pPr>
        <w:jc w:val="both"/>
        <w:ind w:left="4" w:firstLine="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Liability for dependent care. </w:t>
      </w:r>
      <w:r>
        <w:rPr>
          <w:rFonts w:ascii="Times New Roman" w:cs="Times New Roman" w:eastAsia="Times New Roman" w:hAnsi="Times New Roman"/>
          <w:sz w:val="18"/>
          <w:szCs w:val="18"/>
          <w:color w:val="auto"/>
        </w:rPr>
        <w:t>We do not cover any damages for personal injury for which a covered person's only legal liability is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virtue of a contract or other responsibility for a dependent's care.</w:t>
      </w:r>
    </w:p>
    <w:p>
      <w:pPr>
        <w:spacing w:after="0" w:line="155" w:lineRule="exact"/>
        <w:rPr>
          <w:sz w:val="20"/>
          <w:szCs w:val="20"/>
          <w:color w:val="auto"/>
        </w:rPr>
      </w:pPr>
    </w:p>
    <w:p>
      <w:pPr>
        <w:jc w:val="both"/>
        <w:ind w:left="4" w:firstLine="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Illness. </w:t>
      </w:r>
      <w:r>
        <w:rPr>
          <w:rFonts w:ascii="Times New Roman" w:cs="Times New Roman" w:eastAsia="Times New Roman" w:hAnsi="Times New Roman"/>
          <w:sz w:val="18"/>
          <w:szCs w:val="18"/>
          <w:color w:val="auto"/>
        </w:rPr>
        <w:t>We do not cover personal injury or property damage resulting from any illness, sickness or disease transmitted intentionally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unintentionally by a covered person to anyone, or any consequence resulting from that illness, sickness or disease. We also do not cover any damages for personal injury resulting from the fear of contracting any illness, sickness or disease, or any consequence resulting from the fear of contracting any illness, sickness or disease.</w:t>
      </w:r>
    </w:p>
    <w:p>
      <w:pPr>
        <w:spacing w:after="0" w:line="176" w:lineRule="exact"/>
        <w:rPr>
          <w:sz w:val="20"/>
          <w:szCs w:val="20"/>
          <w:color w:val="auto"/>
        </w:rPr>
      </w:pPr>
    </w:p>
    <w:p>
      <w:pPr>
        <w:jc w:val="both"/>
        <w:ind w:left="4" w:hanging="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Fungi and mold. </w:t>
      </w:r>
      <w:r>
        <w:rPr>
          <w:rFonts w:ascii="Times New Roman" w:cs="Times New Roman" w:eastAsia="Times New Roman" w:hAnsi="Times New Roman"/>
          <w:sz w:val="18"/>
          <w:szCs w:val="18"/>
          <w:color w:val="auto"/>
        </w:rPr>
        <w:t>We do not cover any actual or alleged damages or medical expenses arising out of mold, the fear of mold,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resulting from mold or the fear of mold. "Mold" means fungi, mold, mold spores, mycotoxins, and the scents and other byproducts of any of these.</w:t>
      </w:r>
    </w:p>
    <w:p>
      <w:pPr>
        <w:sectPr>
          <w:pgSz w:w="11900" w:h="16838" w:orient="portrait"/>
          <w:cols w:equalWidth="0" w:num="1">
            <w:col w:w="9824"/>
          </w:cols>
          <w:pgMar w:left="976" w:top="725" w:right="1099" w:bottom="1440" w:gutter="0" w:footer="0" w:header="0"/>
        </w:sectPr>
      </w:pPr>
    </w:p>
    <w:bookmarkStart w:id="124" w:name="page125"/>
    <w:bookmarkEnd w:id="124"/>
    <w:p>
      <w:pPr>
        <w:ind w:right="100" w:firstLine="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Nuclear or radiation hazard. </w:t>
      </w:r>
      <w:r>
        <w:rPr>
          <w:rFonts w:ascii="Times New Roman" w:cs="Times New Roman" w:eastAsia="Times New Roman" w:hAnsi="Times New Roman"/>
          <w:sz w:val="18"/>
          <w:szCs w:val="18"/>
          <w:color w:val="auto"/>
        </w:rPr>
        <w:t>We do not cover any damages caused directly or indirectly by nuclear reaction, radiation, or radioactive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contamination, regardless of how it was caused.</w:t>
      </w:r>
    </w:p>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POLICY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part of your Group Personal Excess Liability Policy explains the conditions that apply to your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conditions apply to your policy in general, and to each coverage provided in the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period</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effective dates of your policy are shown in the Coverage Summary. Those dates begin at 12:01 a.m. standard time at the mailing address shown.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coverages on this policy apply only to occurrences that take place while this policy is in effect.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rights</w:t>
      </w:r>
    </w:p>
    <w:p>
      <w:pPr>
        <w:spacing w:after="0" w:line="229" w:lineRule="exact"/>
        <w:rPr>
          <w:sz w:val="20"/>
          <w:szCs w:val="20"/>
          <w:color w:val="auto"/>
        </w:rPr>
      </w:pPr>
    </w:p>
    <w:p>
      <w:pPr>
        <w:ind w:right="300" w:hanging="13"/>
        <w:spacing w:after="0" w:line="282" w:lineRule="auto"/>
        <w:rPr>
          <w:sz w:val="20"/>
          <w:szCs w:val="20"/>
          <w:color w:val="auto"/>
        </w:rPr>
      </w:pPr>
      <w:r>
        <w:rPr>
          <w:rFonts w:ascii="Times New Roman" w:cs="Times New Roman" w:eastAsia="Times New Roman" w:hAnsi="Times New Roman"/>
          <w:sz w:val="18"/>
          <w:szCs w:val="18"/>
          <w:color w:val="auto"/>
        </w:rPr>
        <w:t>If we make a payment under this policy, we will assume any recovery rights a covered person has in connection with that loss, to the extent we have paid for the loss.</w:t>
      </w:r>
    </w:p>
    <w:p>
      <w:pPr>
        <w:spacing w:after="0" w:line="162" w:lineRule="exact"/>
        <w:rPr>
          <w:sz w:val="20"/>
          <w:szCs w:val="20"/>
          <w:color w:val="auto"/>
        </w:rPr>
      </w:pPr>
    </w:p>
    <w:p>
      <w:pPr>
        <w:jc w:val="both"/>
        <w:ind w:hanging="3"/>
        <w:spacing w:after="0" w:line="266" w:lineRule="auto"/>
        <w:rPr>
          <w:sz w:val="20"/>
          <w:szCs w:val="20"/>
          <w:color w:val="auto"/>
        </w:rPr>
      </w:pPr>
      <w:r>
        <w:rPr>
          <w:rFonts w:ascii="Times New Roman" w:cs="Times New Roman" w:eastAsia="Times New Roman" w:hAnsi="Times New Roman"/>
          <w:sz w:val="18"/>
          <w:szCs w:val="18"/>
          <w:color w:val="auto"/>
        </w:rPr>
        <w:t>All of your rights of recovery will become our rights to the extent of any payment we make under this policy. A covered person will do everything necessary to secure such rights; and do nothing after a loss to prejudice such rights. However, you may waive any rights of recovery from another person or organization for a covered loss in writing before the loss occurs.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Concealment or fraud</w:t>
      </w:r>
    </w:p>
    <w:p>
      <w:pPr>
        <w:spacing w:after="0" w:line="229" w:lineRule="exact"/>
        <w:rPr>
          <w:sz w:val="20"/>
          <w:szCs w:val="20"/>
          <w:color w:val="auto"/>
        </w:rPr>
      </w:pPr>
    </w:p>
    <w:p>
      <w:pPr>
        <w:jc w:val="both"/>
        <w:ind w:hanging="9"/>
        <w:spacing w:after="0" w:line="282" w:lineRule="auto"/>
        <w:rPr>
          <w:sz w:val="20"/>
          <w:szCs w:val="20"/>
          <w:color w:val="auto"/>
        </w:rPr>
      </w:pPr>
      <w:r>
        <w:rPr>
          <w:rFonts w:ascii="Times New Roman" w:cs="Times New Roman" w:eastAsia="Times New Roman" w:hAnsi="Times New Roman"/>
          <w:sz w:val="18"/>
          <w:szCs w:val="18"/>
          <w:color w:val="auto"/>
        </w:rPr>
        <w:t>We do not provide coverage if you or any covered person has intentionally concealed or misrepresented any material fact relating to this policy before or after a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coverage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Coverage applies separately to each covered person. However, this provision does not increase the amount of coverage for any one occurrence.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cannot transfer your interest in this policy to anyone else unless we agree in writing to the transfer.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changes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can be changed only by a written amendment we issue.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or insolvency</w:t>
      </w:r>
    </w:p>
    <w:p>
      <w:pPr>
        <w:spacing w:after="0" w:line="229" w:lineRule="exact"/>
        <w:rPr>
          <w:sz w:val="20"/>
          <w:szCs w:val="20"/>
          <w:color w:val="auto"/>
        </w:rPr>
      </w:pPr>
    </w:p>
    <w:p>
      <w:pPr>
        <w:jc w:val="both"/>
        <w:ind w:hanging="15"/>
        <w:spacing w:after="0" w:line="282" w:lineRule="auto"/>
        <w:rPr>
          <w:sz w:val="20"/>
          <w:szCs w:val="20"/>
          <w:color w:val="auto"/>
        </w:rPr>
      </w:pPr>
      <w:r>
        <w:rPr>
          <w:rFonts w:ascii="Times New Roman" w:cs="Times New Roman" w:eastAsia="Times New Roman" w:hAnsi="Times New Roman"/>
          <w:sz w:val="18"/>
          <w:szCs w:val="18"/>
          <w:color w:val="auto"/>
        </w:rPr>
        <w:t>We will meet all our obligations under this policy regardless of whether you, your estate, or anyone else or their estate becomes bankrupt or insolvent.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case of death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your death, coverage will be provided until the end of the policy period or policy anniversary date, whichever occurs first, for any surviving member of your household who is a covered person at the time of death. We will also cover your legal representative or any person having proper temporary custody of your property.</w:t>
      </w:r>
    </w:p>
    <w:p>
      <w:pPr>
        <w:sectPr>
          <w:pgSz w:w="11900" w:h="16838" w:orient="portrait"/>
          <w:cols w:equalWidth="0" w:num="1">
            <w:col w:w="9820"/>
          </w:cols>
          <w:pgMar w:left="980" w:top="1130" w:right="1099" w:bottom="1440" w:gutter="0" w:footer="0" w:header="0"/>
        </w:sectPr>
      </w:pPr>
    </w:p>
    <w:bookmarkStart w:id="125" w:name="page126"/>
    <w:bookmarkEnd w:id="125"/>
    <w:p>
      <w:pPr>
        <w:ind w:left="4"/>
        <w:spacing w:after="0"/>
        <w:rPr>
          <w:sz w:val="20"/>
          <w:szCs w:val="20"/>
          <w:color w:val="auto"/>
        </w:rPr>
      </w:pPr>
      <w:r>
        <w:rPr>
          <w:rFonts w:ascii="Times New Roman" w:cs="Times New Roman" w:eastAsia="Times New Roman" w:hAnsi="Times New Roman"/>
          <w:sz w:val="18"/>
          <w:szCs w:val="18"/>
          <w:b w:val="1"/>
          <w:bCs w:val="1"/>
          <w:color w:val="auto"/>
        </w:rPr>
        <w:t>Liberalization</w:t>
      </w:r>
    </w:p>
    <w:p>
      <w:pPr>
        <w:spacing w:after="0" w:line="229" w:lineRule="exact"/>
        <w:rPr>
          <w:sz w:val="20"/>
          <w:szCs w:val="20"/>
          <w:color w:val="auto"/>
        </w:rPr>
      </w:pPr>
    </w:p>
    <w:p>
      <w:pPr>
        <w:jc w:val="both"/>
        <w:ind w:left="4" w:hanging="1"/>
        <w:spacing w:after="0" w:line="266" w:lineRule="auto"/>
        <w:rPr>
          <w:sz w:val="20"/>
          <w:szCs w:val="20"/>
          <w:color w:val="auto"/>
        </w:rPr>
      </w:pPr>
      <w:r>
        <w:rPr>
          <w:rFonts w:ascii="Times New Roman" w:cs="Times New Roman" w:eastAsia="Times New Roman" w:hAnsi="Times New Roman"/>
          <w:sz w:val="18"/>
          <w:szCs w:val="18"/>
          <w:color w:val="auto"/>
        </w:rPr>
        <w:t>We may extend or broaden the coverage provided by this policy. If we do this during the policy period or within 60 days before it begins, without increasing the premium, then the extended or broadened coverage will apply to occurrences after the effective date of the extended or broadened coverage.</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Conforming to state law</w:t>
      </w:r>
    </w:p>
    <w:p>
      <w:pPr>
        <w:spacing w:after="0" w:line="229" w:lineRule="exact"/>
        <w:rPr>
          <w:sz w:val="20"/>
          <w:szCs w:val="20"/>
          <w:color w:val="auto"/>
        </w:rPr>
      </w:pPr>
    </w:p>
    <w:p>
      <w:pPr>
        <w:jc w:val="both"/>
        <w:ind w:left="4" w:hanging="13"/>
        <w:spacing w:after="0" w:line="282" w:lineRule="auto"/>
        <w:rPr>
          <w:sz w:val="20"/>
          <w:szCs w:val="20"/>
          <w:color w:val="auto"/>
        </w:rPr>
      </w:pPr>
      <w:r>
        <w:rPr>
          <w:rFonts w:ascii="Times New Roman" w:cs="Times New Roman" w:eastAsia="Times New Roman" w:hAnsi="Times New Roman"/>
          <w:sz w:val="18"/>
          <w:szCs w:val="18"/>
          <w:color w:val="auto"/>
        </w:rPr>
        <w:t>If any provision of this policy conflicts with any applicable laws of the state you live in, this policy is amended to conform to those laws.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Conforming to trade sanction laws</w:t>
      </w:r>
    </w:p>
    <w:p>
      <w:pPr>
        <w:spacing w:after="0" w:line="229"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This policy does not apply to the extent that trade or economic sanctions or other laws or regulations prohibit us from providing insurance.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Liability Conditions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These conditions apply to all liability coverages in this policy.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Insurance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insurance is excess over any other insurance except for those policies that</w:t>
      </w:r>
    </w:p>
    <w:p>
      <w:pPr>
        <w:spacing w:after="0" w:line="225" w:lineRule="exact"/>
        <w:rPr>
          <w:sz w:val="20"/>
          <w:szCs w:val="20"/>
          <w:color w:val="auto"/>
        </w:rPr>
      </w:pPr>
    </w:p>
    <w:p>
      <w:pPr>
        <w:ind w:left="324" w:hanging="324"/>
        <w:spacing w:after="0"/>
        <w:tabs>
          <w:tab w:leader="none" w:pos="3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written specifically to cover excess over the amount of coverage that applies in this policy;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this policy as underlying insurance.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Your duties after a loss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case of an accident or occurrence, the covered person shall perform the following duties that apply: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Notification. </w:t>
      </w:r>
      <w:r>
        <w:rPr>
          <w:rFonts w:ascii="Times New Roman" w:cs="Times New Roman" w:eastAsia="Times New Roman" w:hAnsi="Times New Roman"/>
          <w:sz w:val="18"/>
          <w:szCs w:val="18"/>
          <w:color w:val="auto"/>
        </w:rPr>
        <w:t>You must notify us or your agent or broker as soon as possible.</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Assistance. </w:t>
      </w:r>
      <w:r>
        <w:rPr>
          <w:rFonts w:ascii="Times New Roman" w:cs="Times New Roman" w:eastAsia="Times New Roman" w:hAnsi="Times New Roman"/>
          <w:sz w:val="18"/>
          <w:szCs w:val="18"/>
          <w:color w:val="auto"/>
        </w:rPr>
        <w:t>You must provide us with all available information. This includes any suit papers or other documents which help us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that we defend you.</w:t>
      </w:r>
    </w:p>
    <w:p>
      <w:pPr>
        <w:spacing w:after="0" w:line="155" w:lineRule="exact"/>
        <w:rPr>
          <w:sz w:val="20"/>
          <w:szCs w:val="20"/>
          <w:color w:val="auto"/>
        </w:rPr>
      </w:pPr>
    </w:p>
    <w:p>
      <w:pPr>
        <w:ind w:left="4" w:firstLine="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Cooperation. </w:t>
      </w:r>
      <w:r>
        <w:rPr>
          <w:rFonts w:ascii="Times New Roman" w:cs="Times New Roman" w:eastAsia="Times New Roman" w:hAnsi="Times New Roman"/>
          <w:sz w:val="18"/>
          <w:szCs w:val="18"/>
          <w:color w:val="auto"/>
        </w:rPr>
        <w:t>You must cooperate with us fully in any legal defense. This may include any association by us with the covered person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defense of a claim reasonably likely to involve us.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Examination. </w:t>
      </w:r>
      <w:r>
        <w:rPr>
          <w:rFonts w:ascii="Times New Roman" w:cs="Times New Roman" w:eastAsia="Times New Roman" w:hAnsi="Times New Roman"/>
          <w:sz w:val="18"/>
          <w:szCs w:val="18"/>
          <w:color w:val="auto"/>
        </w:rPr>
        <w:t>A person making a claim under this policy must submit as often as we reasonably require:</w:t>
      </w:r>
    </w:p>
    <w:p>
      <w:pPr>
        <w:spacing w:after="0" w:line="229" w:lineRule="exact"/>
        <w:rPr>
          <w:sz w:val="20"/>
          <w:szCs w:val="20"/>
          <w:color w:val="auto"/>
        </w:rPr>
      </w:pPr>
    </w:p>
    <w:p>
      <w:pPr>
        <w:ind w:left="384" w:hanging="283"/>
        <w:spacing w:after="0"/>
        <w:tabs>
          <w:tab w:leader="none" w:pos="38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physical exams by physicians we select, which we will pay for; and</w:t>
      </w:r>
    </w:p>
    <w:p>
      <w:pPr>
        <w:spacing w:after="0" w:line="225" w:lineRule="exact"/>
        <w:rPr>
          <w:rFonts w:ascii="Times New Roman" w:cs="Times New Roman" w:eastAsia="Times New Roman" w:hAnsi="Times New Roman"/>
          <w:sz w:val="17"/>
          <w:szCs w:val="17"/>
          <w:color w:val="auto"/>
        </w:rPr>
      </w:pPr>
    </w:p>
    <w:p>
      <w:pPr>
        <w:ind w:left="384" w:hanging="283"/>
        <w:spacing w:after="0"/>
        <w:tabs>
          <w:tab w:leader="none" w:pos="38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examination under oath and subscribe the same;</w:t>
      </w:r>
    </w:p>
    <w:p>
      <w:pPr>
        <w:spacing w:after="0" w:line="225"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8"/>
          <w:szCs w:val="18"/>
          <w:color w:val="auto"/>
        </w:rPr>
        <w:t>and authorize us to obtain:</w:t>
      </w:r>
    </w:p>
    <w:p>
      <w:pPr>
        <w:spacing w:after="0" w:line="225" w:lineRule="exact"/>
        <w:rPr>
          <w:sz w:val="20"/>
          <w:szCs w:val="20"/>
          <w:color w:val="auto"/>
        </w:rPr>
      </w:pPr>
    </w:p>
    <w:p>
      <w:pPr>
        <w:ind w:left="384" w:hanging="283"/>
        <w:spacing w:after="0"/>
        <w:tabs>
          <w:tab w:leader="none" w:pos="384"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medical reports; and</w:t>
      </w:r>
    </w:p>
    <w:p>
      <w:pPr>
        <w:spacing w:after="0" w:line="225" w:lineRule="exact"/>
        <w:rPr>
          <w:rFonts w:ascii="Times New Roman" w:cs="Times New Roman" w:eastAsia="Times New Roman" w:hAnsi="Times New Roman"/>
          <w:sz w:val="17"/>
          <w:szCs w:val="17"/>
          <w:color w:val="auto"/>
        </w:rPr>
      </w:pPr>
    </w:p>
    <w:p>
      <w:pPr>
        <w:ind w:left="384" w:hanging="283"/>
        <w:spacing w:after="0"/>
        <w:tabs>
          <w:tab w:leader="none" w:pos="384"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other pertinent records.</w:t>
      </w:r>
    </w:p>
    <w:p>
      <w:pPr>
        <w:spacing w:after="0" w:line="2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Appeals</w:t>
      </w:r>
    </w:p>
    <w:p>
      <w:pPr>
        <w:spacing w:after="0" w:line="229" w:lineRule="exact"/>
        <w:rPr>
          <w:sz w:val="20"/>
          <w:szCs w:val="20"/>
          <w:color w:val="auto"/>
        </w:rPr>
      </w:pPr>
    </w:p>
    <w:p>
      <w:pPr>
        <w:jc w:val="both"/>
        <w:ind w:left="4" w:firstLine="6"/>
        <w:spacing w:after="0" w:line="266" w:lineRule="auto"/>
        <w:rPr>
          <w:sz w:val="20"/>
          <w:szCs w:val="20"/>
          <w:color w:val="auto"/>
        </w:rPr>
      </w:pPr>
      <w:r>
        <w:rPr>
          <w:rFonts w:ascii="Times New Roman" w:cs="Times New Roman" w:eastAsia="Times New Roman" w:hAnsi="Times New Roman"/>
          <w:sz w:val="18"/>
          <w:szCs w:val="18"/>
          <w:color w:val="auto"/>
        </w:rPr>
        <w:t>If a covered person, or any primary insurer, does not appeal a judgment for covered damages, we may choose to do so. We will then become responsible for all expenses, taxable costs, and interest arising out of the appeal. However, the amount of coverage for damages will not be increased.</w:t>
      </w:r>
    </w:p>
    <w:p>
      <w:pPr>
        <w:sectPr>
          <w:pgSz w:w="11900" w:h="16838" w:orient="portrait"/>
          <w:cols w:equalWidth="0" w:num="1">
            <w:col w:w="9824"/>
          </w:cols>
          <w:pgMar w:left="976" w:top="1130" w:right="10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conflict with any other conditions of your policy, these conditions supersede.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action against 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agree not to bring action against us unless you have first complied with all conditions of this policy.</w:t>
      </w:r>
    </w:p>
    <w:p>
      <w:pPr>
        <w:spacing w:after="0" w:line="225"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You also agree not to bring any action against us until the amount of damages you are legally obligated to pay has been finally determined after an actual trial or appeal, if any, or by a written agreement between you, us and the claimant. No person or organization has any right under this policy to bring us into any action to determine the liability of a covered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cancellation and coverage termination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Sponsoring Organization may cancel this policy by returning it to us or notifying us in writing at any time subject to the following:</w:t>
      </w:r>
    </w:p>
    <w:p>
      <w:pPr>
        <w:spacing w:after="0" w:line="225" w:lineRule="exact"/>
        <w:rPr>
          <w:sz w:val="20"/>
          <w:szCs w:val="20"/>
          <w:color w:val="auto"/>
        </w:rPr>
      </w:pPr>
    </w:p>
    <w:p>
      <w:pPr>
        <w:ind w:left="380" w:hanging="283"/>
        <w:spacing w:after="0"/>
        <w:tabs>
          <w:tab w:leader="none" w:pos="3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Sponsoring Organization must notify us in advance of the requested cancellation date; and</w:t>
      </w:r>
    </w:p>
    <w:p>
      <w:pPr>
        <w:spacing w:after="0" w:line="225" w:lineRule="exact"/>
        <w:rPr>
          <w:rFonts w:ascii="Times New Roman" w:cs="Times New Roman" w:eastAsia="Times New Roman" w:hAnsi="Times New Roman"/>
          <w:sz w:val="17"/>
          <w:szCs w:val="17"/>
          <w:color w:val="auto"/>
        </w:rPr>
      </w:pPr>
    </w:p>
    <w:p>
      <w:pPr>
        <w:ind w:left="380" w:hanging="283"/>
        <w:spacing w:after="0"/>
        <w:tabs>
          <w:tab w:leader="none" w:pos="3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Sponsoring Organization must provide proof of notification to each member of the Defined Group covered under this policy.</w:t>
      </w:r>
    </w:p>
    <w:p>
      <w:pPr>
        <w:spacing w:after="0" w:line="225" w:lineRule="exact"/>
        <w:rPr>
          <w:sz w:val="20"/>
          <w:szCs w:val="20"/>
          <w:color w:val="auto"/>
        </w:rPr>
      </w:pPr>
    </w:p>
    <w:p>
      <w:pPr>
        <w:jc w:val="both"/>
        <w:ind w:hanging="11"/>
        <w:spacing w:after="0" w:line="266" w:lineRule="auto"/>
        <w:rPr>
          <w:sz w:val="20"/>
          <w:szCs w:val="20"/>
          <w:color w:val="auto"/>
        </w:rPr>
      </w:pPr>
      <w:r>
        <w:rPr>
          <w:rFonts w:ascii="Times New Roman" w:cs="Times New Roman" w:eastAsia="Times New Roman" w:hAnsi="Times New Roman"/>
          <w:sz w:val="18"/>
          <w:szCs w:val="18"/>
          <w:color w:val="auto"/>
        </w:rPr>
        <w:t>We may cancel this policy or any part of it subject to the following conditions. Our right to cancel applies to each coverage or limit in this policy. In the event we cancel this policy, we are under no obligation to provide you with an opportunity to purchase equivalent coverage.</w:t>
      </w:r>
    </w:p>
    <w:p>
      <w:pPr>
        <w:spacing w:after="0" w:line="172" w:lineRule="exact"/>
        <w:rPr>
          <w:sz w:val="20"/>
          <w:szCs w:val="20"/>
          <w:color w:val="auto"/>
        </w:rPr>
      </w:pPr>
    </w:p>
    <w:p>
      <w:pPr>
        <w:jc w:val="both"/>
        <w:ind w:firstLine="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Within 60 days. </w:t>
      </w:r>
      <w:r>
        <w:rPr>
          <w:rFonts w:ascii="Times New Roman" w:cs="Times New Roman" w:eastAsia="Times New Roman" w:hAnsi="Times New Roman"/>
          <w:sz w:val="18"/>
          <w:szCs w:val="18"/>
          <w:color w:val="auto"/>
        </w:rPr>
        <w:t>When this policy or any part of it has been in effect for less than 60 days, we may cancel with 30 days notice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w:t>
      </w:r>
    </w:p>
    <w:p>
      <w:pPr>
        <w:spacing w:after="0" w:line="155" w:lineRule="exact"/>
        <w:rPr>
          <w:sz w:val="20"/>
          <w:szCs w:val="20"/>
          <w:color w:val="auto"/>
        </w:rPr>
      </w:pPr>
    </w:p>
    <w:p>
      <w:pPr>
        <w:jc w:val="both"/>
        <w:ind w:firstLine="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 payment of premium. </w:t>
      </w:r>
      <w:r>
        <w:rPr>
          <w:rFonts w:ascii="Times New Roman" w:cs="Times New Roman" w:eastAsia="Times New Roman" w:hAnsi="Times New Roman"/>
          <w:sz w:val="18"/>
          <w:szCs w:val="18"/>
          <w:color w:val="auto"/>
        </w:rPr>
        <w:t>We may cancel this policy or any part of it with 10 days notice if the Sponsoring Organization or you fail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the premium by the due date, regardless of whether the premium is payable to us, to our agent, or under any financial credit.</w:t>
      </w:r>
    </w:p>
    <w:p>
      <w:pPr>
        <w:spacing w:after="0" w:line="155" w:lineRule="exact"/>
        <w:rPr>
          <w:sz w:val="20"/>
          <w:szCs w:val="20"/>
          <w:color w:val="auto"/>
        </w:rPr>
      </w:pPr>
    </w:p>
    <w:p>
      <w:pPr>
        <w:jc w:val="both"/>
        <w:ind w:hanging="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Misrepresentation. </w:t>
      </w:r>
      <w:r>
        <w:rPr>
          <w:rFonts w:ascii="Times New Roman" w:cs="Times New Roman" w:eastAsia="Times New Roman" w:hAnsi="Times New Roman"/>
          <w:sz w:val="18"/>
          <w:szCs w:val="18"/>
          <w:color w:val="auto"/>
        </w:rPr>
        <w:t>We may cancel this policy or any part of it with 30 days notice if the coverage was obtained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misrepresentation, fraudulent statements, or omissions or concealment of a fact that is relevant to the acceptance of the risk or to the hazard we assumed.</w:t>
      </w:r>
    </w:p>
    <w:p>
      <w:pPr>
        <w:spacing w:after="0" w:line="171" w:lineRule="exact"/>
        <w:rPr>
          <w:sz w:val="20"/>
          <w:szCs w:val="20"/>
          <w:color w:val="auto"/>
        </w:rPr>
      </w:pPr>
    </w:p>
    <w:p>
      <w:pPr>
        <w:jc w:val="both"/>
        <w:ind w:firstLine="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Increase in hazard. </w:t>
      </w:r>
      <w:r>
        <w:rPr>
          <w:rFonts w:ascii="Times New Roman" w:cs="Times New Roman" w:eastAsia="Times New Roman" w:hAnsi="Times New Roman"/>
          <w:sz w:val="18"/>
          <w:szCs w:val="18"/>
          <w:color w:val="auto"/>
        </w:rPr>
        <w:t>We may cancel this policy or any part of it with 30 days notice if there has been a substantial change in the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increases the chance of loss after insurance coverage has been issued or renewed, including but not limited to an increase in exposure due to rules, legislation, or court decision.</w:t>
      </w:r>
    </w:p>
    <w:p>
      <w:pPr>
        <w:spacing w:after="0" w:line="171" w:lineRule="exact"/>
        <w:rPr>
          <w:sz w:val="20"/>
          <w:szCs w:val="20"/>
          <w:color w:val="auto"/>
        </w:rPr>
      </w:pPr>
    </w:p>
    <w:p>
      <w:pPr>
        <w:jc w:val="both"/>
        <w:ind w:firstLine="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Procedure. </w:t>
      </w:r>
      <w:r>
        <w:rPr>
          <w:rFonts w:ascii="Times New Roman" w:cs="Times New Roman" w:eastAsia="Times New Roman" w:hAnsi="Times New Roman"/>
          <w:sz w:val="18"/>
          <w:szCs w:val="18"/>
          <w:color w:val="auto"/>
        </w:rPr>
        <w:t>To cancel this policy or any part of it, we must notify you in writing. This notice will be mailed to the Sponsoring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at the mailing address shown in the Coverage Summary and we will obtain a certificate of mailing. This notice will include the date the cancellation is to take effect.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Should an individual for any reason no longer qualify as a member of the Defined Group, coverage will cease sixty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from the date that individual no longer qualifies as a member of the Defined Group, or the policy expiration or cancellation date, whichever comes first.</w:t>
      </w:r>
    </w:p>
    <w:p>
      <w:pPr>
        <w:spacing w:after="0" w:line="171" w:lineRule="exact"/>
        <w:rPr>
          <w:sz w:val="20"/>
          <w:szCs w:val="20"/>
          <w:color w:val="auto"/>
        </w:rPr>
      </w:pPr>
    </w:p>
    <w:p>
      <w:pPr>
        <w:jc w:val="both"/>
        <w:ind w:firstLine="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Refund. </w:t>
      </w:r>
      <w:r>
        <w:rPr>
          <w:rFonts w:ascii="Times New Roman" w:cs="Times New Roman" w:eastAsia="Times New Roman" w:hAnsi="Times New Roman"/>
          <w:sz w:val="18"/>
          <w:szCs w:val="18"/>
          <w:color w:val="auto"/>
        </w:rPr>
        <w:t>In the event of cancellation by the Sponsoring Organization or us, we will refund any unearned premium on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cancellation, or as soon as possible afterwards to the Sponsoring Organization. The unearned premium will be computed short rate for the unexpired term of the policy.</w:t>
      </w:r>
    </w:p>
    <w:p>
      <w:pPr>
        <w:sectPr>
          <w:pgSz w:w="11900" w:h="16838" w:orient="portrait"/>
          <w:cols w:equalWidth="0" w:num="1">
            <w:col w:w="9820"/>
          </w:cols>
          <w:pgMar w:left="980" w:top="1130" w:right="10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8480" w:type="dxa"/>
            <w:vAlign w:val="bottom"/>
            <w:tcBorders>
              <w:top w:val="single" w:sz="8" w:color="auto"/>
              <w:left w:val="single" w:sz="8" w:color="auto"/>
              <w:right w:val="single" w:sz="8" w:color="C0C0C0"/>
            </w:tcBorders>
            <w:vMerge w:val="restart"/>
          </w:tcPr>
          <w:p>
            <w:pPr>
              <w:ind w:left="140"/>
              <w:spacing w:after="0"/>
              <w:rPr>
                <w:sz w:val="20"/>
                <w:szCs w:val="20"/>
                <w:color w:val="auto"/>
              </w:rPr>
            </w:pPr>
            <w:r>
              <w:rPr>
                <w:rFonts w:ascii="Arial" w:cs="Arial" w:eastAsia="Arial" w:hAnsi="Arial"/>
                <w:sz w:val="22"/>
                <w:szCs w:val="22"/>
                <w:b w:val="1"/>
                <w:bCs w:val="1"/>
                <w:color w:val="auto"/>
              </w:rPr>
              <w:t>Company Policy</w:t>
            </w:r>
          </w:p>
        </w:tc>
        <w:tc>
          <w:tcPr>
            <w:tcW w:w="23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Policy Number</w:t>
            </w:r>
          </w:p>
        </w:tc>
        <w:tc>
          <w:tcPr>
            <w:tcW w:w="0" w:type="dxa"/>
            <w:vAlign w:val="bottom"/>
          </w:tcPr>
          <w:p>
            <w:pPr>
              <w:spacing w:after="0"/>
              <w:rPr>
                <w:sz w:val="1"/>
                <w:szCs w:val="1"/>
                <w:color w:val="auto"/>
              </w:rPr>
            </w:pPr>
          </w:p>
        </w:tc>
      </w:tr>
      <w:tr>
        <w:trPr>
          <w:trHeight w:val="142"/>
        </w:trPr>
        <w:tc>
          <w:tcPr>
            <w:tcW w:w="8480" w:type="dxa"/>
            <w:vAlign w:val="bottom"/>
            <w:tcBorders>
              <w:left w:val="single" w:sz="8" w:color="auto"/>
              <w:right w:val="single" w:sz="8" w:color="C0C0C0"/>
            </w:tcBorders>
            <w:vMerge w:val="continue"/>
          </w:tcPr>
          <w:p>
            <w:pPr>
              <w:spacing w:after="0"/>
              <w:rPr>
                <w:sz w:val="12"/>
                <w:szCs w:val="12"/>
                <w:color w:val="auto"/>
              </w:rPr>
            </w:pPr>
          </w:p>
        </w:tc>
        <w:tc>
          <w:tcPr>
            <w:tcW w:w="2380" w:type="dxa"/>
            <w:vAlign w:val="bottom"/>
            <w:tcBorders>
              <w:right w:val="single" w:sz="8" w:color="auto"/>
            </w:tcBorders>
            <w:vMerge w:val="restart"/>
          </w:tcPr>
          <w:p>
            <w:pPr>
              <w:ind w:left="920"/>
              <w:spacing w:after="0"/>
              <w:rPr>
                <w:sz w:val="20"/>
                <w:szCs w:val="20"/>
                <w:color w:val="auto"/>
              </w:rPr>
            </w:pPr>
            <w:r>
              <w:rPr>
                <w:rFonts w:ascii="Arial" w:cs="Arial" w:eastAsia="Arial" w:hAnsi="Arial"/>
                <w:sz w:val="18"/>
                <w:szCs w:val="18"/>
                <w:b w:val="1"/>
                <w:bCs w:val="1"/>
                <w:color w:val="auto"/>
              </w:rPr>
              <w:t>CP L4</w:t>
            </w:r>
          </w:p>
        </w:tc>
        <w:tc>
          <w:tcPr>
            <w:tcW w:w="0" w:type="dxa"/>
            <w:vAlign w:val="bottom"/>
          </w:tcPr>
          <w:p>
            <w:pPr>
              <w:spacing w:after="0"/>
              <w:rPr>
                <w:sz w:val="1"/>
                <w:szCs w:val="1"/>
                <w:color w:val="auto"/>
              </w:rPr>
            </w:pPr>
          </w:p>
        </w:tc>
      </w:tr>
      <w:tr>
        <w:trPr>
          <w:trHeight w:val="121"/>
        </w:trPr>
        <w:tc>
          <w:tcPr>
            <w:tcW w:w="8480" w:type="dxa"/>
            <w:vAlign w:val="bottom"/>
            <w:tcBorders>
              <w:left w:val="single" w:sz="8" w:color="auto"/>
              <w:right w:val="single" w:sz="8" w:color="C0C0C0"/>
            </w:tcBorders>
          </w:tcPr>
          <w:p>
            <w:pPr>
              <w:spacing w:after="0"/>
              <w:rPr>
                <w:sz w:val="10"/>
                <w:szCs w:val="10"/>
                <w:color w:val="auto"/>
              </w:rPr>
            </w:pPr>
          </w:p>
        </w:tc>
        <w:tc>
          <w:tcPr>
            <w:tcW w:w="2380" w:type="dxa"/>
            <w:vAlign w:val="bottom"/>
            <w:tcBorders>
              <w:bottom w:val="single" w:sz="8" w:color="C0C0C0"/>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8480" w:type="dxa"/>
            <w:vAlign w:val="bottom"/>
            <w:tcBorders>
              <w:left w:val="single" w:sz="8" w:color="auto"/>
              <w:right w:val="single" w:sz="8" w:color="C0C0C0"/>
            </w:tcBorders>
          </w:tcPr>
          <w:p>
            <w:pPr>
              <w:ind w:left="100"/>
              <w:spacing w:after="0"/>
              <w:rPr>
                <w:sz w:val="20"/>
                <w:szCs w:val="20"/>
                <w:color w:val="auto"/>
              </w:rPr>
            </w:pPr>
            <w:r>
              <w:rPr>
                <w:rFonts w:ascii="Arial" w:cs="Arial" w:eastAsia="Arial" w:hAnsi="Arial"/>
                <w:sz w:val="14"/>
                <w:szCs w:val="14"/>
                <w:color w:val="auto"/>
              </w:rPr>
              <w:t>Subject</w:t>
            </w:r>
          </w:p>
        </w:tc>
        <w:tc>
          <w:tcPr>
            <w:tcW w:w="23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Effective Date</w:t>
            </w:r>
          </w:p>
        </w:tc>
        <w:tc>
          <w:tcPr>
            <w:tcW w:w="0" w:type="dxa"/>
            <w:vAlign w:val="bottom"/>
          </w:tcPr>
          <w:p>
            <w:pPr>
              <w:spacing w:after="0"/>
              <w:rPr>
                <w:sz w:val="1"/>
                <w:szCs w:val="1"/>
                <w:color w:val="auto"/>
              </w:rPr>
            </w:pPr>
          </w:p>
        </w:tc>
      </w:tr>
      <w:tr>
        <w:trPr>
          <w:trHeight w:val="326"/>
        </w:trPr>
        <w:tc>
          <w:tcPr>
            <w:tcW w:w="8480" w:type="dxa"/>
            <w:vAlign w:val="bottom"/>
            <w:tcBorders>
              <w:left w:val="single" w:sz="8" w:color="auto"/>
              <w:right w:val="single" w:sz="8" w:color="C0C0C0"/>
            </w:tcBorders>
          </w:tcPr>
          <w:p>
            <w:pPr>
              <w:ind w:left="700"/>
              <w:spacing w:after="0"/>
              <w:rPr>
                <w:sz w:val="20"/>
                <w:szCs w:val="20"/>
                <w:color w:val="auto"/>
              </w:rPr>
            </w:pPr>
            <w:r>
              <w:rPr>
                <w:rFonts w:ascii="Arial" w:cs="Arial" w:eastAsia="Arial" w:hAnsi="Arial"/>
                <w:sz w:val="18"/>
                <w:szCs w:val="18"/>
                <w:b w:val="1"/>
                <w:bCs w:val="1"/>
                <w:color w:val="auto"/>
              </w:rPr>
              <w:t>Insider Trading Policy</w:t>
            </w:r>
          </w:p>
        </w:tc>
        <w:tc>
          <w:tcPr>
            <w:tcW w:w="2380" w:type="dxa"/>
            <w:vAlign w:val="bottom"/>
            <w:tcBorders>
              <w:bottom w:val="single" w:sz="8" w:color="C0C0C0"/>
              <w:right w:val="single" w:sz="8" w:color="auto"/>
            </w:tcBorders>
          </w:tcPr>
          <w:p>
            <w:pPr>
              <w:ind w:left="640"/>
              <w:spacing w:after="0"/>
              <w:rPr>
                <w:sz w:val="20"/>
                <w:szCs w:val="20"/>
                <w:color w:val="auto"/>
              </w:rPr>
            </w:pPr>
            <w:r>
              <w:rPr>
                <w:rFonts w:ascii="Arial" w:cs="Arial" w:eastAsia="Arial" w:hAnsi="Arial"/>
                <w:sz w:val="18"/>
                <w:szCs w:val="18"/>
                <w:b w:val="1"/>
                <w:bCs w:val="1"/>
                <w:color w:val="auto"/>
              </w:rPr>
              <w:t>4/2/2024</w:t>
            </w:r>
          </w:p>
        </w:tc>
        <w:tc>
          <w:tcPr>
            <w:tcW w:w="0" w:type="dxa"/>
            <w:vAlign w:val="bottom"/>
          </w:tcPr>
          <w:p>
            <w:pPr>
              <w:spacing w:after="0"/>
              <w:rPr>
                <w:sz w:val="1"/>
                <w:szCs w:val="1"/>
                <w:color w:val="auto"/>
              </w:rPr>
            </w:pPr>
          </w:p>
        </w:tc>
      </w:tr>
      <w:tr>
        <w:trPr>
          <w:trHeight w:val="248"/>
        </w:trPr>
        <w:tc>
          <w:tcPr>
            <w:tcW w:w="8480" w:type="dxa"/>
            <w:vAlign w:val="bottom"/>
            <w:tcBorders>
              <w:left w:val="single" w:sz="8" w:color="auto"/>
              <w:right w:val="single" w:sz="8" w:color="C0C0C0"/>
            </w:tcBorders>
          </w:tcPr>
          <w:p>
            <w:pPr>
              <w:spacing w:after="0"/>
              <w:rPr>
                <w:sz w:val="21"/>
                <w:szCs w:val="21"/>
                <w:color w:val="auto"/>
              </w:rPr>
            </w:pPr>
          </w:p>
        </w:tc>
        <w:tc>
          <w:tcPr>
            <w:tcW w:w="23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366"/>
        </w:trPr>
        <w:tc>
          <w:tcPr>
            <w:tcW w:w="8480" w:type="dxa"/>
            <w:vAlign w:val="bottom"/>
            <w:tcBorders>
              <w:left w:val="single" w:sz="8" w:color="auto"/>
              <w:bottom w:val="single" w:sz="8" w:color="auto"/>
              <w:right w:val="single" w:sz="8" w:color="C0C0C0"/>
            </w:tcBorders>
          </w:tcPr>
          <w:p>
            <w:pPr>
              <w:spacing w:after="0"/>
              <w:rPr>
                <w:sz w:val="24"/>
                <w:szCs w:val="24"/>
                <w:color w:val="auto"/>
              </w:rPr>
            </w:pPr>
          </w:p>
        </w:tc>
        <w:tc>
          <w:tcPr>
            <w:tcW w:w="238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1 of 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tabs>
          <w:tab w:leader="none" w:pos="1600" w:val="left"/>
        </w:tabs>
        <w:rPr>
          <w:sz w:val="20"/>
          <w:szCs w:val="20"/>
          <w:color w:val="auto"/>
        </w:rPr>
      </w:pPr>
      <w:r>
        <w:rPr>
          <w:rFonts w:ascii="Arial" w:cs="Arial" w:eastAsia="Arial" w:hAnsi="Arial"/>
          <w:sz w:val="18"/>
          <w:szCs w:val="18"/>
          <w:b w:val="1"/>
          <w:bCs w:val="1"/>
          <w:color w:val="auto"/>
        </w:rPr>
        <w:t>Process Owner</w:t>
      </w:r>
      <w:r>
        <w:rPr>
          <w:sz w:val="20"/>
          <w:szCs w:val="20"/>
          <w:color w:val="auto"/>
        </w:rPr>
        <w:tab/>
      </w:r>
      <w:r>
        <w:rPr>
          <w:rFonts w:ascii="Arial" w:cs="Arial" w:eastAsia="Arial" w:hAnsi="Arial"/>
          <w:sz w:val="17"/>
          <w:szCs w:val="17"/>
          <w:color w:val="auto"/>
        </w:rPr>
        <w:t>Corporate Vice President and General Counsel</w:t>
      </w:r>
    </w:p>
    <w:p>
      <w:pPr>
        <w:spacing w:after="0" w:line="347"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b w:val="1"/>
          <w:bCs w:val="1"/>
          <w:color w:val="auto"/>
        </w:rPr>
        <w:t>Supersedes</w:t>
      </w:r>
      <w:r>
        <w:rPr>
          <w:sz w:val="20"/>
          <w:szCs w:val="20"/>
          <w:color w:val="auto"/>
        </w:rPr>
        <w:tab/>
      </w:r>
      <w:r>
        <w:rPr>
          <w:rFonts w:ascii="Arial" w:cs="Arial" w:eastAsia="Arial" w:hAnsi="Arial"/>
          <w:sz w:val="18"/>
          <w:szCs w:val="18"/>
          <w:color w:val="auto"/>
        </w:rPr>
        <w:t>CP L4, Insider Trading Policy, dated 11/14/2023</w:t>
      </w:r>
    </w:p>
    <w:p>
      <w:pPr>
        <w:spacing w:after="0" w:line="200" w:lineRule="exact"/>
        <w:rPr>
          <w:sz w:val="20"/>
          <w:szCs w:val="20"/>
          <w:color w:val="auto"/>
        </w:rPr>
      </w:pP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It is the policy of Northrop Grumman Corporation that all officers, directors, and employees of Northrop</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w w:val="99"/>
              </w:rPr>
              <w:t>Grumman Corporation and its subsidiaries (collectively, “Covered Persons”) will act in full compliance with all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applicable securities laws and avoid even the appearance of improper trading. Under the United States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federal securities laws, it is unlawful for a person to improperly buy or sell a company’s securities on the</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basis of material, nonpublic information.</w:t>
            </w: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This policy is intended to prevent insider trading and help all Covered Persons to comply fully with all legal</w:t>
            </w:r>
          </w:p>
        </w:tc>
        <w:tc>
          <w:tcPr>
            <w:tcW w:w="0" w:type="dxa"/>
            <w:vAlign w:val="bottom"/>
          </w:tcPr>
          <w:p>
            <w:pPr>
              <w:spacing w:after="0"/>
              <w:rPr>
                <w:sz w:val="1"/>
                <w:szCs w:val="1"/>
                <w:color w:val="auto"/>
              </w:rPr>
            </w:pPr>
          </w:p>
        </w:tc>
      </w:tr>
      <w:tr>
        <w:trPr>
          <w:trHeight w:val="239"/>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Policy</w:t>
            </w:r>
          </w:p>
        </w:tc>
        <w:tc>
          <w:tcPr>
            <w:tcW w:w="9260" w:type="dxa"/>
            <w:vAlign w:val="bottom"/>
          </w:tcPr>
          <w:p>
            <w:pPr>
              <w:ind w:left="640"/>
              <w:spacing w:after="0"/>
              <w:rPr>
                <w:sz w:val="20"/>
                <w:szCs w:val="20"/>
                <w:color w:val="auto"/>
              </w:rPr>
            </w:pPr>
            <w:r>
              <w:rPr>
                <w:rFonts w:ascii="Arial" w:cs="Arial" w:eastAsia="Arial" w:hAnsi="Arial"/>
                <w:sz w:val="18"/>
                <w:szCs w:val="18"/>
                <w:color w:val="auto"/>
              </w:rPr>
              <w:t>requirements and their obligations to the company.</w:t>
            </w:r>
          </w:p>
        </w:tc>
        <w:tc>
          <w:tcPr>
            <w:tcW w:w="0" w:type="dxa"/>
            <w:vAlign w:val="bottom"/>
          </w:tcPr>
          <w:p>
            <w:pPr>
              <w:spacing w:after="0"/>
              <w:rPr>
                <w:sz w:val="1"/>
                <w:szCs w:val="1"/>
                <w:color w:val="auto"/>
              </w:rPr>
            </w:pPr>
          </w:p>
        </w:tc>
      </w:tr>
      <w:tr>
        <w:trPr>
          <w:trHeight w:val="102"/>
        </w:trPr>
        <w:tc>
          <w:tcPr>
            <w:tcW w:w="1160" w:type="dxa"/>
            <w:vAlign w:val="bottom"/>
            <w:vMerge w:val="continue"/>
          </w:tcPr>
          <w:p>
            <w:pPr>
              <w:spacing w:after="0"/>
              <w:rPr>
                <w:sz w:val="8"/>
                <w:szCs w:val="8"/>
                <w:color w:val="auto"/>
              </w:rPr>
            </w:pPr>
          </w:p>
        </w:tc>
        <w:tc>
          <w:tcPr>
            <w:tcW w:w="9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160" w:type="dxa"/>
            <w:vAlign w:val="bottom"/>
          </w:tcPr>
          <w:p>
            <w:pPr>
              <w:spacing w:after="0"/>
              <w:rPr>
                <w:sz w:val="24"/>
                <w:szCs w:val="24"/>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A Covered Person who fails to comply with this policy shall be subject to company disciplinary action, up to</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and including discharge, whether or not the failure to comply results in a violation of the law. Persons who</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violate the federal securities laws face severe penalties, including fines and imprisonment.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Implementation</w:t>
      </w:r>
    </w:p>
    <w:p>
      <w:pPr>
        <w:spacing w:after="0" w:line="108" w:lineRule="exact"/>
        <w:rPr>
          <w:sz w:val="20"/>
          <w:szCs w:val="20"/>
          <w:color w:val="auto"/>
        </w:rPr>
      </w:pPr>
    </w:p>
    <w:p>
      <w:pPr>
        <w:ind w:left="340" w:right="500"/>
        <w:spacing w:after="0" w:line="262" w:lineRule="auto"/>
        <w:rPr>
          <w:sz w:val="20"/>
          <w:szCs w:val="20"/>
          <w:color w:val="auto"/>
        </w:rPr>
      </w:pPr>
      <w:r>
        <w:rPr>
          <w:rFonts w:ascii="Arial" w:cs="Arial" w:eastAsia="Arial" w:hAnsi="Arial"/>
          <w:sz w:val="18"/>
          <w:szCs w:val="18"/>
          <w:color w:val="auto"/>
        </w:rPr>
        <w:t>Covered Persons may not improperly buy or sell Northrop Grumman Corporation stock or other Northrop Grumman Corporation securities (defined as “NGC stock” or “other NGC securities”) on the basis of material, nonpublic information. In broad terms, a purchase or sale of stock or other securities is “on the basis of” material, nonpublic information if the person making the purchase or sale was aware of the material, nonpublic information when the person made the purchase or sale.</w:t>
      </w:r>
    </w:p>
    <w:p>
      <w:pPr>
        <w:spacing w:after="0" w:line="68" w:lineRule="exact"/>
        <w:rPr>
          <w:sz w:val="20"/>
          <w:szCs w:val="20"/>
          <w:color w:val="auto"/>
        </w:rPr>
      </w:pPr>
    </w:p>
    <w:p>
      <w:pPr>
        <w:ind w:left="340" w:right="480"/>
        <w:spacing w:after="0" w:line="259" w:lineRule="auto"/>
        <w:rPr>
          <w:sz w:val="20"/>
          <w:szCs w:val="20"/>
          <w:color w:val="auto"/>
        </w:rPr>
      </w:pPr>
      <w:r>
        <w:rPr>
          <w:rFonts w:ascii="Arial" w:cs="Arial" w:eastAsia="Arial" w:hAnsi="Arial"/>
          <w:sz w:val="18"/>
          <w:szCs w:val="18"/>
          <w:color w:val="auto"/>
        </w:rPr>
        <w:t>It may not matter that the information is not “used” in deciding to make a trade; simply knowing, or being aware of, the information when trading can be sufficient to violate this policy. Covered Persons must also avoid disclosing this type of information to a third party (often referred to as “tipping”) where such third party may misuse that information, such as by purchasing or selling NGC stock or other NGC securities, or tipping that information to others (even though the disclosing person does not engage in any securities transaction or profit from the third party’s trade).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E3763"/>
        </w:rPr>
        <w:t>Prohibition Against Insider Trading and Tipping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While aware of company material, nonpublic information, Covered Persons may not:</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Engage in any purchase or sale of NGC securities (other than pursuant to an approved 10b5-1 Plan);</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Recommend that others buy or sell NGC securities; or</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Disclose such information to others who do not have a legitimate company-related need for the information.</w:t>
      </w:r>
    </w:p>
    <w:p>
      <w:pPr>
        <w:spacing w:after="0" w:line="396" w:lineRule="exact"/>
        <w:rPr>
          <w:sz w:val="20"/>
          <w:szCs w:val="20"/>
          <w:color w:val="auto"/>
        </w:rPr>
      </w:pPr>
    </w:p>
    <w:p>
      <w:pPr>
        <w:jc w:val="both"/>
        <w:ind w:left="340" w:right="400"/>
        <w:spacing w:after="0" w:line="268" w:lineRule="auto"/>
        <w:rPr>
          <w:sz w:val="20"/>
          <w:szCs w:val="20"/>
          <w:color w:val="auto"/>
        </w:rPr>
      </w:pPr>
      <w:r>
        <w:rPr>
          <w:rFonts w:ascii="Arial" w:cs="Arial" w:eastAsia="Arial" w:hAnsi="Arial"/>
          <w:sz w:val="18"/>
          <w:szCs w:val="18"/>
          <w:color w:val="auto"/>
        </w:rPr>
        <w:t>These prohibitions also apply to the securities of, and information regarding, a customer or supplier of the company or of any other company about which the Covered Person possesses material, nonpublic information as a result of his or her relationship with the company.</w:t>
      </w:r>
    </w:p>
    <w:p>
      <w:pPr>
        <w:sectPr>
          <w:pgSz w:w="11900" w:h="16838" w:orient="portrait"/>
          <w:cols w:equalWidth="0" w:num="1">
            <w:col w:w="11100"/>
          </w:cols>
          <w:pgMar w:left="460" w:top="114" w:right="339" w:bottom="1440" w:gutter="0" w:footer="0" w:header="0"/>
        </w:sectPr>
      </w:pPr>
    </w:p>
    <w:bookmarkStart w:id="128" w:name="page129"/>
    <w:bookmarkEnd w:id="128"/>
    <w:p>
      <w:pPr>
        <w:spacing w:after="0" w:line="99" w:lineRule="exact"/>
        <w:rPr>
          <w:sz w:val="20"/>
          <w:szCs w:val="20"/>
          <w:color w:val="auto"/>
        </w:rPr>
      </w:pPr>
    </w:p>
    <w:p>
      <w:pPr>
        <w:ind w:left="320" w:right="100"/>
        <w:spacing w:after="0" w:line="268" w:lineRule="auto"/>
        <w:rPr>
          <w:sz w:val="20"/>
          <w:szCs w:val="20"/>
          <w:color w:val="auto"/>
        </w:rPr>
      </w:pPr>
      <w:r>
        <w:rPr>
          <w:rFonts w:ascii="Arial" w:cs="Arial" w:eastAsia="Arial" w:hAnsi="Arial"/>
          <w:sz w:val="18"/>
          <w:szCs w:val="18"/>
          <w:color w:val="auto"/>
        </w:rPr>
        <w:t>Covered Persons should not trade in NGC stock or other NGC securities or securities of other companies about which the person possesses material, nonpublic information until such information becomes public or is no longer material. The prohibitions under this policy continue to apply to transactions after a Covered Person’s relationship with the company terminates.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E3763"/>
        </w:rPr>
        <w:t>Identifying Material, Nonpublic Information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Material, nonpublic information generally includes information that:</w:t>
      </w:r>
    </w:p>
    <w:p>
      <w:pPr>
        <w:spacing w:after="0" w:line="117" w:lineRule="exact"/>
        <w:rPr>
          <w:sz w:val="20"/>
          <w:szCs w:val="20"/>
          <w:color w:val="auto"/>
        </w:rPr>
      </w:pPr>
    </w:p>
    <w:p>
      <w:pPr>
        <w:ind w:left="960" w:right="280" w:hanging="321"/>
        <w:spacing w:after="0" w:line="287" w:lineRule="auto"/>
        <w:tabs>
          <w:tab w:leader="none" w:pos="99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reasonable investor would consider important in deciding whether to purchase, sell, or hold NGC stock or other NGC securities, as applicable, and</w:t>
      </w:r>
    </w:p>
    <w:p>
      <w:pPr>
        <w:spacing w:after="0" w:line="44" w:lineRule="exact"/>
        <w:rPr>
          <w:rFonts w:ascii="Arial" w:cs="Arial" w:eastAsia="Arial" w:hAnsi="Arial"/>
          <w:sz w:val="18"/>
          <w:szCs w:val="18"/>
          <w:color w:val="auto"/>
        </w:rPr>
      </w:pPr>
    </w:p>
    <w:p>
      <w:pPr>
        <w:ind w:left="960" w:right="80" w:hanging="321"/>
        <w:spacing w:after="0" w:line="259" w:lineRule="auto"/>
        <w:tabs>
          <w:tab w:leader="none" w:pos="996" w:val="left"/>
        </w:tabs>
        <w:numPr>
          <w:ilvl w:val="0"/>
          <w:numId w:val="94"/>
        </w:numPr>
        <w:rPr>
          <w:rFonts w:ascii="Arial" w:cs="Arial" w:eastAsia="Arial" w:hAnsi="Arial"/>
          <w:sz w:val="18"/>
          <w:szCs w:val="18"/>
          <w:color w:val="auto"/>
        </w:rPr>
      </w:pPr>
      <w:r>
        <w:rPr>
          <w:rFonts w:ascii="Arial" w:cs="Arial" w:eastAsia="Arial" w:hAnsi="Arial"/>
          <w:sz w:val="18"/>
          <w:szCs w:val="18"/>
          <w:color w:val="auto"/>
        </w:rPr>
        <w:t>has not been distributed in a manner making it available to investors generally. In other words, information that could reasonably affect the price of a security, either favorably or unfavorably, is generally material information. Information is nonpublic unless it is in general circulation (whether via a press release, disclosure in a document filed with the Securities and Exchange Commission (SEC), through a public webcast or otherwise) for a reasonable period of time to allow the market sufficient time to react to the information.</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Examples of material, nonpublic information can include, but are not limited to, the following:</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Earnings information, including projections and guidance;</w:t>
      </w:r>
    </w:p>
    <w:p>
      <w:pPr>
        <w:spacing w:after="0" w:line="27" w:lineRule="exact"/>
        <w:rPr>
          <w:sz w:val="20"/>
          <w:szCs w:val="20"/>
          <w:color w:val="auto"/>
        </w:rPr>
      </w:pPr>
    </w:p>
    <w:p>
      <w:pPr>
        <w:ind w:left="960" w:right="320" w:hanging="144"/>
        <w:spacing w:after="0" w:line="250" w:lineRule="auto"/>
        <w:rPr>
          <w:sz w:val="20"/>
          <w:szCs w:val="20"/>
          <w:color w:val="auto"/>
        </w:rPr>
      </w:pPr>
      <w:r>
        <w:rPr>
          <w:rFonts w:ascii="Arial" w:cs="Arial" w:eastAsia="Arial" w:hAnsi="Arial"/>
          <w:sz w:val="18"/>
          <w:szCs w:val="18"/>
          <w:color w:val="auto"/>
        </w:rPr>
        <w:t>Significant business or operation matters, including regarding the company’s customers, products, contracts, or strategic plans;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Pending or proposed merger, acquisition, disposition, tender offer, or similar activity;</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Changes in management, including members of the company’s Board Of Directors or senior executives;</w:t>
      </w:r>
    </w:p>
    <w:p>
      <w:pPr>
        <w:spacing w:after="0" w:line="63" w:lineRule="exact"/>
        <w:rPr>
          <w:sz w:val="20"/>
          <w:szCs w:val="20"/>
          <w:color w:val="auto"/>
        </w:rPr>
      </w:pPr>
    </w:p>
    <w:p>
      <w:pPr>
        <w:ind w:left="960" w:right="660" w:hanging="143"/>
        <w:spacing w:after="0" w:line="273" w:lineRule="auto"/>
        <w:rPr>
          <w:sz w:val="20"/>
          <w:szCs w:val="20"/>
          <w:color w:val="auto"/>
        </w:rPr>
      </w:pPr>
      <w:r>
        <w:rPr>
          <w:rFonts w:ascii="Arial" w:cs="Arial" w:eastAsia="Arial" w:hAnsi="Arial"/>
          <w:sz w:val="18"/>
          <w:szCs w:val="18"/>
          <w:color w:val="auto"/>
        </w:rPr>
        <w:t>Significant legal proceedings or regulatory matters, whether actual, pending or threatened, or the resolution of those proceedings or matters;</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significant compliance, cyber security, or other adverse event; and</w:t>
      </w:r>
    </w:p>
    <w:p>
      <w:pPr>
        <w:spacing w:after="0" w:line="117" w:lineRule="exact"/>
        <w:rPr>
          <w:sz w:val="20"/>
          <w:szCs w:val="20"/>
          <w:color w:val="auto"/>
        </w:rPr>
      </w:pPr>
    </w:p>
    <w:p>
      <w:pPr>
        <w:ind w:left="960" w:right="360" w:hanging="144"/>
        <w:spacing w:after="0" w:line="287" w:lineRule="auto"/>
        <w:rPr>
          <w:sz w:val="20"/>
          <w:szCs w:val="20"/>
          <w:color w:val="auto"/>
        </w:rPr>
      </w:pPr>
      <w:r>
        <w:rPr>
          <w:rFonts w:ascii="Arial" w:cs="Arial" w:eastAsia="Arial" w:hAnsi="Arial"/>
          <w:sz w:val="18"/>
          <w:szCs w:val="18"/>
          <w:color w:val="auto"/>
        </w:rPr>
        <w:t>Information about significant misstatements or omissions in the company’s disclosure documents, whether intentional or inadvertent.</w:t>
      </w:r>
    </w:p>
    <w:p>
      <w:pPr>
        <w:spacing w:after="0" w:line="45" w:lineRule="exact"/>
        <w:rPr>
          <w:sz w:val="20"/>
          <w:szCs w:val="20"/>
          <w:color w:val="auto"/>
        </w:rPr>
      </w:pPr>
    </w:p>
    <w:p>
      <w:pPr>
        <w:ind w:left="320" w:right="340"/>
        <w:spacing w:after="0" w:line="262" w:lineRule="auto"/>
        <w:rPr>
          <w:sz w:val="20"/>
          <w:szCs w:val="20"/>
          <w:color w:val="auto"/>
        </w:rPr>
      </w:pPr>
      <w:r>
        <w:rPr>
          <w:rFonts w:ascii="Arial" w:cs="Arial" w:eastAsia="Arial" w:hAnsi="Arial"/>
          <w:sz w:val="18"/>
          <w:szCs w:val="18"/>
          <w:color w:val="auto"/>
        </w:rPr>
        <w:t>Material, nonpublic information may be either positive or negative, and it may consist of information about the company, a customer, a supplier, or another company that is confidential and obtained in the course of an individual’s employment with the company. The above list is intended to be for illustrative purposes only and is by no means an exhaustive list of “material, nonpublic” information for purposes of this policy.</w:t>
      </w:r>
    </w:p>
    <w:p>
      <w:pPr>
        <w:spacing w:after="0" w:line="68" w:lineRule="exact"/>
        <w:rPr>
          <w:sz w:val="20"/>
          <w:szCs w:val="20"/>
          <w:color w:val="auto"/>
        </w:rPr>
      </w:pPr>
    </w:p>
    <w:p>
      <w:pPr>
        <w:ind w:left="320" w:right="20"/>
        <w:spacing w:after="0" w:line="259" w:lineRule="auto"/>
        <w:rPr>
          <w:sz w:val="20"/>
          <w:szCs w:val="20"/>
          <w:color w:val="auto"/>
        </w:rPr>
      </w:pPr>
      <w:r>
        <w:rPr>
          <w:rFonts w:ascii="Arial" w:cs="Arial" w:eastAsia="Arial" w:hAnsi="Arial"/>
          <w:sz w:val="18"/>
          <w:szCs w:val="18"/>
          <w:color w:val="auto"/>
        </w:rPr>
        <w:t>The “materiality” of information is often viewed with “20-20 hindsight,” meaning the SEC, courts, and others are often influenced by subsequent events or developments when determining whether information was material at the time of a trade. Before engaging in any securities transaction, individuals should consider carefully how the SEC, courts, and others might view such transaction in hindsight when a possible positive or negative development has actually materialized. When in doubt, Covered Persons should seek guidance from the Corporate Vice President and Secretary.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1E3763"/>
        </w:rPr>
        <w:t>Transactions by Family Members and Controlled Entities</w:t>
      </w:r>
    </w:p>
    <w:p>
      <w:pPr>
        <w:spacing w:after="0" w:line="117" w:lineRule="exact"/>
        <w:rPr>
          <w:sz w:val="20"/>
          <w:szCs w:val="20"/>
          <w:color w:val="auto"/>
        </w:rPr>
      </w:pPr>
    </w:p>
    <w:p>
      <w:pPr>
        <w:ind w:left="320"/>
        <w:spacing w:after="0" w:line="257" w:lineRule="auto"/>
        <w:rPr>
          <w:sz w:val="20"/>
          <w:szCs w:val="20"/>
          <w:color w:val="auto"/>
        </w:rPr>
      </w:pPr>
      <w:r>
        <w:rPr>
          <w:rFonts w:ascii="Arial" w:cs="Arial" w:eastAsia="Arial" w:hAnsi="Arial"/>
          <w:sz w:val="18"/>
          <w:szCs w:val="18"/>
          <w:color w:val="auto"/>
        </w:rPr>
        <w:t>The restrictions set forth in this policy, including those regulating trading while aware of material, nonpublic information, apply to a Covered Person’s immediate family members living in the Covered Person’s household and others living in the Covered Person’s household. Covered Persons should not discuss or disclose nonpublic information about or relating to the company with any family members. These restrictions also apply to any entity over which the Covered Person or such family members and other household members exercise or share investment control, such as a partnership or trust. Covered Persons are personally responsible for ensuring that family members as well as others living in their household comply with this policy.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1E3763"/>
        </w:rPr>
        <w:t>Duty to Report Violations</w:t>
      </w:r>
    </w:p>
    <w:p>
      <w:pPr>
        <w:spacing w:after="0" w:line="117" w:lineRule="exact"/>
        <w:rPr>
          <w:sz w:val="20"/>
          <w:szCs w:val="20"/>
          <w:color w:val="auto"/>
        </w:rPr>
      </w:pPr>
    </w:p>
    <w:p>
      <w:pPr>
        <w:ind w:left="320" w:right="380"/>
        <w:spacing w:after="0" w:line="268" w:lineRule="auto"/>
        <w:rPr>
          <w:sz w:val="20"/>
          <w:szCs w:val="20"/>
          <w:color w:val="auto"/>
        </w:rPr>
      </w:pPr>
      <w:r>
        <w:rPr>
          <w:rFonts w:ascii="Arial" w:cs="Arial" w:eastAsia="Arial" w:hAnsi="Arial"/>
          <w:sz w:val="18"/>
          <w:szCs w:val="18"/>
          <w:color w:val="auto"/>
        </w:rPr>
        <w:t>Any Covered Person that becomes aware of what they believe may be an unauthorized disclosure of material, nonpublic information, or securities transaction potentially in violation of this policy, should report the unauthorized disclosure or violation immediately to the Corporate Vice President and Secretary.</w:t>
      </w:r>
    </w:p>
    <w:p>
      <w:pPr>
        <w:sectPr>
          <w:pgSz w:w="11900" w:h="16838" w:orient="portrait"/>
          <w:cols w:equalWidth="0" w:num="1">
            <w:col w:w="10700"/>
          </w:cols>
          <w:pgMar w:left="480" w:top="1440" w:right="71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Authorization</w:t>
      </w:r>
    </w:p>
    <w:p>
      <w:pPr>
        <w:spacing w:after="0" w:line="108" w:lineRule="exact"/>
        <w:rPr>
          <w:sz w:val="20"/>
          <w:szCs w:val="20"/>
          <w:color w:val="auto"/>
        </w:rPr>
      </w:pPr>
    </w:p>
    <w:p>
      <w:pPr>
        <w:ind w:left="320"/>
        <w:spacing w:after="0" w:line="287" w:lineRule="auto"/>
        <w:rPr>
          <w:sz w:val="20"/>
          <w:szCs w:val="20"/>
          <w:color w:val="auto"/>
        </w:rPr>
      </w:pPr>
      <w:r>
        <w:rPr>
          <w:rFonts w:ascii="Arial" w:cs="Arial" w:eastAsia="Arial" w:hAnsi="Arial"/>
          <w:sz w:val="18"/>
          <w:szCs w:val="18"/>
          <w:color w:val="auto"/>
        </w:rPr>
        <w:t>This policy was authorized by the Process Owner as of the Effective Date. It is applicable to Northrop Grumman Corporation and its wholly owned subsidiaries; to all employees, officers, and directors of any of them; and to others as appropriate.</w:t>
      </w:r>
    </w:p>
    <w:p>
      <w:pPr>
        <w:spacing w:after="0" w:line="45" w:lineRule="exact"/>
        <w:rPr>
          <w:sz w:val="20"/>
          <w:szCs w:val="20"/>
          <w:color w:val="auto"/>
        </w:rPr>
      </w:pPr>
    </w:p>
    <w:p>
      <w:pPr>
        <w:ind w:left="320" w:right="400"/>
        <w:spacing w:after="0" w:line="268" w:lineRule="auto"/>
        <w:rPr>
          <w:sz w:val="20"/>
          <w:szCs w:val="20"/>
          <w:color w:val="auto"/>
        </w:rPr>
      </w:pPr>
      <w:r>
        <w:rPr>
          <w:rFonts w:ascii="Arial" w:cs="Arial" w:eastAsia="Arial" w:hAnsi="Arial"/>
          <w:sz w:val="18"/>
          <w:szCs w:val="18"/>
          <w:color w:val="auto"/>
        </w:rPr>
        <w:t>This policy shall be periodically reviewed (typically at least every three (3) years) to maintain currency and applicability to the company’s business and to respond to changes in legal, regulatory, or other requirements. Any deviations or exceptions to this policy must be approved in writing by the Process Owner.</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Violations of this policy may result in disciplinary action up to and including discharge.</w:t>
      </w:r>
    </w:p>
    <w:p>
      <w:pPr>
        <w:sectPr>
          <w:pgSz w:w="11900" w:h="16838" w:orient="portrait"/>
          <w:cols w:equalWidth="0" w:num="1">
            <w:col w:w="10760"/>
          </w:cols>
          <w:pgMar w:left="480" w:top="1440" w:right="659" w:bottom="1440" w:gutter="0" w:footer="0" w:header="0"/>
        </w:sectPr>
      </w:pPr>
    </w:p>
    <w:bookmarkStart w:id="130" w:name="page131"/>
    <w:bookmarkEnd w:id="130"/>
    <w:tbl>
      <w:tblPr>
        <w:tblLayout w:type="fixed"/>
        <w:tblInd w:w="10" w:type="dxa"/>
        <w:tblCellMar>
          <w:top w:w="0" w:type="dxa"/>
          <w:left w:w="0" w:type="dxa"/>
          <w:bottom w:w="0" w:type="dxa"/>
          <w:right w:w="0" w:type="dxa"/>
        </w:tblCellMar>
      </w:tblPr>
      <w:tr>
        <w:trPr>
          <w:trHeight w:val="276"/>
        </w:trPr>
        <w:tc>
          <w:tcPr>
            <w:tcW w:w="8480" w:type="dxa"/>
            <w:vAlign w:val="bottom"/>
            <w:tcBorders>
              <w:top w:val="single" w:sz="8" w:color="auto"/>
              <w:left w:val="single" w:sz="8" w:color="auto"/>
              <w:right w:val="single" w:sz="8" w:color="C0C0C0"/>
            </w:tcBorders>
            <w:vMerge w:val="restart"/>
          </w:tcPr>
          <w:p>
            <w:pPr>
              <w:ind w:left="140"/>
              <w:spacing w:after="0"/>
              <w:rPr>
                <w:sz w:val="20"/>
                <w:szCs w:val="20"/>
                <w:color w:val="auto"/>
              </w:rPr>
            </w:pPr>
            <w:r>
              <w:rPr>
                <w:rFonts w:ascii="Arial" w:cs="Arial" w:eastAsia="Arial" w:hAnsi="Arial"/>
                <w:sz w:val="22"/>
                <w:szCs w:val="22"/>
                <w:b w:val="1"/>
                <w:bCs w:val="1"/>
                <w:color w:val="auto"/>
              </w:rPr>
              <w:t>Company Procedure</w:t>
            </w:r>
          </w:p>
        </w:tc>
        <w:tc>
          <w:tcPr>
            <w:tcW w:w="23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Procedure Number</w:t>
            </w:r>
          </w:p>
        </w:tc>
        <w:tc>
          <w:tcPr>
            <w:tcW w:w="0" w:type="dxa"/>
            <w:vAlign w:val="bottom"/>
          </w:tcPr>
          <w:p>
            <w:pPr>
              <w:spacing w:after="0"/>
              <w:rPr>
                <w:sz w:val="1"/>
                <w:szCs w:val="1"/>
                <w:color w:val="auto"/>
              </w:rPr>
            </w:pPr>
          </w:p>
        </w:tc>
      </w:tr>
      <w:tr>
        <w:trPr>
          <w:trHeight w:val="142"/>
        </w:trPr>
        <w:tc>
          <w:tcPr>
            <w:tcW w:w="8480" w:type="dxa"/>
            <w:vAlign w:val="bottom"/>
            <w:tcBorders>
              <w:left w:val="single" w:sz="8" w:color="auto"/>
              <w:right w:val="single" w:sz="8" w:color="C0C0C0"/>
            </w:tcBorders>
            <w:vMerge w:val="continue"/>
          </w:tcPr>
          <w:p>
            <w:pPr>
              <w:spacing w:after="0"/>
              <w:rPr>
                <w:sz w:val="12"/>
                <w:szCs w:val="12"/>
                <w:color w:val="auto"/>
              </w:rPr>
            </w:pPr>
          </w:p>
        </w:tc>
        <w:tc>
          <w:tcPr>
            <w:tcW w:w="2380" w:type="dxa"/>
            <w:vAlign w:val="bottom"/>
            <w:tcBorders>
              <w:right w:val="single" w:sz="8" w:color="auto"/>
            </w:tcBorders>
            <w:vMerge w:val="restart"/>
          </w:tcPr>
          <w:p>
            <w:pPr>
              <w:ind w:left="620"/>
              <w:spacing w:after="0"/>
              <w:rPr>
                <w:sz w:val="20"/>
                <w:szCs w:val="20"/>
                <w:color w:val="auto"/>
              </w:rPr>
            </w:pPr>
            <w:r>
              <w:rPr>
                <w:rFonts w:ascii="Arial" w:cs="Arial" w:eastAsia="Arial" w:hAnsi="Arial"/>
                <w:sz w:val="18"/>
                <w:szCs w:val="18"/>
                <w:b w:val="1"/>
                <w:bCs w:val="1"/>
                <w:color w:val="auto"/>
              </w:rPr>
              <w:t>CO L400</w:t>
            </w:r>
          </w:p>
        </w:tc>
        <w:tc>
          <w:tcPr>
            <w:tcW w:w="0" w:type="dxa"/>
            <w:vAlign w:val="bottom"/>
          </w:tcPr>
          <w:p>
            <w:pPr>
              <w:spacing w:after="0"/>
              <w:rPr>
                <w:sz w:val="1"/>
                <w:szCs w:val="1"/>
                <w:color w:val="auto"/>
              </w:rPr>
            </w:pPr>
          </w:p>
        </w:tc>
      </w:tr>
      <w:tr>
        <w:trPr>
          <w:trHeight w:val="121"/>
        </w:trPr>
        <w:tc>
          <w:tcPr>
            <w:tcW w:w="8480" w:type="dxa"/>
            <w:vAlign w:val="bottom"/>
            <w:tcBorders>
              <w:left w:val="single" w:sz="8" w:color="auto"/>
              <w:right w:val="single" w:sz="8" w:color="C0C0C0"/>
            </w:tcBorders>
          </w:tcPr>
          <w:p>
            <w:pPr>
              <w:spacing w:after="0"/>
              <w:rPr>
                <w:sz w:val="10"/>
                <w:szCs w:val="10"/>
                <w:color w:val="auto"/>
              </w:rPr>
            </w:pPr>
          </w:p>
        </w:tc>
        <w:tc>
          <w:tcPr>
            <w:tcW w:w="2380" w:type="dxa"/>
            <w:vAlign w:val="bottom"/>
            <w:tcBorders>
              <w:bottom w:val="single" w:sz="8" w:color="C0C0C0"/>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8480" w:type="dxa"/>
            <w:vAlign w:val="bottom"/>
            <w:tcBorders>
              <w:left w:val="single" w:sz="8" w:color="auto"/>
              <w:right w:val="single" w:sz="8" w:color="C0C0C0"/>
            </w:tcBorders>
          </w:tcPr>
          <w:p>
            <w:pPr>
              <w:ind w:left="100"/>
              <w:spacing w:after="0"/>
              <w:rPr>
                <w:sz w:val="20"/>
                <w:szCs w:val="20"/>
                <w:color w:val="auto"/>
              </w:rPr>
            </w:pPr>
            <w:r>
              <w:rPr>
                <w:rFonts w:ascii="Arial" w:cs="Arial" w:eastAsia="Arial" w:hAnsi="Arial"/>
                <w:sz w:val="14"/>
                <w:szCs w:val="14"/>
                <w:color w:val="auto"/>
              </w:rPr>
              <w:t>Subject</w:t>
            </w:r>
          </w:p>
        </w:tc>
        <w:tc>
          <w:tcPr>
            <w:tcW w:w="23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Effective Date</w:t>
            </w:r>
          </w:p>
        </w:tc>
        <w:tc>
          <w:tcPr>
            <w:tcW w:w="0" w:type="dxa"/>
            <w:vAlign w:val="bottom"/>
          </w:tcPr>
          <w:p>
            <w:pPr>
              <w:spacing w:after="0"/>
              <w:rPr>
                <w:sz w:val="1"/>
                <w:szCs w:val="1"/>
                <w:color w:val="auto"/>
              </w:rPr>
            </w:pPr>
          </w:p>
        </w:tc>
      </w:tr>
      <w:tr>
        <w:trPr>
          <w:trHeight w:val="312"/>
        </w:trPr>
        <w:tc>
          <w:tcPr>
            <w:tcW w:w="8480" w:type="dxa"/>
            <w:vAlign w:val="bottom"/>
            <w:tcBorders>
              <w:left w:val="single" w:sz="8" w:color="auto"/>
              <w:right w:val="single" w:sz="8" w:color="C0C0C0"/>
            </w:tcBorders>
          </w:tcPr>
          <w:p>
            <w:pPr>
              <w:ind w:left="700"/>
              <w:spacing w:after="0"/>
              <w:rPr>
                <w:sz w:val="20"/>
                <w:szCs w:val="20"/>
                <w:color w:val="auto"/>
              </w:rPr>
            </w:pPr>
            <w:r>
              <w:rPr>
                <w:rFonts w:ascii="Arial" w:cs="Arial" w:eastAsia="Arial" w:hAnsi="Arial"/>
                <w:sz w:val="18"/>
                <w:szCs w:val="18"/>
                <w:b w:val="1"/>
                <w:bCs w:val="1"/>
                <w:color w:val="auto"/>
              </w:rPr>
              <w:t>Securities Trading for Designated Persons</w:t>
            </w:r>
          </w:p>
        </w:tc>
        <w:tc>
          <w:tcPr>
            <w:tcW w:w="2380" w:type="dxa"/>
            <w:vAlign w:val="bottom"/>
            <w:tcBorders>
              <w:bottom w:val="single" w:sz="8" w:color="C0C0C0"/>
              <w:right w:val="single" w:sz="8" w:color="auto"/>
            </w:tcBorders>
          </w:tcPr>
          <w:p>
            <w:pPr>
              <w:ind w:left="640"/>
              <w:spacing w:after="0"/>
              <w:rPr>
                <w:sz w:val="20"/>
                <w:szCs w:val="20"/>
                <w:color w:val="auto"/>
              </w:rPr>
            </w:pPr>
            <w:r>
              <w:rPr>
                <w:rFonts w:ascii="Arial" w:cs="Arial" w:eastAsia="Arial" w:hAnsi="Arial"/>
                <w:sz w:val="18"/>
                <w:szCs w:val="18"/>
                <w:b w:val="1"/>
                <w:bCs w:val="1"/>
                <w:color w:val="auto"/>
              </w:rPr>
              <w:t>4/2/2024</w:t>
            </w:r>
          </w:p>
        </w:tc>
        <w:tc>
          <w:tcPr>
            <w:tcW w:w="0" w:type="dxa"/>
            <w:vAlign w:val="bottom"/>
          </w:tcPr>
          <w:p>
            <w:pPr>
              <w:spacing w:after="0"/>
              <w:rPr>
                <w:sz w:val="1"/>
                <w:szCs w:val="1"/>
                <w:color w:val="auto"/>
              </w:rPr>
            </w:pPr>
          </w:p>
        </w:tc>
      </w:tr>
      <w:tr>
        <w:trPr>
          <w:trHeight w:val="262"/>
        </w:trPr>
        <w:tc>
          <w:tcPr>
            <w:tcW w:w="8480" w:type="dxa"/>
            <w:vAlign w:val="bottom"/>
            <w:tcBorders>
              <w:left w:val="single" w:sz="8" w:color="auto"/>
              <w:right w:val="single" w:sz="8" w:color="C0C0C0"/>
            </w:tcBorders>
          </w:tcPr>
          <w:p>
            <w:pPr>
              <w:spacing w:after="0"/>
              <w:rPr>
                <w:sz w:val="22"/>
                <w:szCs w:val="22"/>
                <w:color w:val="auto"/>
              </w:rPr>
            </w:pPr>
          </w:p>
        </w:tc>
        <w:tc>
          <w:tcPr>
            <w:tcW w:w="23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353"/>
        </w:trPr>
        <w:tc>
          <w:tcPr>
            <w:tcW w:w="8480" w:type="dxa"/>
            <w:vAlign w:val="bottom"/>
            <w:tcBorders>
              <w:left w:val="single" w:sz="8" w:color="auto"/>
              <w:bottom w:val="single" w:sz="8" w:color="auto"/>
              <w:right w:val="single" w:sz="8" w:color="C0C0C0"/>
            </w:tcBorders>
          </w:tcPr>
          <w:p>
            <w:pPr>
              <w:spacing w:after="0"/>
              <w:rPr>
                <w:sz w:val="24"/>
                <w:szCs w:val="24"/>
                <w:color w:val="auto"/>
              </w:rPr>
            </w:pPr>
          </w:p>
        </w:tc>
        <w:tc>
          <w:tcPr>
            <w:tcW w:w="238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1 of 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tabs>
          <w:tab w:leader="none" w:pos="1600" w:val="left"/>
        </w:tabs>
        <w:rPr>
          <w:sz w:val="20"/>
          <w:szCs w:val="20"/>
          <w:color w:val="auto"/>
        </w:rPr>
      </w:pPr>
      <w:r>
        <w:rPr>
          <w:rFonts w:ascii="Arial" w:cs="Arial" w:eastAsia="Arial" w:hAnsi="Arial"/>
          <w:sz w:val="18"/>
          <w:szCs w:val="18"/>
          <w:b w:val="1"/>
          <w:bCs w:val="1"/>
          <w:color w:val="auto"/>
        </w:rPr>
        <w:t>Process Owner</w:t>
      </w:r>
      <w:r>
        <w:rPr>
          <w:sz w:val="20"/>
          <w:szCs w:val="20"/>
          <w:color w:val="auto"/>
        </w:rPr>
        <w:tab/>
      </w:r>
      <w:r>
        <w:rPr>
          <w:rFonts w:ascii="Arial" w:cs="Arial" w:eastAsia="Arial" w:hAnsi="Arial"/>
          <w:sz w:val="17"/>
          <w:szCs w:val="17"/>
          <w:color w:val="auto"/>
        </w:rPr>
        <w:t>Corporate Vice President and Secretary</w:t>
      </w:r>
    </w:p>
    <w:p>
      <w:pPr>
        <w:spacing w:after="0" w:line="347"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b w:val="1"/>
          <w:bCs w:val="1"/>
          <w:color w:val="auto"/>
        </w:rPr>
        <w:t>Supersedes</w:t>
      </w:r>
      <w:r>
        <w:rPr>
          <w:sz w:val="20"/>
          <w:szCs w:val="20"/>
          <w:color w:val="auto"/>
        </w:rPr>
        <w:tab/>
      </w:r>
      <w:r>
        <w:rPr>
          <w:rFonts w:ascii="Arial" w:cs="Arial" w:eastAsia="Arial" w:hAnsi="Arial"/>
          <w:sz w:val="18"/>
          <w:szCs w:val="18"/>
          <w:color w:val="auto"/>
        </w:rPr>
        <w:t>CO L400, Securities Trading for Designated Persons, dated 2/3/2023</w:t>
      </w:r>
    </w:p>
    <w:p>
      <w:pPr>
        <w:spacing w:after="0" w:line="200" w:lineRule="exact"/>
        <w:rPr>
          <w:sz w:val="20"/>
          <w:szCs w:val="20"/>
          <w:color w:val="auto"/>
        </w:rPr>
      </w:pP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9120" w:type="dxa"/>
            <w:vAlign w:val="bottom"/>
          </w:tcPr>
          <w:p>
            <w:pPr>
              <w:ind w:left="380"/>
              <w:spacing w:after="0"/>
              <w:rPr>
                <w:sz w:val="20"/>
                <w:szCs w:val="20"/>
                <w:color w:val="auto"/>
              </w:rPr>
            </w:pPr>
            <w:r>
              <w:rPr>
                <w:rFonts w:ascii="Arial" w:cs="Arial" w:eastAsia="Arial" w:hAnsi="Arial"/>
                <w:sz w:val="18"/>
                <w:szCs w:val="18"/>
                <w:color w:val="auto"/>
                <w:w w:val="99"/>
              </w:rPr>
              <w:t>This company procedure sets forth the process and procedures by which officers of the company, members of</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120" w:type="dxa"/>
            <w:vAlign w:val="bottom"/>
          </w:tcPr>
          <w:p>
            <w:pPr>
              <w:ind w:left="380"/>
              <w:spacing w:after="0"/>
              <w:rPr>
                <w:sz w:val="20"/>
                <w:szCs w:val="20"/>
                <w:color w:val="auto"/>
              </w:rPr>
            </w:pPr>
            <w:r>
              <w:rPr>
                <w:rFonts w:ascii="Arial" w:cs="Arial" w:eastAsia="Arial" w:hAnsi="Arial"/>
                <w:sz w:val="18"/>
                <w:szCs w:val="18"/>
                <w:color w:val="auto"/>
              </w:rPr>
              <w:t>the Board of Directors, and certain other designated employees (collectively, “Designated Persons”) may</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120" w:type="dxa"/>
            <w:vAlign w:val="bottom"/>
          </w:tcPr>
          <w:p>
            <w:pPr>
              <w:ind w:left="380"/>
              <w:spacing w:after="0"/>
              <w:rPr>
                <w:sz w:val="20"/>
                <w:szCs w:val="20"/>
                <w:color w:val="auto"/>
              </w:rPr>
            </w:pPr>
            <w:r>
              <w:rPr>
                <w:rFonts w:ascii="Arial" w:cs="Arial" w:eastAsia="Arial" w:hAnsi="Arial"/>
                <w:sz w:val="18"/>
                <w:szCs w:val="18"/>
                <w:color w:val="auto"/>
              </w:rPr>
              <w:t>trade in Northrop Grumman Corporation stock or other Northrop Grumman Corporation securities (defined</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Purpose/</w:t>
            </w:r>
          </w:p>
        </w:tc>
        <w:tc>
          <w:tcPr>
            <w:tcW w:w="9120" w:type="dxa"/>
            <w:vAlign w:val="bottom"/>
          </w:tcPr>
          <w:p>
            <w:pPr>
              <w:ind w:left="380"/>
              <w:spacing w:after="0"/>
              <w:rPr>
                <w:sz w:val="20"/>
                <w:szCs w:val="20"/>
                <w:color w:val="auto"/>
              </w:rPr>
            </w:pPr>
            <w:r>
              <w:rPr>
                <w:rFonts w:ascii="Arial" w:cs="Arial" w:eastAsia="Arial" w:hAnsi="Arial"/>
                <w:sz w:val="18"/>
                <w:szCs w:val="18"/>
                <w:color w:val="auto"/>
              </w:rPr>
              <w:t>herein as “NGC stock” or “other NGC securities”). This Procedure is intended to help ensure that the</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9120" w:type="dxa"/>
            <w:vAlign w:val="bottom"/>
          </w:tcPr>
          <w:p>
            <w:pPr>
              <w:ind w:left="380"/>
              <w:spacing w:after="0"/>
              <w:rPr>
                <w:sz w:val="20"/>
                <w:szCs w:val="20"/>
                <w:color w:val="auto"/>
              </w:rPr>
            </w:pPr>
            <w:r>
              <w:rPr>
                <w:rFonts w:ascii="Arial" w:cs="Arial" w:eastAsia="Arial" w:hAnsi="Arial"/>
                <w:sz w:val="18"/>
                <w:szCs w:val="18"/>
                <w:color w:val="auto"/>
              </w:rPr>
              <w:t>company and its officers, directors and employees do not violate the United States federal securities laws,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b w:val="1"/>
                <w:bCs w:val="1"/>
                <w:color w:val="auto"/>
              </w:rPr>
              <w:t>Introduction</w:t>
            </w:r>
          </w:p>
        </w:tc>
        <w:tc>
          <w:tcPr>
            <w:tcW w:w="9120" w:type="dxa"/>
            <w:vAlign w:val="bottom"/>
          </w:tcPr>
          <w:p>
            <w:pPr>
              <w:ind w:left="380"/>
              <w:spacing w:after="0"/>
              <w:rPr>
                <w:sz w:val="20"/>
                <w:szCs w:val="20"/>
                <w:color w:val="auto"/>
              </w:rPr>
            </w:pPr>
            <w:r>
              <w:rPr>
                <w:rFonts w:ascii="Arial" w:cs="Arial" w:eastAsia="Arial" w:hAnsi="Arial"/>
                <w:sz w:val="18"/>
                <w:szCs w:val="18"/>
                <w:color w:val="auto"/>
              </w:rPr>
              <w:t>which make it unlawful for a person improperly to buy or sell a company’s securities on the basis of material,</w:t>
            </w: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9120" w:type="dxa"/>
            <w:vAlign w:val="bottom"/>
          </w:tcPr>
          <w:p>
            <w:pPr>
              <w:ind w:left="380"/>
              <w:spacing w:after="0"/>
              <w:rPr>
                <w:sz w:val="20"/>
                <w:szCs w:val="20"/>
                <w:color w:val="auto"/>
              </w:rPr>
            </w:pPr>
            <w:r>
              <w:rPr>
                <w:rFonts w:ascii="Arial" w:cs="Arial" w:eastAsia="Arial" w:hAnsi="Arial"/>
                <w:sz w:val="18"/>
                <w:szCs w:val="18"/>
                <w:color w:val="auto"/>
              </w:rPr>
              <w:t>nonpublic information.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Requirements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E3763"/>
        </w:rPr>
        <w:t>General Rules</w:t>
      </w:r>
    </w:p>
    <w:p>
      <w:pPr>
        <w:spacing w:after="0" w:line="117" w:lineRule="exact"/>
        <w:rPr>
          <w:sz w:val="20"/>
          <w:szCs w:val="20"/>
          <w:color w:val="auto"/>
        </w:rPr>
      </w:pPr>
    </w:p>
    <w:p>
      <w:pPr>
        <w:ind w:left="340" w:right="200"/>
        <w:spacing w:after="0" w:line="262" w:lineRule="auto"/>
        <w:rPr>
          <w:sz w:val="20"/>
          <w:szCs w:val="20"/>
          <w:color w:val="auto"/>
        </w:rPr>
      </w:pPr>
      <w:r>
        <w:rPr>
          <w:rFonts w:ascii="Arial" w:cs="Arial" w:eastAsia="Arial" w:hAnsi="Arial"/>
          <w:sz w:val="18"/>
          <w:szCs w:val="18"/>
          <w:color w:val="auto"/>
        </w:rPr>
        <w:t>Designated Persons are required to follow additional trading and pre-clearance procedures in order to trade in NGC stock or other NGC securities. The requirements set forth in this procedure applicable to Designated Persons also apply to any immediate family members and other persons living in the household of a Designated Person and all entities over which such persons exercise or share investment control.</w:t>
      </w:r>
    </w:p>
    <w:p>
      <w:pPr>
        <w:spacing w:after="0" w:line="68" w:lineRule="exact"/>
        <w:rPr>
          <w:sz w:val="20"/>
          <w:szCs w:val="20"/>
          <w:color w:val="auto"/>
        </w:rPr>
      </w:pPr>
    </w:p>
    <w:p>
      <w:pPr>
        <w:ind w:left="340" w:right="320"/>
        <w:spacing w:after="0" w:line="256" w:lineRule="auto"/>
        <w:rPr>
          <w:sz w:val="20"/>
          <w:szCs w:val="20"/>
          <w:color w:val="auto"/>
        </w:rPr>
      </w:pPr>
      <w:r>
        <w:rPr>
          <w:rFonts w:ascii="Arial" w:cs="Arial" w:eastAsia="Arial" w:hAnsi="Arial"/>
          <w:sz w:val="18"/>
          <w:szCs w:val="18"/>
          <w:color w:val="auto"/>
        </w:rPr>
        <w:t>In addition to officers and directors, other employees designated by the Corporate Vice President and Secretary as Designated Persons include generally, but are not limited to, employees who (a) routinely have access to substantive information about the company’s earnings and financial results prior to the release of the company’s annual or quarterly earnings, (b) are routinely involved in the preparation of the company’s earnings releases and quarterly and annual Securities and Exchange Commission (SEC) filings, or (c) are involved in certain confidential projects, such as significant strategy discussions, acquisitions, or divestitures. The Corporate Vice President and Secretary will notify such other individuals in writing of their status as Designated Persons on a quarterly basis or more frequently as appropriate.</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E3763"/>
        </w:rPr>
        <w:t>Trading During Open Window Periods</w:t>
      </w:r>
    </w:p>
    <w:p>
      <w:pPr>
        <w:spacing w:after="0" w:line="117" w:lineRule="exact"/>
        <w:rPr>
          <w:sz w:val="20"/>
          <w:szCs w:val="20"/>
          <w:color w:val="auto"/>
        </w:rPr>
      </w:pPr>
    </w:p>
    <w:p>
      <w:pPr>
        <w:ind w:left="340" w:right="80"/>
        <w:spacing w:after="0" w:line="262" w:lineRule="auto"/>
        <w:rPr>
          <w:sz w:val="20"/>
          <w:szCs w:val="20"/>
          <w:color w:val="auto"/>
        </w:rPr>
      </w:pPr>
      <w:r>
        <w:rPr>
          <w:rFonts w:ascii="Arial" w:cs="Arial" w:eastAsia="Arial" w:hAnsi="Arial"/>
          <w:sz w:val="18"/>
          <w:szCs w:val="18"/>
          <w:color w:val="auto"/>
        </w:rPr>
        <w:t>Designated Persons are prohibited from trading in NGC stock or other NGC securities other than (1) during an open window period (as described below) and (2) after receiving written approval from the Corporate Vice President and Secretary, or the Corporate Vice President and Secretary’s designee, pursuant to the pre - clearance procedures, unless the transaction is exempt from the pre-clearance requirements as provided in the “Exemptions from Pre-Clearance Procedures” section below.</w:t>
      </w:r>
    </w:p>
    <w:p>
      <w:pPr>
        <w:spacing w:after="0" w:line="68" w:lineRule="exact"/>
        <w:rPr>
          <w:sz w:val="20"/>
          <w:szCs w:val="20"/>
          <w:color w:val="auto"/>
        </w:rPr>
      </w:pPr>
    </w:p>
    <w:p>
      <w:pPr>
        <w:ind w:left="340" w:right="120"/>
        <w:spacing w:after="0" w:line="254" w:lineRule="auto"/>
        <w:rPr>
          <w:sz w:val="20"/>
          <w:szCs w:val="20"/>
          <w:color w:val="auto"/>
        </w:rPr>
      </w:pPr>
      <w:r>
        <w:rPr>
          <w:rFonts w:ascii="Arial" w:cs="Arial" w:eastAsia="Arial" w:hAnsi="Arial"/>
          <w:sz w:val="18"/>
          <w:szCs w:val="18"/>
          <w:color w:val="auto"/>
        </w:rPr>
        <w:t>The Corporate Vice President and Secretary will provide written notice when an open window period will begin and end, and specific instructions for trading during the period, including the process for engaging with the Stock Plan Administrator. Typically (but not always) open window periods begin on the second full business day after the company files its annual report on Form 10-K or quarterly report on Form 10-Q with the SEC, as applicable, and extend to the end of the date that is 21 days prior to the end of each fiscal quarter.</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Corporate Vice President and Secretary will send advance written notice regarding the closure of the open window period.</w:t>
      </w:r>
    </w:p>
    <w:p>
      <w:pPr>
        <w:spacing w:after="0" w:line="99" w:lineRule="exact"/>
        <w:rPr>
          <w:sz w:val="20"/>
          <w:szCs w:val="20"/>
          <w:color w:val="auto"/>
        </w:rPr>
      </w:pPr>
    </w:p>
    <w:p>
      <w:pPr>
        <w:ind w:left="340" w:right="620"/>
        <w:spacing w:after="0" w:line="262" w:lineRule="auto"/>
        <w:rPr>
          <w:sz w:val="20"/>
          <w:szCs w:val="20"/>
          <w:color w:val="auto"/>
        </w:rPr>
      </w:pPr>
      <w:r>
        <w:rPr>
          <w:rFonts w:ascii="Arial" w:cs="Arial" w:eastAsia="Arial" w:hAnsi="Arial"/>
          <w:sz w:val="18"/>
          <w:szCs w:val="18"/>
          <w:color w:val="auto"/>
        </w:rPr>
        <w:t>In the fourth quarter, elected officers, all other Vice Presidents who report directly to the Chief Executive Officer and certain individuals who are significantly involved in annual financial planning or who otherwise have significant visibility into year-end financial results and strategic planning will be subject to a shorter open window period (such persons, “Year-End Designated Persons”). That window will begin on the same date</w:t>
      </w:r>
    </w:p>
    <w:p>
      <w:pPr>
        <w:sectPr>
          <w:pgSz w:w="11900" w:h="16838" w:orient="portrait"/>
          <w:cols w:equalWidth="0" w:num="1">
            <w:col w:w="10860"/>
          </w:cols>
          <w:pgMar w:left="460" w:top="1064" w:right="579" w:bottom="1440" w:gutter="0" w:footer="0" w:header="0"/>
        </w:sectPr>
      </w:pPr>
    </w:p>
    <w:bookmarkStart w:id="131" w:name="page132"/>
    <w:bookmarkEnd w:id="131"/>
    <w:p>
      <w:pPr>
        <w:ind w:left="320" w:right="380"/>
        <w:spacing w:after="0" w:line="262" w:lineRule="auto"/>
        <w:rPr>
          <w:sz w:val="20"/>
          <w:szCs w:val="20"/>
          <w:color w:val="auto"/>
        </w:rPr>
      </w:pPr>
      <w:r>
        <w:rPr>
          <w:rFonts w:ascii="Arial" w:cs="Arial" w:eastAsia="Arial" w:hAnsi="Arial"/>
          <w:sz w:val="18"/>
          <w:szCs w:val="18"/>
          <w:color w:val="auto"/>
        </w:rPr>
        <w:t>that the window opens generally for Designated Persons in the fourth quarter, but will end one week later, unless otherwise modified by the Corporate Vice President and Secretary. The Corporate Vice President and Secretary will typically notify Year-End Designated Persons in the first quarter of their status as Year-End Designated Persons and provide written notice regarding the closure of the shorter open window period for Year-End Designated Persons.</w:t>
      </w:r>
    </w:p>
    <w:p>
      <w:pPr>
        <w:spacing w:after="0" w:line="68" w:lineRule="exact"/>
        <w:rPr>
          <w:sz w:val="20"/>
          <w:szCs w:val="20"/>
          <w:color w:val="auto"/>
        </w:rPr>
      </w:pPr>
    </w:p>
    <w:p>
      <w:pPr>
        <w:ind w:left="320" w:right="620"/>
        <w:spacing w:after="0" w:line="273" w:lineRule="auto"/>
        <w:rPr>
          <w:sz w:val="20"/>
          <w:szCs w:val="20"/>
          <w:color w:val="auto"/>
        </w:rPr>
      </w:pPr>
      <w:r>
        <w:rPr>
          <w:rFonts w:ascii="Arial" w:cs="Arial" w:eastAsia="Arial" w:hAnsi="Arial"/>
          <w:sz w:val="18"/>
          <w:szCs w:val="18"/>
          <w:b w:val="1"/>
          <w:bCs w:val="1"/>
          <w:color w:val="auto"/>
        </w:rPr>
        <w:t>All time periods outside of an open window period are “blackout periods” during which Designated Persons may not purchase, sell, or transfer NGC securities, other than as provided in the “Exemptions from Pre-Clearance Procedures” section of this policy.</w:t>
      </w:r>
    </w:p>
    <w:p>
      <w:pPr>
        <w:spacing w:after="0" w:line="50" w:lineRule="exact"/>
        <w:rPr>
          <w:sz w:val="20"/>
          <w:szCs w:val="20"/>
          <w:color w:val="auto"/>
        </w:rPr>
      </w:pPr>
    </w:p>
    <w:p>
      <w:pPr>
        <w:ind w:left="320" w:right="40"/>
        <w:spacing w:after="0" w:line="262" w:lineRule="auto"/>
        <w:rPr>
          <w:sz w:val="20"/>
          <w:szCs w:val="20"/>
          <w:color w:val="auto"/>
        </w:rPr>
      </w:pPr>
      <w:r>
        <w:rPr>
          <w:rFonts w:ascii="Arial" w:cs="Arial" w:eastAsia="Arial" w:hAnsi="Arial"/>
          <w:sz w:val="18"/>
          <w:szCs w:val="18"/>
          <w:color w:val="auto"/>
        </w:rPr>
        <w:t>In addition, the company’s management may, at any time, impose other trading restrictions on certain officers, directors, or employees, including if they anticipate a material event that is reasonably expected to impact the price of NGC securities, e.g., a material financial development, merger, or acquisition. As a result, officers, directors, and employees may from time to time be required to sign acknowledgments of and abide by trading restrictions in addition to those set forth specifically in this procedure.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E3763"/>
        </w:rPr>
        <w:t>Pre-clearance Procedures</w:t>
      </w:r>
    </w:p>
    <w:p>
      <w:pPr>
        <w:spacing w:after="0" w:line="117" w:lineRule="exact"/>
        <w:rPr>
          <w:sz w:val="20"/>
          <w:szCs w:val="20"/>
          <w:color w:val="auto"/>
        </w:rPr>
      </w:pPr>
    </w:p>
    <w:p>
      <w:pPr>
        <w:ind w:left="320" w:right="280"/>
        <w:spacing w:after="0" w:line="262" w:lineRule="auto"/>
        <w:rPr>
          <w:sz w:val="20"/>
          <w:szCs w:val="20"/>
          <w:color w:val="auto"/>
        </w:rPr>
      </w:pPr>
      <w:r>
        <w:rPr>
          <w:rFonts w:ascii="Arial" w:cs="Arial" w:eastAsia="Arial" w:hAnsi="Arial"/>
          <w:sz w:val="18"/>
          <w:szCs w:val="18"/>
          <w:color w:val="auto"/>
        </w:rPr>
        <w:t>Designated Persons seeking approval to engage in any transaction in NGC stock or other NGC securities must request approval by submitting a trading request form (Form C-845, Permission to Engage in Transactions Involving Northrop Grumman Securities) to the Corporate Vice President and Secretary, unless the transaction is exempt from the pre-clearance requirements as provided in the “Exemptions from Pre- Clearance Procedures” section below.</w:t>
      </w:r>
    </w:p>
    <w:p>
      <w:pPr>
        <w:spacing w:after="0" w:line="68" w:lineRule="exact"/>
        <w:rPr>
          <w:sz w:val="20"/>
          <w:szCs w:val="20"/>
          <w:color w:val="auto"/>
        </w:rPr>
      </w:pPr>
    </w:p>
    <w:p>
      <w:pPr>
        <w:ind w:left="320" w:right="320"/>
        <w:spacing w:after="0" w:line="268" w:lineRule="auto"/>
        <w:rPr>
          <w:sz w:val="20"/>
          <w:szCs w:val="20"/>
          <w:color w:val="auto"/>
        </w:rPr>
      </w:pPr>
      <w:r>
        <w:rPr>
          <w:rFonts w:ascii="Arial" w:cs="Arial" w:eastAsia="Arial" w:hAnsi="Arial"/>
          <w:sz w:val="18"/>
          <w:szCs w:val="18"/>
          <w:color w:val="auto"/>
        </w:rPr>
        <w:t>The company is not obligated to approve any requested trades or to do so within a certain time period. The fact that clearance may be granted under this procedure does not release any individual from his or her obligation to ensure that they trade in full compliance with Company Policy (CP) L4, Insider Trading Policy, this procedure, and any applicable laws.</w:t>
      </w:r>
    </w:p>
    <w:p>
      <w:pPr>
        <w:spacing w:after="0" w:line="63" w:lineRule="exact"/>
        <w:rPr>
          <w:sz w:val="20"/>
          <w:szCs w:val="20"/>
          <w:color w:val="auto"/>
        </w:rPr>
      </w:pPr>
    </w:p>
    <w:p>
      <w:pPr>
        <w:jc w:val="both"/>
        <w:ind w:left="320" w:right="400"/>
        <w:spacing w:after="0" w:line="262" w:lineRule="auto"/>
        <w:rPr>
          <w:sz w:val="20"/>
          <w:szCs w:val="20"/>
          <w:color w:val="auto"/>
        </w:rPr>
      </w:pPr>
      <w:r>
        <w:rPr>
          <w:rFonts w:ascii="Arial" w:cs="Arial" w:eastAsia="Arial" w:hAnsi="Arial"/>
          <w:sz w:val="18"/>
          <w:szCs w:val="18"/>
          <w:color w:val="auto"/>
        </w:rPr>
        <w:t>Designated Persons should contact the Corporate Vice President and Secretary at least three business days before they intend to engage in any transaction to allow enough time for completion of the pre-clearance procedures. These pre-clearance procedures are also applicable to transfers of stock from the administrator of the stock plans (Fidelity or others) to another brokerage or trust, including between Fidelity accounts, and charitable donations of stock.</w:t>
      </w:r>
    </w:p>
    <w:p>
      <w:pPr>
        <w:spacing w:after="0" w:line="68" w:lineRule="exact"/>
        <w:rPr>
          <w:sz w:val="20"/>
          <w:szCs w:val="20"/>
          <w:color w:val="auto"/>
        </w:rPr>
      </w:pPr>
    </w:p>
    <w:p>
      <w:pPr>
        <w:ind w:left="320" w:right="300"/>
        <w:spacing w:after="0" w:line="256" w:lineRule="auto"/>
        <w:rPr>
          <w:sz w:val="20"/>
          <w:szCs w:val="20"/>
          <w:color w:val="auto"/>
        </w:rPr>
      </w:pPr>
      <w:r>
        <w:rPr>
          <w:rFonts w:ascii="Arial" w:cs="Arial" w:eastAsia="Arial" w:hAnsi="Arial"/>
          <w:sz w:val="18"/>
          <w:szCs w:val="18"/>
          <w:color w:val="auto"/>
        </w:rPr>
        <w:t>After receiving written approval from the Corporate Vice President and Secretary through the pre-clearance procedure, a Designated Person may purchase, sell or transfer NGC stock or other NGC securities during an “open window period” for the time period indicated in the approval notification (not to exceed three business days), provided he or she is not aware of material, nonpublic information. A pre-cleared trade (or any portion of a pre-cleared trade) that has not been affected during the three business day period must be pre-cleared again prior to execution. Notwithstanding receipt of pre-clearance, if the Designated Person who has received pre-clearance becomes aware of material, nonpublic information or an open window period closes before the transaction is affected, the transaction may not be completed.</w:t>
      </w:r>
    </w:p>
    <w:p>
      <w:pPr>
        <w:spacing w:after="0" w:line="75" w:lineRule="exact"/>
        <w:rPr>
          <w:sz w:val="20"/>
          <w:szCs w:val="20"/>
          <w:color w:val="auto"/>
        </w:rPr>
      </w:pPr>
    </w:p>
    <w:p>
      <w:pPr>
        <w:ind w:left="320" w:right="740"/>
        <w:spacing w:after="0" w:line="287" w:lineRule="auto"/>
        <w:rPr>
          <w:sz w:val="20"/>
          <w:szCs w:val="20"/>
          <w:color w:val="auto"/>
        </w:rPr>
      </w:pPr>
      <w:r>
        <w:rPr>
          <w:rFonts w:ascii="Arial" w:cs="Arial" w:eastAsia="Arial" w:hAnsi="Arial"/>
          <w:sz w:val="18"/>
          <w:szCs w:val="18"/>
          <w:color w:val="auto"/>
        </w:rPr>
        <w:t>The Corporate Vice President and Secretary will provide other details of the procedures to Designated Persons on a quarterly basis. The pre-clearance procedures are subject to change.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E3763"/>
        </w:rPr>
        <w:t>Exemptions from Pre-clearance Procedures</w:t>
      </w:r>
    </w:p>
    <w:p>
      <w:pPr>
        <w:spacing w:after="0" w:line="117" w:lineRule="exact"/>
        <w:rPr>
          <w:sz w:val="20"/>
          <w:szCs w:val="20"/>
          <w:color w:val="auto"/>
        </w:rPr>
      </w:pPr>
    </w:p>
    <w:p>
      <w:pPr>
        <w:ind w:left="320"/>
        <w:spacing w:after="0" w:line="287" w:lineRule="auto"/>
        <w:rPr>
          <w:sz w:val="20"/>
          <w:szCs w:val="20"/>
          <w:color w:val="auto"/>
        </w:rPr>
      </w:pPr>
      <w:r>
        <w:rPr>
          <w:rFonts w:ascii="Arial" w:cs="Arial" w:eastAsia="Arial" w:hAnsi="Arial"/>
          <w:sz w:val="18"/>
          <w:szCs w:val="18"/>
          <w:color w:val="auto"/>
        </w:rPr>
        <w:t>Certain transactions in NGC stock or other NGC securities are exempt from the pre-clearance procedures. Designated Persons are not required to obtain approval from the Corporate Vice President and Secretary to engage in the following transactions:</w:t>
      </w:r>
    </w:p>
    <w:p>
      <w:pPr>
        <w:spacing w:after="0" w:line="45" w:lineRule="exact"/>
        <w:rPr>
          <w:sz w:val="20"/>
          <w:szCs w:val="20"/>
          <w:color w:val="auto"/>
        </w:rPr>
      </w:pPr>
    </w:p>
    <w:p>
      <w:pPr>
        <w:ind w:left="640" w:right="460" w:hanging="143"/>
        <w:spacing w:after="0" w:line="262" w:lineRule="auto"/>
        <w:rPr>
          <w:sz w:val="20"/>
          <w:szCs w:val="20"/>
          <w:color w:val="auto"/>
        </w:rPr>
      </w:pPr>
      <w:r>
        <w:rPr>
          <w:rFonts w:ascii="Arial" w:cs="Arial" w:eastAsia="Arial" w:hAnsi="Arial"/>
          <w:sz w:val="18"/>
          <w:szCs w:val="18"/>
          <w:color w:val="auto"/>
        </w:rPr>
        <w:t>Automatic transfer of funds into an NGC stock fund held as an investment in the company’s savings plan and the increase or decrease of overall contributions to the savings plan; provided, however, that prior written approval through the pre-clearance procedure is required to: (1) establish the stock fund as an investment option under the savings plan or (2) increase or decrease the level of contributions to the stock fund in the savings plan;</w:t>
      </w:r>
    </w:p>
    <w:p>
      <w:pPr>
        <w:spacing w:after="0" w:line="14" w:lineRule="exact"/>
        <w:rPr>
          <w:sz w:val="20"/>
          <w:szCs w:val="20"/>
          <w:color w:val="auto"/>
        </w:rPr>
      </w:pPr>
    </w:p>
    <w:p>
      <w:pPr>
        <w:jc w:val="both"/>
        <w:ind w:left="640" w:right="660" w:hanging="143"/>
        <w:spacing w:after="0" w:line="268" w:lineRule="auto"/>
        <w:rPr>
          <w:sz w:val="20"/>
          <w:szCs w:val="20"/>
          <w:color w:val="auto"/>
        </w:rPr>
      </w:pPr>
      <w:r>
        <w:rPr>
          <w:rFonts w:ascii="Arial" w:cs="Arial" w:eastAsia="Arial" w:hAnsi="Arial"/>
          <w:sz w:val="18"/>
          <w:szCs w:val="18"/>
          <w:color w:val="auto"/>
        </w:rPr>
        <w:t>Ongoing purchase of NGC stock or other NGC securities under the company’s dividend reinvestment plan (“DRP”) resulting from reinvesting dividends paid on NGC securities; provided, however, that prior written approval through the preclearance procedure is required to establish the DRP; and</w:t>
      </w:r>
    </w:p>
    <w:p>
      <w:pPr>
        <w:sectPr>
          <w:pgSz w:w="11900" w:h="16838" w:orient="portrait"/>
          <w:cols w:equalWidth="0" w:num="1">
            <w:col w:w="11040"/>
          </w:cols>
          <w:pgMar w:left="480" w:top="1147" w:right="379" w:bottom="1440" w:gutter="0" w:footer="0" w:header="0"/>
        </w:sectPr>
      </w:pPr>
    </w:p>
    <w:bookmarkStart w:id="132" w:name="page133"/>
    <w:bookmarkEnd w:id="132"/>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Trades pursuant to an already approved and established Rule 10b-5 Plan (as defined and further discussed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E3763"/>
        </w:rPr>
        <w:t>Trading Through Stock Plan Administrator</w:t>
      </w:r>
    </w:p>
    <w:p>
      <w:pPr>
        <w:spacing w:after="0" w:line="117" w:lineRule="exact"/>
        <w:rPr>
          <w:sz w:val="20"/>
          <w:szCs w:val="20"/>
          <w:color w:val="auto"/>
        </w:rPr>
      </w:pPr>
    </w:p>
    <w:p>
      <w:pPr>
        <w:ind w:left="320" w:right="300"/>
        <w:spacing w:after="0" w:line="268" w:lineRule="auto"/>
        <w:rPr>
          <w:sz w:val="20"/>
          <w:szCs w:val="20"/>
          <w:color w:val="auto"/>
        </w:rPr>
      </w:pPr>
      <w:r>
        <w:rPr>
          <w:rFonts w:ascii="Arial" w:cs="Arial" w:eastAsia="Arial" w:hAnsi="Arial"/>
          <w:sz w:val="18"/>
          <w:szCs w:val="18"/>
          <w:color w:val="auto"/>
        </w:rPr>
        <w:t>In general, Designated Persons must execute all trades in NGC stock through the company’s Stock Plan Administrator. The Office of the Corporate Vice President and Secretary shall maintain procedures with the Stock Plan Administrator to provide for the approval and execution of such trades, and trades may not be executed without complying with these procedures.</w:t>
      </w:r>
    </w:p>
    <w:p>
      <w:pPr>
        <w:spacing w:after="0" w:line="63" w:lineRule="exact"/>
        <w:rPr>
          <w:sz w:val="20"/>
          <w:szCs w:val="20"/>
          <w:color w:val="auto"/>
        </w:rPr>
      </w:pPr>
    </w:p>
    <w:p>
      <w:pPr>
        <w:ind w:left="320"/>
        <w:spacing w:after="0" w:line="268" w:lineRule="auto"/>
        <w:rPr>
          <w:sz w:val="20"/>
          <w:szCs w:val="20"/>
          <w:color w:val="auto"/>
        </w:rPr>
      </w:pPr>
      <w:r>
        <w:rPr>
          <w:rFonts w:ascii="Arial" w:cs="Arial" w:eastAsia="Arial" w:hAnsi="Arial"/>
          <w:sz w:val="18"/>
          <w:szCs w:val="18"/>
          <w:color w:val="auto"/>
        </w:rPr>
        <w:t>At a minimum, the procedures will provide for the Stock Plan Administrator to obtain written notification of approval to complete the transaction prior to executing any transactions for Designated Persons, other than transactions exempted under the “Exemptions from Pre-Clearance Procedures” section above.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Pre-Clearance Process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Each responsible function/role must complete the steps below consistent with the requirements of this procedure.</w:t>
      </w:r>
    </w:p>
    <w:p>
      <w:pPr>
        <w:spacing w:after="0" w:line="278" w:lineRule="exact"/>
        <w:rPr>
          <w:sz w:val="20"/>
          <w:szCs w:val="20"/>
          <w:color w:val="auto"/>
        </w:rPr>
      </w:pPr>
    </w:p>
    <w:tbl>
      <w:tblPr>
        <w:tblLayout w:type="fixed"/>
        <w:tblInd w:w="350" w:type="dxa"/>
        <w:tblCellMar>
          <w:top w:w="0" w:type="dxa"/>
          <w:left w:w="0" w:type="dxa"/>
          <w:bottom w:w="0" w:type="dxa"/>
          <w:right w:w="0" w:type="dxa"/>
        </w:tblCellMar>
      </w:tblPr>
      <w:tr>
        <w:trPr>
          <w:trHeight w:val="292"/>
        </w:trPr>
        <w:tc>
          <w:tcPr>
            <w:tcW w:w="760" w:type="dxa"/>
            <w:vAlign w:val="bottom"/>
            <w:tcBorders>
              <w:top w:val="single" w:sz="8" w:color="auto"/>
              <w:left w:val="single" w:sz="8" w:color="auto"/>
              <w:right w:val="single" w:sz="8" w:color="auto"/>
            </w:tcBorders>
            <w:vMerge w:val="restart"/>
            <w:shd w:val="clear" w:color="auto" w:fill="DDDDDD"/>
          </w:tcPr>
          <w:p>
            <w:pPr>
              <w:jc w:val="right"/>
              <w:ind w:right="10"/>
              <w:spacing w:after="0"/>
              <w:rPr>
                <w:sz w:val="20"/>
                <w:szCs w:val="20"/>
                <w:color w:val="auto"/>
              </w:rPr>
            </w:pPr>
            <w:r>
              <w:rPr>
                <w:rFonts w:ascii="Arial" w:cs="Arial" w:eastAsia="Arial" w:hAnsi="Arial"/>
                <w:sz w:val="18"/>
                <w:szCs w:val="18"/>
                <w:b w:val="1"/>
                <w:bCs w:val="1"/>
                <w:color w:val="auto"/>
              </w:rPr>
              <w:t>Step</w:t>
            </w:r>
          </w:p>
        </w:tc>
        <w:tc>
          <w:tcPr>
            <w:tcW w:w="1660" w:type="dxa"/>
            <w:vAlign w:val="bottom"/>
            <w:tcBorders>
              <w:top w:val="single" w:sz="8" w:color="auto"/>
              <w:right w:val="single" w:sz="8" w:color="auto"/>
            </w:tcBorders>
            <w:shd w:val="clear" w:color="auto" w:fill="DDDDDD"/>
          </w:tcPr>
          <w:p>
            <w:pPr>
              <w:ind w:left="140"/>
              <w:spacing w:after="0"/>
              <w:rPr>
                <w:sz w:val="20"/>
                <w:szCs w:val="20"/>
                <w:color w:val="auto"/>
              </w:rPr>
            </w:pPr>
            <w:r>
              <w:rPr>
                <w:rFonts w:ascii="Arial" w:cs="Arial" w:eastAsia="Arial" w:hAnsi="Arial"/>
                <w:sz w:val="18"/>
                <w:szCs w:val="18"/>
                <w:b w:val="1"/>
                <w:bCs w:val="1"/>
                <w:color w:val="auto"/>
              </w:rPr>
              <w:t>Responsible</w:t>
            </w:r>
          </w:p>
        </w:tc>
        <w:tc>
          <w:tcPr>
            <w:tcW w:w="7160" w:type="dxa"/>
            <w:vAlign w:val="bottom"/>
            <w:tcBorders>
              <w:top w:val="single" w:sz="8" w:color="auto"/>
              <w:right w:val="single" w:sz="8" w:color="auto"/>
            </w:tcBorders>
            <w:vMerge w:val="restart"/>
            <w:shd w:val="clear" w:color="auto" w:fill="DDDDDD"/>
          </w:tcPr>
          <w:p>
            <w:pPr>
              <w:ind w:left="2860"/>
              <w:spacing w:after="0"/>
              <w:rPr>
                <w:sz w:val="20"/>
                <w:szCs w:val="20"/>
                <w:color w:val="auto"/>
              </w:rPr>
            </w:pPr>
            <w:r>
              <w:rPr>
                <w:rFonts w:ascii="Arial" w:cs="Arial" w:eastAsia="Arial" w:hAnsi="Arial"/>
                <w:sz w:val="18"/>
                <w:szCs w:val="18"/>
                <w:b w:val="1"/>
                <w:bCs w:val="1"/>
                <w:color w:val="auto"/>
              </w:rPr>
              <w:t>Required Action</w:t>
            </w:r>
          </w:p>
        </w:tc>
        <w:tc>
          <w:tcPr>
            <w:tcW w:w="0" w:type="dxa"/>
            <w:vAlign w:val="bottom"/>
          </w:tcPr>
          <w:p>
            <w:pPr>
              <w:spacing w:after="0"/>
              <w:rPr>
                <w:sz w:val="1"/>
                <w:szCs w:val="1"/>
                <w:color w:val="auto"/>
              </w:rPr>
            </w:pPr>
          </w:p>
        </w:tc>
      </w:tr>
      <w:tr>
        <w:trPr>
          <w:trHeight w:val="255"/>
        </w:trPr>
        <w:tc>
          <w:tcPr>
            <w:tcW w:w="760" w:type="dxa"/>
            <w:vAlign w:val="bottom"/>
            <w:tcBorders>
              <w:left w:val="single" w:sz="8" w:color="auto"/>
              <w:bottom w:val="single" w:sz="8" w:color="auto"/>
              <w:right w:val="single" w:sz="8" w:color="auto"/>
            </w:tcBorders>
            <w:vMerge w:val="continue"/>
            <w:shd w:val="clear" w:color="auto" w:fill="DDDDDD"/>
          </w:tcPr>
          <w:p>
            <w:pPr>
              <w:spacing w:after="0"/>
              <w:rPr>
                <w:sz w:val="22"/>
                <w:szCs w:val="22"/>
                <w:color w:val="auto"/>
              </w:rPr>
            </w:pPr>
          </w:p>
        </w:tc>
        <w:tc>
          <w:tcPr>
            <w:tcW w:w="1660" w:type="dxa"/>
            <w:vAlign w:val="bottom"/>
            <w:tcBorders>
              <w:bottom w:val="single" w:sz="8" w:color="auto"/>
              <w:right w:val="single" w:sz="8" w:color="auto"/>
            </w:tcBorders>
            <w:shd w:val="clear" w:color="auto" w:fill="DDDDDD"/>
          </w:tcPr>
          <w:p>
            <w:pPr>
              <w:ind w:left="80"/>
              <w:spacing w:after="0"/>
              <w:rPr>
                <w:sz w:val="20"/>
                <w:szCs w:val="20"/>
                <w:color w:val="auto"/>
              </w:rPr>
            </w:pPr>
            <w:r>
              <w:rPr>
                <w:rFonts w:ascii="Arial" w:cs="Arial" w:eastAsia="Arial" w:hAnsi="Arial"/>
                <w:sz w:val="18"/>
                <w:szCs w:val="18"/>
                <w:b w:val="1"/>
                <w:bCs w:val="1"/>
                <w:color w:val="auto"/>
              </w:rPr>
              <w:t>Function/Role</w:t>
            </w:r>
          </w:p>
        </w:tc>
        <w:tc>
          <w:tcPr>
            <w:tcW w:w="7160" w:type="dxa"/>
            <w:vAlign w:val="bottom"/>
            <w:tcBorders>
              <w:bottom w:val="single" w:sz="8" w:color="auto"/>
              <w:right w:val="single" w:sz="8" w:color="auto"/>
            </w:tcBorders>
            <w:vMerge w:val="continue"/>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6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Corporate Vice</w:t>
            </w:r>
          </w:p>
        </w:tc>
        <w:tc>
          <w:tcPr>
            <w:tcW w:w="7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Notify Designated Persons on quarterly basis of their status as a Designated Person, the</w:t>
            </w: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President and</w:t>
            </w:r>
          </w:p>
        </w:tc>
        <w:tc>
          <w:tcPr>
            <w:tcW w:w="7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timing of the opening / closing of the window period (if any) and the process for receiving</w:t>
            </w: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Secretary (or</w:t>
            </w:r>
          </w:p>
        </w:tc>
        <w:tc>
          <w:tcPr>
            <w:tcW w:w="7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approval of any request to trade in NGC stock or other NGC securities.</w:t>
            </w:r>
          </w:p>
        </w:tc>
        <w:tc>
          <w:tcPr>
            <w:tcW w:w="0" w:type="dxa"/>
            <w:vAlign w:val="bottom"/>
          </w:tcPr>
          <w:p>
            <w:pPr>
              <w:spacing w:after="0"/>
              <w:rPr>
                <w:sz w:val="1"/>
                <w:szCs w:val="1"/>
                <w:color w:val="auto"/>
              </w:rPr>
            </w:pPr>
          </w:p>
        </w:tc>
      </w:tr>
      <w:tr>
        <w:trPr>
          <w:trHeight w:val="241"/>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designee)</w:t>
            </w:r>
          </w:p>
        </w:tc>
        <w:tc>
          <w:tcPr>
            <w:tcW w:w="7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76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Designated Person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If a Designated Person wants to engage in a transaction with respect to NGC</w:t>
            </w:r>
          </w:p>
        </w:tc>
        <w:tc>
          <w:tcPr>
            <w:tcW w:w="0" w:type="dxa"/>
            <w:vAlign w:val="bottom"/>
          </w:tcPr>
          <w:p>
            <w:pPr>
              <w:spacing w:after="0"/>
              <w:rPr>
                <w:sz w:val="1"/>
                <w:szCs w:val="1"/>
                <w:color w:val="auto"/>
              </w:rPr>
            </w:pPr>
          </w:p>
        </w:tc>
      </w:tr>
      <w:tr>
        <w:trPr>
          <w:trHeight w:val="230"/>
        </w:trPr>
        <w:tc>
          <w:tcPr>
            <w:tcW w:w="76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stock or other NGC securities (other than a transaction that is exempt from the</w:t>
            </w:r>
          </w:p>
        </w:tc>
        <w:tc>
          <w:tcPr>
            <w:tcW w:w="0" w:type="dxa"/>
            <w:vAlign w:val="bottom"/>
          </w:tcPr>
          <w:p>
            <w:pPr>
              <w:spacing w:after="0"/>
              <w:rPr>
                <w:sz w:val="1"/>
                <w:szCs w:val="1"/>
                <w:color w:val="auto"/>
              </w:rPr>
            </w:pPr>
          </w:p>
        </w:tc>
      </w:tr>
      <w:tr>
        <w:trPr>
          <w:trHeight w:val="243"/>
        </w:trPr>
        <w:tc>
          <w:tcPr>
            <w:tcW w:w="76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pre-clearance procedures), complete the trade request form (Form C-845)</w:t>
            </w:r>
          </w:p>
        </w:tc>
        <w:tc>
          <w:tcPr>
            <w:tcW w:w="0" w:type="dxa"/>
            <w:vAlign w:val="bottom"/>
          </w:tcPr>
          <w:p>
            <w:pPr>
              <w:spacing w:after="0"/>
              <w:rPr>
                <w:sz w:val="1"/>
                <w:szCs w:val="1"/>
                <w:color w:val="auto"/>
              </w:rPr>
            </w:pPr>
          </w:p>
        </w:tc>
      </w:tr>
      <w:tr>
        <w:trPr>
          <w:trHeight w:val="229"/>
        </w:trPr>
        <w:tc>
          <w:tcPr>
            <w:tcW w:w="76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and send the completed form to the Office of the Corporate Secretary for</w:t>
            </w:r>
          </w:p>
        </w:tc>
        <w:tc>
          <w:tcPr>
            <w:tcW w:w="0" w:type="dxa"/>
            <w:vAlign w:val="bottom"/>
          </w:tcPr>
          <w:p>
            <w:pPr>
              <w:spacing w:after="0"/>
              <w:rPr>
                <w:sz w:val="1"/>
                <w:szCs w:val="1"/>
                <w:color w:val="auto"/>
              </w:rPr>
            </w:pPr>
          </w:p>
        </w:tc>
      </w:tr>
      <w:tr>
        <w:trPr>
          <w:trHeight w:val="243"/>
        </w:trPr>
        <w:tc>
          <w:tcPr>
            <w:tcW w:w="76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approval at StockTradeRequest@ngc.com at least three business days before</w:t>
            </w:r>
          </w:p>
        </w:tc>
        <w:tc>
          <w:tcPr>
            <w:tcW w:w="0" w:type="dxa"/>
            <w:vAlign w:val="bottom"/>
          </w:tcPr>
          <w:p>
            <w:pPr>
              <w:spacing w:after="0"/>
              <w:rPr>
                <w:sz w:val="1"/>
                <w:szCs w:val="1"/>
                <w:color w:val="auto"/>
              </w:rPr>
            </w:pPr>
          </w:p>
        </w:tc>
      </w:tr>
      <w:tr>
        <w:trPr>
          <w:trHeight w:val="261"/>
        </w:trPr>
        <w:tc>
          <w:tcPr>
            <w:tcW w:w="760" w:type="dxa"/>
            <w:vAlign w:val="bottom"/>
            <w:tcBorders>
              <w:left w:val="single" w:sz="8" w:color="auto"/>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he or she would like to engage in the transaction.</w:t>
            </w:r>
          </w:p>
        </w:tc>
        <w:tc>
          <w:tcPr>
            <w:tcW w:w="0" w:type="dxa"/>
            <w:vAlign w:val="bottom"/>
          </w:tcPr>
          <w:p>
            <w:pPr>
              <w:spacing w:after="0"/>
              <w:rPr>
                <w:sz w:val="1"/>
                <w:szCs w:val="1"/>
                <w:color w:val="auto"/>
              </w:rPr>
            </w:pPr>
          </w:p>
        </w:tc>
      </w:tr>
      <w:tr>
        <w:trPr>
          <w:trHeight w:val="30"/>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7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76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Corporate Vice</w:t>
            </w:r>
          </w:p>
        </w:tc>
        <w:tc>
          <w:tcPr>
            <w:tcW w:w="7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Review the submitted trade request and, if approved, notify the Designated Person of</w:t>
            </w: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President and</w:t>
            </w:r>
          </w:p>
        </w:tc>
        <w:tc>
          <w:tcPr>
            <w:tcW w:w="7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such approval and the time period (up to three business days) for which the</w:t>
            </w: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Secretary (or</w:t>
            </w:r>
          </w:p>
        </w:tc>
        <w:tc>
          <w:tcPr>
            <w:tcW w:w="7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Designated Person may complete the transaction.</w:t>
            </w:r>
          </w:p>
        </w:tc>
        <w:tc>
          <w:tcPr>
            <w:tcW w:w="0" w:type="dxa"/>
            <w:vAlign w:val="bottom"/>
          </w:tcPr>
          <w:p>
            <w:pPr>
              <w:spacing w:after="0"/>
              <w:rPr>
                <w:sz w:val="1"/>
                <w:szCs w:val="1"/>
                <w:color w:val="auto"/>
              </w:rPr>
            </w:pPr>
          </w:p>
        </w:tc>
      </w:tr>
      <w:tr>
        <w:trPr>
          <w:trHeight w:val="239"/>
        </w:trPr>
        <w:tc>
          <w:tcPr>
            <w:tcW w:w="76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designee)</w:t>
            </w:r>
          </w:p>
        </w:tc>
        <w:tc>
          <w:tcPr>
            <w:tcW w:w="71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The company’s stock plan administrator (if applicable) will be notified of such approval</w:t>
            </w:r>
          </w:p>
        </w:tc>
        <w:tc>
          <w:tcPr>
            <w:tcW w:w="0" w:type="dxa"/>
            <w:vAlign w:val="bottom"/>
          </w:tcPr>
          <w:p>
            <w:pPr>
              <w:spacing w:after="0"/>
              <w:rPr>
                <w:sz w:val="1"/>
                <w:szCs w:val="1"/>
                <w:color w:val="auto"/>
              </w:rPr>
            </w:pPr>
          </w:p>
        </w:tc>
      </w:tr>
      <w:tr>
        <w:trPr>
          <w:trHeight w:val="120"/>
        </w:trPr>
        <w:tc>
          <w:tcPr>
            <w:tcW w:w="76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7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76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 the time period for which the Designated Person may complete the transaction.</w:t>
            </w:r>
          </w:p>
        </w:tc>
        <w:tc>
          <w:tcPr>
            <w:tcW w:w="0" w:type="dxa"/>
            <w:vAlign w:val="bottom"/>
          </w:tcPr>
          <w:p>
            <w:pPr>
              <w:spacing w:after="0"/>
              <w:rPr>
                <w:sz w:val="1"/>
                <w:szCs w:val="1"/>
                <w:color w:val="auto"/>
              </w:rPr>
            </w:pPr>
          </w:p>
        </w:tc>
      </w:tr>
      <w:tr>
        <w:trPr>
          <w:trHeight w:val="23"/>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7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6"/>
        </w:trPr>
        <w:tc>
          <w:tcPr>
            <w:tcW w:w="76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Designated Person</w:t>
            </w:r>
          </w:p>
        </w:tc>
        <w:tc>
          <w:tcPr>
            <w:tcW w:w="7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Following  receipt  of  approval  to  complete  the  transaction  (if  applicable),  the</w:t>
            </w: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Designated Person will have up to the time period specified in the approval notification</w:t>
            </w:r>
          </w:p>
        </w:tc>
        <w:tc>
          <w:tcPr>
            <w:tcW w:w="0" w:type="dxa"/>
            <w:vAlign w:val="bottom"/>
          </w:tcPr>
          <w:p>
            <w:pPr>
              <w:spacing w:after="0"/>
              <w:rPr>
                <w:sz w:val="1"/>
                <w:szCs w:val="1"/>
                <w:color w:val="auto"/>
              </w:rPr>
            </w:pPr>
          </w:p>
        </w:tc>
      </w:tr>
      <w:tr>
        <w:trPr>
          <w:trHeight w:val="239"/>
        </w:trPr>
        <w:tc>
          <w:tcPr>
            <w:tcW w:w="76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complete the transaction.</w:t>
            </w:r>
          </w:p>
        </w:tc>
        <w:tc>
          <w:tcPr>
            <w:tcW w:w="0" w:type="dxa"/>
            <w:vAlign w:val="bottom"/>
          </w:tcPr>
          <w:p>
            <w:pPr>
              <w:spacing w:after="0"/>
              <w:rPr>
                <w:sz w:val="1"/>
                <w:szCs w:val="1"/>
                <w:color w:val="auto"/>
              </w:rPr>
            </w:pPr>
          </w:p>
        </w:tc>
      </w:tr>
      <w:tr>
        <w:trPr>
          <w:trHeight w:val="301"/>
        </w:trPr>
        <w:tc>
          <w:tcPr>
            <w:tcW w:w="760" w:type="dxa"/>
            <w:vAlign w:val="bottom"/>
            <w:tcBorders>
              <w:left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7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Designated Persons that are Section 16 officers should notify the Corporate Vice</w:t>
            </w:r>
          </w:p>
        </w:tc>
        <w:tc>
          <w:tcPr>
            <w:tcW w:w="0" w:type="dxa"/>
            <w:vAlign w:val="bottom"/>
          </w:tcPr>
          <w:p>
            <w:pPr>
              <w:spacing w:after="0"/>
              <w:rPr>
                <w:sz w:val="1"/>
                <w:szCs w:val="1"/>
                <w:color w:val="auto"/>
              </w:rPr>
            </w:pPr>
          </w:p>
        </w:tc>
      </w:tr>
      <w:tr>
        <w:trPr>
          <w:trHeight w:val="239"/>
        </w:trPr>
        <w:tc>
          <w:tcPr>
            <w:tcW w:w="76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President and Secretary once any approved transaction has been completed.</w:t>
            </w:r>
          </w:p>
        </w:tc>
        <w:tc>
          <w:tcPr>
            <w:tcW w:w="0" w:type="dxa"/>
            <w:vAlign w:val="bottom"/>
          </w:tcPr>
          <w:p>
            <w:pPr>
              <w:spacing w:after="0"/>
              <w:rPr>
                <w:sz w:val="1"/>
                <w:szCs w:val="1"/>
                <w:color w:val="auto"/>
              </w:rPr>
            </w:pPr>
          </w:p>
        </w:tc>
      </w:tr>
      <w:tr>
        <w:trPr>
          <w:trHeight w:val="23"/>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7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1E3763"/>
        </w:rPr>
        <w:t>Prearranged Trading Plans (Rule 10b5-1 Plans)</w:t>
      </w:r>
    </w:p>
    <w:p>
      <w:pPr>
        <w:spacing w:after="0" w:line="117" w:lineRule="exact"/>
        <w:rPr>
          <w:sz w:val="20"/>
          <w:szCs w:val="20"/>
          <w:color w:val="auto"/>
        </w:rPr>
      </w:pPr>
    </w:p>
    <w:p>
      <w:pPr>
        <w:ind w:left="320" w:right="220"/>
        <w:spacing w:after="0" w:line="259" w:lineRule="auto"/>
        <w:rPr>
          <w:sz w:val="20"/>
          <w:szCs w:val="20"/>
          <w:color w:val="auto"/>
        </w:rPr>
      </w:pPr>
      <w:r>
        <w:rPr>
          <w:rFonts w:ascii="Arial" w:cs="Arial" w:eastAsia="Arial" w:hAnsi="Arial"/>
          <w:sz w:val="18"/>
          <w:szCs w:val="18"/>
          <w:color w:val="auto"/>
        </w:rPr>
        <w:t>Designated Persons may enter into a written plan, contract, or arrangement meeting the requirements of SEC Rule 10b5-1 (a “Rule 10b5-1 Plan”) under the Exchange Act. An individual may enter into, modify, or terminate a Rule 10b5-1 Plan only during an open window, at a time when the individual is not aware of any material, nonpublic information, and after receiving written approval from the Corporate Vice President and Secretary, or the Corporate Vice President and Secretary’s designee, pursuant to the pre-approval process set forth above.</w:t>
      </w:r>
    </w:p>
    <w:p>
      <w:pPr>
        <w:sectPr>
          <w:pgSz w:w="11900" w:h="16838" w:orient="portrait"/>
          <w:cols w:equalWidth="0" w:num="1">
            <w:col w:w="10960"/>
          </w:cols>
          <w:pgMar w:left="480" w:top="1440" w:right="459" w:bottom="1440" w:gutter="0" w:footer="0" w:header="0"/>
        </w:sectPr>
      </w:pPr>
    </w:p>
    <w:bookmarkStart w:id="133" w:name="page134"/>
    <w:bookmarkEnd w:id="133"/>
    <w:p>
      <w:pPr>
        <w:spacing w:after="0" w:line="45" w:lineRule="exact"/>
        <w:rPr>
          <w:sz w:val="20"/>
          <w:szCs w:val="20"/>
          <w:color w:val="auto"/>
        </w:rPr>
      </w:pPr>
    </w:p>
    <w:p>
      <w:pPr>
        <w:ind w:left="320"/>
        <w:spacing w:after="0" w:line="257" w:lineRule="auto"/>
        <w:rPr>
          <w:sz w:val="20"/>
          <w:szCs w:val="20"/>
          <w:color w:val="auto"/>
        </w:rPr>
      </w:pPr>
      <w:r>
        <w:rPr>
          <w:rFonts w:ascii="Arial" w:cs="Arial" w:eastAsia="Arial" w:hAnsi="Arial"/>
          <w:sz w:val="18"/>
          <w:szCs w:val="18"/>
          <w:color w:val="auto"/>
        </w:rPr>
        <w:t>Elected officers and other Vice Presidents who report directly to the Chief Executive Officer are generally required to enter into a Rule 10b5-1 Plan in order to trade in NGC securities, unless otherwise prohibited from entering into such plan. However, elected officers and such other Vice Presidents may also, at a time when such officer is not aware of any material, nonpublic information, in good faith and not as part of a plan or scheme to evade compliance with the U.S. securities laws and after receiving written approval from the Corporate Vice President and Secretary, or the Corporate Vice President and Secretary’s designee, pursuant to the pre-approval process set forth above and with respect to securities not the subject of an active Rule 10b5-1 Plan:</w:t>
      </w:r>
    </w:p>
    <w:p>
      <w:pPr>
        <w:spacing w:after="0" w:line="7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Trade during the open window period in the first quarter;</w:t>
      </w:r>
    </w:p>
    <w:p>
      <w:pPr>
        <w:spacing w:after="0" w:line="27" w:lineRule="exact"/>
        <w:rPr>
          <w:sz w:val="20"/>
          <w:szCs w:val="20"/>
          <w:color w:val="auto"/>
        </w:rPr>
      </w:pPr>
    </w:p>
    <w:p>
      <w:pPr>
        <w:ind w:left="820" w:right="4200"/>
        <w:spacing w:after="0" w:line="296" w:lineRule="auto"/>
        <w:rPr>
          <w:sz w:val="20"/>
          <w:szCs w:val="20"/>
          <w:color w:val="auto"/>
        </w:rPr>
      </w:pPr>
      <w:r>
        <w:rPr>
          <w:rFonts w:ascii="Arial" w:cs="Arial" w:eastAsia="Arial" w:hAnsi="Arial"/>
          <w:sz w:val="17"/>
          <w:szCs w:val="17"/>
          <w:color w:val="auto"/>
        </w:rPr>
        <w:t>Make charitable contributions during any open window period; and Transfer shares of NGC stock to a trust during any open window period.</w:t>
      </w:r>
    </w:p>
    <w:p>
      <w:pPr>
        <w:spacing w:after="0" w:line="40" w:lineRule="exact"/>
        <w:rPr>
          <w:sz w:val="20"/>
          <w:szCs w:val="20"/>
          <w:color w:val="auto"/>
        </w:rPr>
      </w:pPr>
    </w:p>
    <w:p>
      <w:pPr>
        <w:ind w:left="320" w:right="100"/>
        <w:spacing w:after="0" w:line="259" w:lineRule="auto"/>
        <w:rPr>
          <w:sz w:val="20"/>
          <w:szCs w:val="20"/>
          <w:color w:val="auto"/>
        </w:rPr>
      </w:pPr>
      <w:r>
        <w:rPr>
          <w:rFonts w:ascii="Arial" w:cs="Arial" w:eastAsia="Arial" w:hAnsi="Arial"/>
          <w:sz w:val="18"/>
          <w:szCs w:val="18"/>
          <w:color w:val="auto"/>
        </w:rPr>
        <w:t>The Rule 10b5-1 Plan will be effective no earlier than the beginning of the quarter after establishment of the Rule 10b5-1 Plan and the trading schedule under such Rule 10b5-1 Plan cannot commence (i) for elected officers and other Vice Presidents reporting directly to the Chief Executive Officer, until the later of (x) or 90 days after the adoption of the Rule 10b5-1 Plan and (y) two business days following the company’s filing of its Form 10-Q or Form 10 -K for the quarter in which the Rule 10b5-1 Plan was adopted and (ii) for all other Designated Persons, until the first day of the next open window period.</w:t>
      </w:r>
    </w:p>
    <w:p>
      <w:pPr>
        <w:spacing w:after="0" w:line="71" w:lineRule="exact"/>
        <w:rPr>
          <w:sz w:val="20"/>
          <w:szCs w:val="20"/>
          <w:color w:val="auto"/>
        </w:rPr>
      </w:pPr>
    </w:p>
    <w:p>
      <w:pPr>
        <w:ind w:left="320" w:right="60"/>
        <w:spacing w:after="0" w:line="259" w:lineRule="auto"/>
        <w:rPr>
          <w:sz w:val="20"/>
          <w:szCs w:val="20"/>
          <w:color w:val="auto"/>
        </w:rPr>
      </w:pPr>
      <w:r>
        <w:rPr>
          <w:rFonts w:ascii="Arial" w:cs="Arial" w:eastAsia="Arial" w:hAnsi="Arial"/>
          <w:sz w:val="18"/>
          <w:szCs w:val="18"/>
          <w:color w:val="auto"/>
        </w:rPr>
        <w:t>While a Rule 10b5-1 Plan is in effect, Designated Persons may not (i) have overlapping Rule 10b5-1 Plans in effect, providing for trades executing under more than one plan at any time (unless within an applicable exception under Rule 10b5-1(c)(1)(ii)(D) under the Securities Exchange Act) or (ii) enter into any corresponding or hedging transactions or positions with respect to the NGC securities subject to the Rule 10b5-1 Plan. In addition, the Designated Person may not enter into more than one single-trade Rule 10b5-1 Plan in any 12-month period.</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Anyone entering into a Rule 10b5-1 Plan must also comply with all Rule 10b5-1 Plan requirements adopted by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E3763"/>
        </w:rPr>
        <w:t>Additional Prohibited Transactions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Designated Persons are prohibited from:</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Entering into any margin transaction involving NGC stock;</w:t>
      </w:r>
    </w:p>
    <w:p>
      <w:pPr>
        <w:spacing w:after="0" w:line="50" w:lineRule="exact"/>
        <w:rPr>
          <w:sz w:val="20"/>
          <w:szCs w:val="20"/>
          <w:color w:val="auto"/>
        </w:rPr>
      </w:pPr>
    </w:p>
    <w:p>
      <w:pPr>
        <w:ind w:left="820" w:right="1700"/>
        <w:spacing w:after="0" w:line="313" w:lineRule="auto"/>
        <w:rPr>
          <w:sz w:val="20"/>
          <w:szCs w:val="20"/>
          <w:color w:val="auto"/>
        </w:rPr>
      </w:pPr>
      <w:r>
        <w:rPr>
          <w:rFonts w:ascii="Arial" w:cs="Arial" w:eastAsia="Arial" w:hAnsi="Arial"/>
          <w:sz w:val="18"/>
          <w:szCs w:val="18"/>
          <w:color w:val="auto"/>
        </w:rPr>
        <w:t>Trading in puts, calls, options, warrants or other similar derivative instruments involving NGC securities; Engaging in short sales of NGC securities;</w:t>
      </w:r>
    </w:p>
    <w:p>
      <w:pPr>
        <w:ind w:left="960" w:right="220" w:hanging="144"/>
        <w:spacing w:after="0" w:line="281" w:lineRule="auto"/>
        <w:rPr>
          <w:sz w:val="20"/>
          <w:szCs w:val="20"/>
          <w:color w:val="auto"/>
        </w:rPr>
      </w:pPr>
      <w:r>
        <w:rPr>
          <w:rFonts w:ascii="Arial" w:cs="Arial" w:eastAsia="Arial" w:hAnsi="Arial"/>
          <w:sz w:val="18"/>
          <w:szCs w:val="18"/>
          <w:color w:val="auto"/>
        </w:rPr>
        <w:t>Engaging in hedging or derivative transactions, such as “cashless” collars, forward contracts, equity swaps or other similar or related transactions; or</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Pledging their NGC securities as collateral for loans or other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E3763"/>
        </w:rPr>
        <w:t>Section 16 Officers</w:t>
      </w:r>
    </w:p>
    <w:p>
      <w:pPr>
        <w:spacing w:after="0" w:line="117" w:lineRule="exact"/>
        <w:rPr>
          <w:sz w:val="20"/>
          <w:szCs w:val="20"/>
          <w:color w:val="auto"/>
        </w:rPr>
      </w:pPr>
    </w:p>
    <w:p>
      <w:pPr>
        <w:ind w:left="320" w:right="40"/>
        <w:spacing w:after="0" w:line="255" w:lineRule="auto"/>
        <w:rPr>
          <w:sz w:val="20"/>
          <w:szCs w:val="20"/>
          <w:color w:val="auto"/>
        </w:rPr>
      </w:pPr>
      <w:r>
        <w:rPr>
          <w:rFonts w:ascii="Arial" w:cs="Arial" w:eastAsia="Arial" w:hAnsi="Arial"/>
          <w:sz w:val="18"/>
          <w:szCs w:val="18"/>
          <w:color w:val="auto"/>
        </w:rPr>
        <w:t>Directors and certain elected officers (collectively “Section 16 officers”) are subject to Section 16 of the Exchange Act and are reminded of their reporting obligations to file Form 3s, 4s and 5s and their possible liability to the company for “short-swing profits” as a result of transactions in shares of the company’s stock, including options. This includes NGC securities that the Section 16 officer directly or indirectly acquires, including through a holding company, or over which the Section 16 officer exercises control or direction, including shares acquired by a partnership or trust that the Section 16 officer controls. Each Section 16 officer shall notify the Corporate Vice President and Secretary of the occurrence of any purchase, sale or other acquisition or disposition of NGC securities as soon as possible following the transaction, but in any event within one business day after the transaction. Such notification may be oral or in writing (including by e-mail) and should include the identity of the covered person, the type of transaction, the date of the transaction, the number of shares involved and the purchase or sale price.</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References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CP L4, Insider Trading</w:t>
      </w:r>
    </w:p>
    <w:p>
      <w:pPr>
        <w:sectPr>
          <w:pgSz w:w="11900" w:h="16838" w:orient="portrait"/>
          <w:cols w:equalWidth="0" w:num="1">
            <w:col w:w="10740"/>
          </w:cols>
          <w:pgMar w:left="480" w:top="1440" w:right="679" w:bottom="1440" w:gutter="0" w:footer="0" w:header="0"/>
        </w:sectPr>
      </w:pPr>
    </w:p>
    <w:bookmarkStart w:id="134" w:name="page135"/>
    <w:bookmarkEnd w:id="134"/>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C-845, Permission to Engage In Transactions Involving Northrop Grumman Securities</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Authorization</w:t>
      </w:r>
    </w:p>
    <w:p>
      <w:pPr>
        <w:spacing w:after="0" w:line="108" w:lineRule="exact"/>
        <w:rPr>
          <w:sz w:val="20"/>
          <w:szCs w:val="20"/>
          <w:color w:val="auto"/>
        </w:rPr>
      </w:pPr>
    </w:p>
    <w:p>
      <w:pPr>
        <w:jc w:val="both"/>
        <w:ind w:left="320" w:right="60"/>
        <w:spacing w:after="0" w:line="268" w:lineRule="auto"/>
        <w:rPr>
          <w:sz w:val="20"/>
          <w:szCs w:val="20"/>
          <w:color w:val="auto"/>
        </w:rPr>
      </w:pPr>
      <w:r>
        <w:rPr>
          <w:rFonts w:ascii="Arial" w:cs="Arial" w:eastAsia="Arial" w:hAnsi="Arial"/>
          <w:sz w:val="18"/>
          <w:szCs w:val="18"/>
          <w:color w:val="auto"/>
        </w:rPr>
        <w:t>This procedure was authorized by the Process Owner as of the Effective Date. It is applicable to Northrop Grumman Corporation and its wholly owned subsidiaries, to all employees, officers and directors of any of them; and to others as appropriate.</w:t>
      </w:r>
    </w:p>
    <w:p>
      <w:pPr>
        <w:spacing w:after="0" w:line="63" w:lineRule="exact"/>
        <w:rPr>
          <w:sz w:val="20"/>
          <w:szCs w:val="20"/>
          <w:color w:val="auto"/>
        </w:rPr>
      </w:pPr>
    </w:p>
    <w:p>
      <w:pPr>
        <w:ind w:left="320"/>
        <w:spacing w:after="0" w:line="268" w:lineRule="auto"/>
        <w:rPr>
          <w:sz w:val="20"/>
          <w:szCs w:val="20"/>
          <w:color w:val="auto"/>
        </w:rPr>
      </w:pPr>
      <w:r>
        <w:rPr>
          <w:rFonts w:ascii="Arial" w:cs="Arial" w:eastAsia="Arial" w:hAnsi="Arial"/>
          <w:sz w:val="18"/>
          <w:szCs w:val="18"/>
          <w:color w:val="auto"/>
        </w:rPr>
        <w:t>This procedure shall be periodically reviewed (typically at least every three (3) years) to maintain currency and applicability to the company’s business and to respond to changes in legal, regulatory, or other requirements. Any deviations or exceptions to this procedure must be approved in writing by the Process Owner.</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Violations of this procedure may result in disciplinary action up to and including discharge.</w:t>
      </w:r>
    </w:p>
    <w:p>
      <w:pPr>
        <w:sectPr>
          <w:pgSz w:w="11900" w:h="16838" w:orient="portrait"/>
          <w:cols w:equalWidth="0" w:num="1">
            <w:col w:w="10560"/>
          </w:cols>
          <w:pgMar w:left="480" w:top="1440" w:right="859" w:bottom="1440" w:gutter="0" w:footer="0" w:header="0"/>
        </w:sectPr>
      </w:pPr>
    </w:p>
    <w:bookmarkStart w:id="135" w:name="page136"/>
    <w:bookmarkEnd w:id="135"/>
    <w:p>
      <w:pPr>
        <w:ind w:left="1044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NORTHROP GRUMMAN CORPORATION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for all subsidiaries 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NORTHROP GRUMMAN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 of the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2980 Fairview Park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Falls Church, Virginia 22042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0" w:type="dxa"/>
            <w:vAlign w:val="bottom"/>
          </w:tcPr>
          <w:p>
            <w:pPr>
              <w:spacing w:after="0"/>
              <w:rPr>
                <w:sz w:val="1"/>
                <w:szCs w:val="1"/>
                <w:color w:val="auto"/>
              </w:rPr>
            </w:pPr>
          </w:p>
        </w:tc>
      </w:tr>
      <w:tr>
        <w:trPr>
          <w:trHeight w:val="243"/>
        </w:trPr>
        <w:tc>
          <w:tcPr>
            <w:tcW w:w="808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Systems Corporation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Northrop Grumman Overseas Holdings, Inc.</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61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additional subsidiaries, which do not constitute significant subsidiaries.</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All the above listed subsidiaries have been consolidated in the company's consolidated financial statements.</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144"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033-59815, 033-59853, 333-67266, 333-100179, 333-107734, 333-121104, 333-125120, 333-127317, 333-175798, 333-273482, and 333-281008 on Form S-8, 333-270497 on Form S-3, and 333-264549 on Form S-4 of our reports dated January 29, 2025, relating to the financial statements of Northrop Grumman Corporation and subsidiaries, and the effectiveness of Northrop Grumman Corporation and subsidiaries' internal control over financial reporting, appearing in this Annual Report on Form 10-K for the year ended December 31, 2024.</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68"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 IN CONNECTION WITH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ANNUAL REPORT ON FORM 10-K</w:t>
      </w:r>
    </w:p>
    <w:p>
      <w:pPr>
        <w:spacing w:after="0" w:line="24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directors and officers of NORTHROP GRUMMAN CORPORATION, a Delaware corporation, does hereby appoint KATHRYN G. SIMPSON and JENNIFER C. MCGAREY, and each of them as his or her agents and attorneys-in-fact (the “Agents”), in his or her respective name and in the capacity or capacities indicated below, to execute and/or file the Annual Report on Form 10-K for the fiscal year ended December 31, 2024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Power of Attorney shall remain in full force and effect until revoked or superseded by written notice filed with the Commission.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each of the undersigned has caused this Power of Attorney to be executed as of this 29th day of January 2025.</w:t>
      </w:r>
    </w:p>
    <w:p>
      <w:pPr>
        <w:sectPr>
          <w:pgSz w:w="11900" w:h="16838" w:orient="portrait"/>
          <w:cols w:equalWidth="0" w:num="1">
            <w:col w:w="11240"/>
          </w:cols>
          <w:pgMar w:left="320" w:top="981"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P. Abney</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David P. Abney</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Marianne C. Brown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Marianne C. Brown</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 M. Fudge</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 M. Fudge</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Madeleine A. Kleiner</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Madeleine A. Kleiner</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Arvind Krishna</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Arvind Krishna</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Graham N. Robinson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Graham N. Robinson</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Kimberly A. Ross</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Kimberly A. Ross</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Gary Roughead</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Gary Roughead</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M. Schoewe</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Thomas M. Schoewe</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S. Turley</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James S. Turley</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Mark A. Welsh, III</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 A. Welsh, III</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A. Winston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Mary A. Winston</w:t>
            </w:r>
          </w:p>
        </w:tc>
        <w:tc>
          <w:tcPr>
            <w:tcW w:w="4180" w:type="dxa"/>
            <w:vAlign w:val="bottom"/>
          </w:tcPr>
          <w:p>
            <w:pPr>
              <w:spacing w:after="0"/>
              <w:rPr>
                <w:sz w:val="20"/>
                <w:szCs w:val="20"/>
                <w:color w:val="auto"/>
              </w:rPr>
            </w:pPr>
          </w:p>
        </w:tc>
      </w:tr>
      <w:tr>
        <w:trPr>
          <w:trHeight w:val="437"/>
        </w:trPr>
        <w:tc>
          <w:tcPr>
            <w:tcW w:w="2840" w:type="dxa"/>
            <w:vAlign w:val="bottom"/>
          </w:tcPr>
          <w:p>
            <w:pPr>
              <w:spacing w:after="0"/>
              <w:rPr>
                <w:sz w:val="24"/>
                <w:szCs w:val="24"/>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Chair, Chief Executive Officer and President</w:t>
            </w:r>
          </w:p>
        </w:tc>
      </w:tr>
      <w:tr>
        <w:trPr>
          <w:trHeight w:val="243"/>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Kathy J. Warden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Kathy J. Warden</w:t>
            </w:r>
          </w:p>
        </w:tc>
        <w:tc>
          <w:tcPr>
            <w:tcW w:w="4180" w:type="dxa"/>
            <w:vAlign w:val="bottom"/>
          </w:tcPr>
          <w:p>
            <w:pPr>
              <w:spacing w:after="0"/>
              <w:rPr>
                <w:sz w:val="20"/>
                <w:szCs w:val="20"/>
                <w:color w:val="auto"/>
              </w:rPr>
            </w:pPr>
          </w:p>
        </w:tc>
      </w:tr>
      <w:tr>
        <w:trPr>
          <w:trHeight w:val="437"/>
        </w:trPr>
        <w:tc>
          <w:tcPr>
            <w:tcW w:w="2840" w:type="dxa"/>
            <w:vAlign w:val="bottom"/>
          </w:tcPr>
          <w:p>
            <w:pPr>
              <w:spacing w:after="0"/>
              <w:rPr>
                <w:sz w:val="24"/>
                <w:szCs w:val="24"/>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Corporate Vice President and Chief Financial Officer</w:t>
            </w:r>
          </w:p>
        </w:tc>
      </w:tr>
      <w:tr>
        <w:trPr>
          <w:trHeight w:val="243"/>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B. Crews</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Kenneth B. Crews</w:t>
            </w:r>
          </w:p>
        </w:tc>
        <w:tc>
          <w:tcPr>
            <w:tcW w:w="4180" w:type="dxa"/>
            <w:vAlign w:val="bottom"/>
          </w:tcPr>
          <w:p>
            <w:pPr>
              <w:spacing w:after="0"/>
              <w:rPr>
                <w:sz w:val="20"/>
                <w:szCs w:val="20"/>
                <w:color w:val="auto"/>
              </w:rPr>
            </w:pPr>
          </w:p>
        </w:tc>
      </w:tr>
    </w:tbl>
    <w:p>
      <w:pPr>
        <w:sectPr>
          <w:pgSz w:w="11900" w:h="16838" w:orient="portrait"/>
          <w:cols w:equalWidth="0" w:num="1">
            <w:col w:w="10139"/>
          </w:cols>
          <w:pgMar w:left="320" w:top="1174"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sz w:val="20"/>
          <w:szCs w:val="20"/>
          <w:color w:val="auto"/>
        </w:rPr>
      </w:pPr>
    </w:p>
    <w:p>
      <w:pPr>
        <w:ind w:left="1300" w:right="460" w:hanging="644"/>
        <w:spacing w:after="0" w:line="282" w:lineRule="auto"/>
        <w:tabs>
          <w:tab w:leader="none" w:pos="129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2025</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B. Crews, certify that:</w:t>
      </w:r>
    </w:p>
    <w:p>
      <w:pPr>
        <w:spacing w:after="0" w:line="90"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sz w:val="20"/>
          <w:szCs w:val="20"/>
          <w:color w:val="auto"/>
        </w:rPr>
      </w:pPr>
    </w:p>
    <w:p>
      <w:pPr>
        <w:ind w:left="1300" w:right="460" w:hanging="644"/>
        <w:spacing w:after="0" w:line="282" w:lineRule="auto"/>
        <w:tabs>
          <w:tab w:leader="none" w:pos="129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2025</w:t>
      </w:r>
    </w:p>
    <w:p>
      <w:pPr>
        <w:spacing w:after="0" w:line="200" w:lineRule="exact"/>
        <w:rPr>
          <w:sz w:val="20"/>
          <w:szCs w:val="20"/>
          <w:color w:val="auto"/>
        </w:rPr>
      </w:pPr>
    </w:p>
    <w:p>
      <w:pPr>
        <w:spacing w:after="0" w:line="22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/s/ Kenneth B. Crews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Kenneth B. Crews</w:t>
      </w:r>
    </w:p>
    <w:p>
      <w:pPr>
        <w:spacing w:after="0" w:line="1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Northrop Grumman Corporation (the “company”) on Form 10-K for the period ended December 31, 2024,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2025</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Northrop Grumman Corporation (the “company”) on Form 10-K for the period ended December 31, 2024, as filed with the Securities and Exchange Commission on the date hereof (the “Report”), I, Kenneth B. Crews,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2025</w:t>
      </w:r>
    </w:p>
    <w:p>
      <w:pPr>
        <w:spacing w:after="0" w:line="200" w:lineRule="exact"/>
        <w:rPr>
          <w:sz w:val="20"/>
          <w:szCs w:val="20"/>
          <w:color w:val="auto"/>
        </w:rPr>
      </w:pPr>
    </w:p>
    <w:p>
      <w:pPr>
        <w:spacing w:after="0" w:line="26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/s/ Kenneth B. Crews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Kenneth B. Crews</w:t>
      </w:r>
    </w:p>
    <w:p>
      <w:pPr>
        <w:spacing w:after="0" w:line="1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decimal"/>
      <w:start w:val="1"/>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1)"/>
      <w:numFmt w:val="decimal"/>
      <w:start w:val="2"/>
    </w:lvl>
  </w:abstractNum>
  <w:abstractNum w:abstractNumId="24">
    <w:nsid w:val="7E0C57B1"/>
    <w:multiLevelType w:val="hybridMultilevel"/>
    <w:lvl w:ilvl="0">
      <w:lvlJc w:val="left"/>
      <w:lvlText w:val="•"/>
      <w:numFmt w:val="bullet"/>
      <w:start w:val="1"/>
    </w:lvl>
    <w:lvl w:ilvl="1">
      <w:lvlJc w:val="left"/>
      <w:lvlText w:val="\endash "/>
      <w:numFmt w:val="bullet"/>
      <w:start w:val="1"/>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decimal"/>
      <w:start w:val="1"/>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decimal"/>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lowerLetter"/>
      <w:start w:val="1"/>
    </w:lvl>
  </w:abstractNum>
  <w:abstractNum w:abstractNumId="40">
    <w:nsid w:val="98A3148"/>
    <w:multiLevelType w:val="hybridMultilevel"/>
    <w:lvl w:ilvl="0">
      <w:lvlJc w:val="left"/>
      <w:lvlText w:val="%1."/>
      <w:numFmt w:val="decimal"/>
      <w:start w:val="2"/>
    </w:lvl>
  </w:abstractNum>
  <w:abstractNum w:abstractNumId="41">
    <w:nsid w:val="799D0247"/>
    <w:multiLevelType w:val="hybridMultilevel"/>
    <w:lvl w:ilvl="0">
      <w:lvlJc w:val="left"/>
      <w:lvlText w:val="(%1)"/>
      <w:numFmt w:val="lowerRoman"/>
      <w:start w:val="4"/>
    </w:lvl>
  </w:abstractNum>
  <w:abstractNum w:abstractNumId="42">
    <w:nsid w:val="6B94764"/>
    <w:multiLevelType w:val="hybridMultilevel"/>
    <w:lvl w:ilvl="0">
      <w:lvlJc w:val="left"/>
      <w:lvlText w:val="(%1)"/>
      <w:numFmt w:val="lowerRoman"/>
      <w:start w:val="1"/>
    </w:lvl>
  </w:abstractNum>
  <w:abstractNum w:abstractNumId="43">
    <w:nsid w:val="42C296BD"/>
    <w:multiLevelType w:val="hybridMultilevel"/>
    <w:lvl w:ilvl="0">
      <w:lvlJc w:val="left"/>
      <w:lvlText w:val="(%1)"/>
      <w:numFmt w:val="lowerRoman"/>
      <w:start w:val="1"/>
    </w:lvl>
  </w:abstractNum>
  <w:abstractNum w:abstractNumId="44">
    <w:nsid w:val="168E121F"/>
    <w:multiLevelType w:val="hybridMultilevel"/>
    <w:lvl w:ilvl="0">
      <w:lvlJc w:val="left"/>
      <w:lvlText w:val="(%1)"/>
      <w:numFmt w:val="lowerRoman"/>
      <w:start w:val="1"/>
    </w:lvl>
  </w:abstractNum>
  <w:abstractNum w:abstractNumId="45">
    <w:nsid w:val="1EBA5D23"/>
    <w:multiLevelType w:val="hybridMultilevel"/>
    <w:lvl w:ilvl="0">
      <w:lvlJc w:val="left"/>
      <w:lvlText w:val="%1"/>
      <w:numFmt w:val="decimal"/>
      <w:start w:val="97"/>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
      <w:numFmt w:val="bullet"/>
      <w:start w:val="1"/>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
      <w:numFmt w:val="bullet"/>
      <w:start w:val="1"/>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
      <w:numFmt w:val="bullet"/>
      <w:start w:val="1"/>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
      <w:numFmt w:val="bullet"/>
      <w:start w:val="1"/>
    </w:lvl>
  </w:abstractNum>
  <w:abstractNum w:abstractNumId="93">
    <w:nsid w:val="50801EE1"/>
    <w:multiLevelType w:val="hybridMultilevel"/>
    <w:lvl w:ilvl="0">
      <w:lvlJc w:val="left"/>
      <w:lvlText w:val="%1)"/>
      <w:numFmt w:val="decimal"/>
      <w:start w:val="1"/>
    </w:lvl>
  </w:abstractNum>
  <w:abstractNum w:abstractNumId="94">
    <w:nsid w:val="488AC1A"/>
    <w:multiLevelType w:val="hybridMultilevel"/>
    <w:lvl w:ilvl="0">
      <w:lvlJc w:val="left"/>
      <w:lvlText w:val="%1."/>
      <w:numFmt w:val="decimal"/>
      <w:start w:val="1"/>
    </w:lvl>
    <w:lvl w:ilvl="1">
      <w:lvlJc w:val="left"/>
      <w:lvlText w:val="%2."/>
      <w:numFmt w:val="lowerLetter"/>
      <w:start w:val="1"/>
    </w:lvl>
  </w:abstractNum>
  <w:abstractNum w:abstractNumId="95">
    <w:nsid w:val="5FB8011C"/>
    <w:multiLevelType w:val="hybridMultilevel"/>
    <w:lvl w:ilvl="0">
      <w:lvlJc w:val="left"/>
      <w:lvlText w:val="%1)"/>
      <w:numFmt w:val="lowerLetter"/>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6" Type="http://schemas.openxmlformats.org/officeDocument/2006/relationships/image" Target="media/image101.png"/><Relationship Id="rId125" Type="http://schemas.openxmlformats.org/officeDocument/2006/relationships/image" Target="media/image102.png"/><Relationship Id="rId136" Type="http://schemas.openxmlformats.org/officeDocument/2006/relationships/image" Target="media/image103.png"/><Relationship Id="rId143" Type="http://schemas.openxmlformats.org/officeDocument/2006/relationships/image" Target="media/image104.png"/><Relationship Id="rId155" Type="http://schemas.openxmlformats.org/officeDocument/2006/relationships/image" Target="media/image105.png"/><Relationship Id="rId171" Type="http://schemas.openxmlformats.org/officeDocument/2006/relationships/image" Target="media/image106.png"/><Relationship Id="rId183" Type="http://schemas.openxmlformats.org/officeDocument/2006/relationships/image" Target="media/image107.png"/><Relationship Id="rId185" Type="http://schemas.openxmlformats.org/officeDocument/2006/relationships/image" Target="media/image108.png"/><Relationship Id="rId186" Type="http://schemas.openxmlformats.org/officeDocument/2006/relationships/image" Target="media/image109.png"/><Relationship Id="rId187" Type="http://schemas.openxmlformats.org/officeDocument/2006/relationships/image" Target="media/image110.png"/><Relationship Id="rId188" Type="http://schemas.openxmlformats.org/officeDocument/2006/relationships/image" Target="media/image111.png"/><Relationship Id="rId189" Type="http://schemas.openxmlformats.org/officeDocument/2006/relationships/image" Target="media/image112.png"/><Relationship Id="rId190" Type="http://schemas.openxmlformats.org/officeDocument/2006/relationships/image" Target="media/image113.png"/><Relationship Id="rId191" Type="http://schemas.openxmlformats.org/officeDocument/2006/relationships/image" Target="media/image114.png"/><Relationship Id="rId192" Type="http://schemas.openxmlformats.org/officeDocument/2006/relationships/image" Target="media/image115.png"/><Relationship Id="rId108" Type="http://schemas.openxmlformats.org/officeDocument/2006/relationships/hyperlink" Target="http://www.sec.gov/Archives/edgar/data/1133421/000095015717001300/ex2-1.htm" TargetMode="External"/><Relationship Id="rId109" Type="http://schemas.openxmlformats.org/officeDocument/2006/relationships/hyperlink" Target="http://www.sec.gov/Archives/edgar/data/866121/000095015714000426/ex2-1.htm" TargetMode="External"/><Relationship Id="rId110" Type="http://schemas.openxmlformats.org/officeDocument/2006/relationships/hyperlink" Target="https://www.sec.gov/Archives/edgar/data/1133421/000113342124000039/exhibit31-restatedcertific.htm" TargetMode="External"/><Relationship Id="rId111" Type="http://schemas.openxmlformats.org/officeDocument/2006/relationships/hyperlink" Target="https://www.sec.gov/Archives/edgar/data/1133421/000113342123000031/noc-form8xk051723xex32.htm" TargetMode="External"/><Relationship Id="rId112" Type="http://schemas.openxmlformats.org/officeDocument/2006/relationships/hyperlink" Target="http://www.sec.gov/Archives/edgar/data/72945/0000912057-94-003514.txt" TargetMode="External"/><Relationship Id="rId113" Type="http://schemas.openxmlformats.org/officeDocument/2006/relationships/hyperlink" Target="http://www.sec.gov/Archives/edgar/data/1133421/000095012311039852/v58707exv4w1.htm" TargetMode="External"/><Relationship Id="rId114" Type="http://schemas.openxmlformats.org/officeDocument/2006/relationships/hyperlink" Target="http://www.sec.gov/Archives/edgar/data/1133421/000095012311039852/v58707exv4w2.htm" TargetMode="External"/><Relationship Id="rId115" Type="http://schemas.openxmlformats.org/officeDocument/2006/relationships/hyperlink" Target="http://www.sec.gov/Archives/edgar/data/72945/0000912057-96-006729.txt" TargetMode="External"/><Relationship Id="rId117" Type="http://schemas.openxmlformats.org/officeDocument/2006/relationships/hyperlink" Target="http://www.sec.gov/Archives/edgar/data/1133421/000089843001500160/dex109.txt" TargetMode="External"/><Relationship Id="rId118" Type="http://schemas.openxmlformats.org/officeDocument/2006/relationships/hyperlink" Target="http://www.sec.gov/Archives/edgar/data/59880/0000950148-96-001149.txt" TargetMode="External"/><Relationship Id="rId119" Type="http://schemas.openxmlformats.org/officeDocument/2006/relationships/hyperlink" Target="http://www.sec.gov/Archives/edgar/data/1133421/000102140801500799/dex47.txt" TargetMode="External"/><Relationship Id="rId120" Type="http://schemas.openxmlformats.org/officeDocument/2006/relationships/hyperlink" Target="http://www.sec.gov/Archives/edgar/data/1133421/000089843003002012/dex4t.htm" TargetMode="External"/><Relationship Id="rId121" Type="http://schemas.openxmlformats.org/officeDocument/2006/relationships/hyperlink" Target="http://www.sec.gov/Archives/edgar/data/1133421/000095012311039852/v58707exv4w5.htm" TargetMode="External"/><Relationship Id="rId122" Type="http://schemas.openxmlformats.org/officeDocument/2006/relationships/hyperlink" Target="http://www.sec.gov/Archives/edgar/data/1133421/000095012311039852/v58707exv4w6.htm" TargetMode="External"/><Relationship Id="rId123" Type="http://schemas.openxmlformats.org/officeDocument/2006/relationships/hyperlink" Target="http://www.sec.gov/Archives/edgar/data/100030/000095015299006103/0000950152-99-006103.txt" TargetMode="External"/><Relationship Id="rId124" Type="http://schemas.openxmlformats.org/officeDocument/2006/relationships/hyperlink" Target="http://www.sec.gov/Archives/edgar/data/1133421/000095012310010126/v54508exv4wp.htm" TargetMode="External"/><Relationship Id="rId126" Type="http://schemas.openxmlformats.org/officeDocument/2006/relationships/hyperlink" Target="http://www.sec.gov/Archives/edgar/data/1133421/000095012311039852/v58707exv4w7.htm" TargetMode="External"/><Relationship Id="rId127" Type="http://schemas.openxmlformats.org/officeDocument/2006/relationships/hyperlink" Target="http://www.sec.gov/Archives/edgar/data/1133421/000095012311039852/v58707exv4w8.htm" TargetMode="External"/><Relationship Id="rId128" Type="http://schemas.openxmlformats.org/officeDocument/2006/relationships/hyperlink" Target="https://www.sec.gov/Archives/edgar/data/1133421/000095015721000904/ex4-1.htm" TargetMode="External"/><Relationship Id="rId129" Type="http://schemas.openxmlformats.org/officeDocument/2006/relationships/hyperlink" Target="https://www.sec.gov/Archives/edgar/data/1133421/000095015721000904/ex4-2.htm" TargetMode="External"/><Relationship Id="rId130" Type="http://schemas.openxmlformats.org/officeDocument/2006/relationships/hyperlink" Target="http://www.sec.gov/Archives/edgar/data/1133421/000089843001503659/dex41.txt" TargetMode="External"/><Relationship Id="rId131" Type="http://schemas.openxmlformats.org/officeDocument/2006/relationships/hyperlink" Target="http://www.sec.gov/Archives/edgar/data/1133421/000095012310102289/v57777exv4wa.htm" TargetMode="External"/><Relationship Id="rId132" Type="http://schemas.openxmlformats.org/officeDocument/2006/relationships/hyperlink" Target="http://www.sec.gov/Archives/edgar/data/1133421/000095012311039852/v58707exv4w9.htm" TargetMode="External"/><Relationship Id="rId133" Type="http://schemas.openxmlformats.org/officeDocument/2006/relationships/hyperlink" Target="http://www.sec.gov/Archives/edgar/data/1133421/000095012311039852/v58707exv4w10.htm" TargetMode="External"/><Relationship Id="rId134" Type="http://schemas.openxmlformats.org/officeDocument/2006/relationships/hyperlink" Target="http://www.sec.gov/Archives/edgar/data/1133421/000119312513243040/d545882dex4a.htm" TargetMode="External"/><Relationship Id="rId135" Type="http://schemas.openxmlformats.org/officeDocument/2006/relationships/hyperlink" Target="http://www.sec.gov/Archives/edgar/data/1133421/000119312515037499/d865409dex41.htm" TargetMode="External"/><Relationship Id="rId137" Type="http://schemas.openxmlformats.org/officeDocument/2006/relationships/hyperlink" Target="http://www.sec.gov/Archives/edgar/data/1133421/000119312516782630/d301589dex41.htm" TargetMode="External"/><Relationship Id="rId138" Type="http://schemas.openxmlformats.org/officeDocument/2006/relationships/hyperlink" Target="http://www.sec.gov/Archives/edgar/data/1133421/000119312517309966/d463997dex41.htm" TargetMode="External"/><Relationship Id="rId139" Type="http://schemas.openxmlformats.org/officeDocument/2006/relationships/hyperlink" Target="https://www.sec.gov/Archives/edgar/data/1133421/000119312520082921/d895407dex41.htm" TargetMode="External"/><Relationship Id="rId140" Type="http://schemas.openxmlformats.org/officeDocument/2006/relationships/hyperlink" Target="https://www.sec.gov/Archives/edgar/data/1133421/000119312521265095/d216834dex41.htm" TargetMode="External"/><Relationship Id="rId141" Type="http://schemas.openxmlformats.org/officeDocument/2006/relationships/hyperlink" Target="https://www.sec.gov/Archives/edgar/data/1133421/000113342120000006/noc-12312019xex4ll.htm" TargetMode="External"/><Relationship Id="rId142" Type="http://schemas.openxmlformats.org/officeDocument/2006/relationships/hyperlink" Target="https://www.sec.gov/Archives/edgar/data/1133421/000119312523028549/d454340dex41.htm" TargetMode="External"/><Relationship Id="rId144" Type="http://schemas.openxmlformats.org/officeDocument/2006/relationships/hyperlink" Target="https://www.sec.gov/Archives/edgar/data/1133421/000119312524021071/d765965dex41.htm" TargetMode="External"/><Relationship Id="rId145" Type="http://schemas.openxmlformats.org/officeDocument/2006/relationships/hyperlink" Target="https://www.sec.gov/Archives/edgar/data/1133421/000119312522227515/d387565dex101.htm" TargetMode="External"/><Relationship Id="rId146" Type="http://schemas.openxmlformats.org/officeDocument/2006/relationships/hyperlink" Target="http://www.sec.gov/Archives/edgar/data/1133421/000089843001500160/dex1010.txt" TargetMode="External"/><Relationship Id="rId147" Type="http://schemas.openxmlformats.org/officeDocument/2006/relationships/hyperlink" Target="http://www.sec.gov/Archives/edgar/data/1133421/000089843001500160/dex1011.txt" TargetMode="External"/><Relationship Id="rId148" Type="http://schemas.openxmlformats.org/officeDocument/2006/relationships/hyperlink" Target="http://www.sec.gov/Archives/edgar/data/1133421/000095013003003625/dex42.htm" TargetMode="External"/><Relationship Id="rId149" Type="http://schemas.openxmlformats.org/officeDocument/2006/relationships/hyperlink" Target="https://www.sec.gov/Archives/edgar/data/1133421/000095015721000904/ex10-1.htm" TargetMode="External"/><Relationship Id="rId150" Type="http://schemas.openxmlformats.org/officeDocument/2006/relationships/hyperlink" Target="http://www.sec.gov/Archives/edgar/data/1133421/000095012309024563/v52989exv10w1.htm" TargetMode="External"/><Relationship Id="rId151" Type="http://schemas.openxmlformats.org/officeDocument/2006/relationships/hyperlink" Target="http://www.sec.gov/Archives/edgar/data/1133421/000119312515120112/d883285ddef14a.htm#rom883285_55" TargetMode="External"/><Relationship Id="rId152" Type="http://schemas.openxmlformats.org/officeDocument/2006/relationships/hyperlink" Target="http://www.sec.gov/Archives/edgar/data/1133421/000113342115000057/noc-9302015xex101.htm" TargetMode="External"/><Relationship Id="rId153" Type="http://schemas.openxmlformats.org/officeDocument/2006/relationships/hyperlink" Target="https://www.sec.gov/Archives/edgar/data/1133421/000113342121000029/noc-3312021xex102.htm" TargetMode="External"/><Relationship Id="rId154" Type="http://schemas.openxmlformats.org/officeDocument/2006/relationships/hyperlink" Target="https://www.sec.gov/Archives/edgar/data/1133421/000113342121000029/noc-3312021xex103.htm" TargetMode="External"/><Relationship Id="rId156" Type="http://schemas.openxmlformats.org/officeDocument/2006/relationships/hyperlink" Target="https://www.sec.gov/Archives/edgar/data/1133421/000113342122000013/noc-03312022xex102.htm" TargetMode="External"/><Relationship Id="rId157" Type="http://schemas.openxmlformats.org/officeDocument/2006/relationships/hyperlink" Target="https://www.sec.gov/Archives/edgar/data/1133421/000113342123000027/noc-03312023xex101.htm" TargetMode="External"/><Relationship Id="rId158" Type="http://schemas.openxmlformats.org/officeDocument/2006/relationships/hyperlink" Target="https://www.sec.gov/ix?doc=/Archives/edgar/data/1133421/000113342123000027/noc-20230331.htm#i7d757890b2b447a198cbf1be2a3e5a15_109" TargetMode="External"/><Relationship Id="rId159" Type="http://schemas.openxmlformats.org/officeDocument/2006/relationships/hyperlink" Target="https://www.sec.gov/Archives/edgar/data/1133421/000113342123000027/noc-03312023xex102.htm" TargetMode="External"/><Relationship Id="rId160" Type="http://schemas.openxmlformats.org/officeDocument/2006/relationships/hyperlink" Target="https://www.sec.gov/Archives/edgar/data/1133421/000113342124000006/noc-12312023xex10fviii.htm" TargetMode="External"/><Relationship Id="rId161" Type="http://schemas.openxmlformats.org/officeDocument/2006/relationships/hyperlink" Target="https://www.sec.gov/Archives/edgar/data/1133421/000113342124000026/noc-03312024xex101.htm" TargetMode="External"/><Relationship Id="rId162" Type="http://schemas.openxmlformats.org/officeDocument/2006/relationships/hyperlink" Target="https://www.sec.gov/Archives/edgar/data/1133421/000113342124000026/noc-03312024xex102.htm" TargetMode="External"/><Relationship Id="rId163" Type="http://schemas.openxmlformats.org/officeDocument/2006/relationships/hyperlink" Target="http://www.sec.gov/Archives/edgar/data/1133421/000113342115000008/noc-12312014xex10h.htm" TargetMode="External"/><Relationship Id="rId164" Type="http://schemas.openxmlformats.org/officeDocument/2006/relationships/hyperlink" Target="http://www.sec.gov/Archives/edgar/data/1133421/000119312512045323/d250683dex10jii.htm" TargetMode="External"/><Relationship Id="rId165" Type="http://schemas.openxmlformats.org/officeDocument/2006/relationships/hyperlink" Target="http://www.sec.gov/Archives/edgar/data/1133421/000113342115000008/noc-12312014xex10hii.htm" TargetMode="External"/><Relationship Id="rId166" Type="http://schemas.openxmlformats.org/officeDocument/2006/relationships/hyperlink" Target="https://www.sec.gov/Archives/edgar/data/1133421/000113342124000039/exhibit101-2024longxtermin.htm" TargetMode="External"/><Relationship Id="rId167" Type="http://schemas.openxmlformats.org/officeDocument/2006/relationships/hyperlink" Target="https://www.sec.gov/Archives/edgar/data/1133421/000113342124000052/noc-06302024xex102.htm" TargetMode="External"/><Relationship Id="rId168" Type="http://schemas.openxmlformats.org/officeDocument/2006/relationships/hyperlink" Target="http://www.sec.gov/Archives/edgar/data/1133421/000113342114000006/noc-12312013xex10l.htm" TargetMode="External"/><Relationship Id="rId169" Type="http://schemas.openxmlformats.org/officeDocument/2006/relationships/hyperlink" Target="http://www.sec.gov/Archives/edgar/data/1133421/000113342114000006/noc-12312013xex10li.htm" TargetMode="External"/><Relationship Id="rId170" Type="http://schemas.openxmlformats.org/officeDocument/2006/relationships/hyperlink" Target="http://www.sec.gov/Archives/edgar/data/1133421/000113342116000065/noc-12312015xex10kiv.htm" TargetMode="External"/><Relationship Id="rId172" Type="http://schemas.openxmlformats.org/officeDocument/2006/relationships/hyperlink" Target="http://www.sec.gov/Archives/edgar/data/1133421/000113342118000005/noc-12312017xex10jv.htm" TargetMode="External"/><Relationship Id="rId173" Type="http://schemas.openxmlformats.org/officeDocument/2006/relationships/hyperlink" Target="https://www.sec.gov/Archives/edgar/data/1133421/000113342120000006/noc-12312019xex10j.htm" TargetMode="External"/><Relationship Id="rId174" Type="http://schemas.openxmlformats.org/officeDocument/2006/relationships/hyperlink" Target="https://www.sec.gov/Archives/edgar/data/1133421/000113342124000052/noc-06302024xex103.htm" TargetMode="External"/><Relationship Id="rId175" Type="http://schemas.openxmlformats.org/officeDocument/2006/relationships/hyperlink" Target="https://www.sec.gov/Archives/edgar/data/1133421/000113342123000045/noc-06302023xex101.htm" TargetMode="External"/><Relationship Id="rId176" Type="http://schemas.openxmlformats.org/officeDocument/2006/relationships/hyperlink" Target="http://www.sec.gov/Archives/edgar/data/1133421/000113342112000015/noc-3312012xex103.htm" TargetMode="External"/><Relationship Id="rId177" Type="http://schemas.openxmlformats.org/officeDocument/2006/relationships/hyperlink" Target="https://www.sec.gov/Archives/edgar/data/1133421/000113342124000026/noc-03312024xex103.htm" TargetMode="External"/><Relationship Id="rId178" Type="http://schemas.openxmlformats.org/officeDocument/2006/relationships/hyperlink" Target="https://www.sec.gov/Archives/edgar/data/1133421/000113342123000045/noc-06302023xex102.htm" TargetMode="External"/><Relationship Id="rId179" Type="http://schemas.openxmlformats.org/officeDocument/2006/relationships/hyperlink" Target="https://www.sec.gov/Archives/edgar/data/1133421/000113342119000007/noc-12312018xex10v.htm" TargetMode="External"/><Relationship Id="rId180" Type="http://schemas.openxmlformats.org/officeDocument/2006/relationships/hyperlink" Target="https://www.sec.gov/Archives/edgar/data/1133421/000113342119000021/noc-03312019xex104.htm" TargetMode="External"/><Relationship Id="rId181" Type="http://schemas.openxmlformats.org/officeDocument/2006/relationships/hyperlink" Target="https://www.sec.gov/Archives/edgar/data/1133421/000113342119000021/noc-03312019xex105.htm" TargetMode="External"/><Relationship Id="rId182" Type="http://schemas.openxmlformats.org/officeDocument/2006/relationships/hyperlink" Target="https://www.sec.gov/Archives/edgar/data/1133421/000113342120000019/noc-3312020xex104.htm" TargetMode="External"/><Relationship Id="rId184" Type="http://schemas.openxmlformats.org/officeDocument/2006/relationships/hyperlink" Target="https://www.sec.gov/Archives/edgar/data/1133421/000113342124000006/noc-12312023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2025-01-30T15:23:59Z</dcterms:created>
  <dcterms:modified xsi:type="dcterms:W3CDTF">2025-01-30T15:23:59Z</dcterms:modified>
</cp:coreProperties>
</file>