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March 31, 2023</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2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4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2023, 151,859,445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48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3"/>
              </w:rPr>
              <w:t>Basis of Presentation</w:t>
            </w:r>
          </w:p>
        </w:tc>
        <w:tc>
          <w:tcPr>
            <w:tcW w:w="202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24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15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Segment Information</w:t>
            </w:r>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10. Subsequent Event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20" w:type="dxa"/>
            <w:vAlign w:val="bottom"/>
            <w:tcBorders>
              <w:top w:val="single" w:sz="8" w:color="0000FF"/>
            </w:tcBorders>
            <w:gridSpan w:val="8"/>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10"/>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78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7,271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29"/>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8,354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03"/>
        </w:trPr>
        <w:tc>
          <w:tcPr>
            <w:tcW w:w="10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7"/>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03"/>
        </w:trPr>
        <w:tc>
          <w:tcPr>
            <w:tcW w:w="10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2,495</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2,061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6,215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924</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$7,448 for 2023 and $7,258 for 2022</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8,838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2,703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44,244</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43,755</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2,136</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10,483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$1,082 for 2023 and $1,072 for 2022</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13,770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29,108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28,443</w:t>
            </w:r>
          </w:p>
        </w:tc>
        <w:tc>
          <w:tcPr>
            <w:tcW w:w="0" w:type="dxa"/>
            <w:vAlign w:val="bottom"/>
          </w:tcPr>
          <w:p>
            <w:pPr>
              <w:spacing w:after="0"/>
              <w:rPr>
                <w:sz w:val="1"/>
                <w:szCs w:val="1"/>
                <w:color w:val="auto"/>
              </w:rPr>
            </w:pPr>
          </w:p>
        </w:tc>
      </w:tr>
      <w:tr>
        <w:trPr>
          <w:trHeight w:val="128"/>
        </w:trPr>
        <w:tc>
          <w:tcPr>
            <w:tcW w:w="7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2023—151,950,074</w:t>
            </w:r>
          </w:p>
        </w:tc>
        <w:tc>
          <w:tcPr>
            <w:tcW w:w="20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2022—153,157,924</w:t>
            </w:r>
          </w:p>
        </w:tc>
        <w:tc>
          <w:tcPr>
            <w:tcW w:w="2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44,244</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43,755</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6"/>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2,577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8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13,287</w:t>
            </w:r>
          </w:p>
        </w:tc>
      </w:tr>
      <w:tr>
        <w:trPr>
          <w:trHeight w:val="236"/>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2022 Annual Report on Form 10-K. During the first quarter of 2023, we changed the presentation of the components of other comprehensive income (loss), net of tax in the Unaudited condensed consolidated statement of earnings and comprehensive income. Prior period amounts have been recast to conform to current period presentation. This change in presentation had no impact on our previously reported comprehensive income in total.</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880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8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statutory tax rate.</w:t>
      </w:r>
    </w:p>
    <w:p>
      <w:pPr>
        <w:spacing w:after="0" w:line="7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March 31, 2022, we recorded a $67 million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EAC adjustment on the engineering, manufacturing and development (EMD) phase of the B-21 program at Aeronautics Systems. No such adjustments were material to the financial statements during the three months ended March 31,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Company backlog as of March 31, 2023 was $77.5 billion. Of our March 31, 2023 backlog, we expect to recognize approximately 40 percent as revenue over the next 12 months and 65 percent as revenue over the next 24 months, with the remainder to be recognized thereafter.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months ended March 31, 2023 and 2022 that was included in the contract liability balances at the beginning of each year was $1.7 billion and $1.4 billion,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received lease incentives for landlord funded leasehold improvements of $35 million related to a Space Systems real estate lease, which were recorded in PP&amp;E and included in non-cash investing activities. During the three months ended March 31, 2022, the company acquired $46 million of internal use software through long-term financing directly with the supplier. The software was recorded in PP&amp;E as a non-cash investing activity and the related liability was recorded in long-term debt as a non-cash financing activity. Non-cash investing activities also include capital expenditures incurred but not yet paid of $43 million and $56 million as of March 31, 2023 and 2022,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Accounting standards updates adopted and/or issued, but not effective until after March 31, 2023, are not expected to have a material effect on the company’s unaudited condensed consolidated financial position, annual results of operations and/or cash flows.</w:t>
      </w:r>
    </w:p>
    <w:p>
      <w:pPr>
        <w:spacing w:after="0" w:line="123" w:lineRule="exact"/>
        <w:rPr>
          <w:sz w:val="20"/>
          <w:szCs w:val="20"/>
          <w:color w:val="auto"/>
        </w:rPr>
      </w:pPr>
    </w:p>
    <w:p>
      <w:pPr>
        <w:ind w:right="340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rPr>
          <w:sz w:val="20"/>
          <w:szCs w:val="20"/>
          <w:color w:val="auto"/>
        </w:rPr>
      </w:pPr>
      <w:r>
        <w:rPr>
          <w:rFonts w:ascii="Times New Roman" w:cs="Times New Roman" w:eastAsia="Times New Roman" w:hAnsi="Times New Roman"/>
          <w:sz w:val="18"/>
          <w:szCs w:val="18"/>
          <w:color w:val="auto"/>
        </w:rPr>
        <w:t>We calculate basic earnings per share by dividing net earnings by the weighted-average number of shares of common stock outstanding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0.6 million shares for each of the three month periods ended March 31, 2023 and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of the company’s common stock (the “2021 Repurchase Program”). Repurchases under the 2021 Repurchase Program commenced in October 2021. As of March 31, 2023, $10 million remained under this share repurchase authorization. By its terms, the 2021 Repurchase Program is set to expire when we have used all authorized funds for repurchases.</w:t>
      </w:r>
    </w:p>
    <w:p>
      <w:pPr>
        <w:spacing w:after="0" w:line="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On January 24, 2022, the company’s board of directors authorized a new share repurchase program of up to an additional $2.0 billion in share repurchases of the company’s common stock (the “2022 Repurchase Program”). By its terms, repurchases under the 2022 Repurchase Program will commence upon completion of the 2021 Repurchase Program and will expire when we have used all authorized funds for repurchases. As of March 31, 2023, there have been no repurchases under the 2022 Repurchase Program, and the company’s total outstanding share repurchase authorization was $2.0 billion.</w:t>
      </w:r>
    </w:p>
    <w:p>
      <w:pPr>
        <w:spacing w:after="0" w:line="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is included as a reduction to Retained earnings on the unaudited condensed consolidated statement of financial position. The final number of shares to be repurchased will be based on the company's daily volume-weighted average share price during the term of the agreement, less a discount. The ASR is expected to be completed in the second quarter of 2023.</w:t>
      </w:r>
    </w:p>
    <w:p>
      <w:pPr>
        <w:spacing w:after="0" w:line="6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0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Repurchase Program</w:t>
            </w:r>
          </w:p>
        </w:tc>
        <w:tc>
          <w:tcPr>
            <w:tcW w:w="380" w:type="dxa"/>
            <w:vAlign w:val="bottom"/>
          </w:tcPr>
          <w:p>
            <w:pPr>
              <w:spacing w:after="0"/>
              <w:rPr>
                <w:sz w:val="23"/>
                <w:szCs w:val="23"/>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Amount</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4"/>
              </w:rPr>
              <w:t>Total</w:t>
            </w: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145"/>
        </w:trPr>
        <w:tc>
          <w:tcPr>
            <w:tcW w:w="2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center"/>
              <w:ind w:right="230"/>
              <w:spacing w:after="0" w:line="181" w:lineRule="exact"/>
              <w:rPr>
                <w:sz w:val="20"/>
                <w:szCs w:val="20"/>
                <w:color w:val="auto"/>
              </w:rPr>
            </w:pPr>
            <w:r>
              <w:rPr>
                <w:rFonts w:ascii="Times New Roman" w:cs="Times New Roman" w:eastAsia="Times New Roman" w:hAnsi="Times New Roman"/>
                <w:sz w:val="18"/>
                <w:szCs w:val="18"/>
                <w:color w:val="auto"/>
                <w:w w:val="98"/>
              </w:rPr>
              <w:t>Authorized</w:t>
            </w:r>
          </w:p>
        </w:tc>
        <w:tc>
          <w:tcPr>
            <w:tcW w:w="1720" w:type="dxa"/>
            <w:vAlign w:val="bottom"/>
            <w:vMerge w:val="restart"/>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Shares Retired</w:t>
            </w:r>
          </w:p>
        </w:tc>
        <w:tc>
          <w:tcPr>
            <w:tcW w:w="1480" w:type="dxa"/>
            <w:vAlign w:val="bottom"/>
            <w:vMerge w:val="restart"/>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7"/>
              </w:rPr>
              <w:t>Price</w:t>
            </w:r>
          </w:p>
        </w:tc>
        <w:tc>
          <w:tcPr>
            <w:tcW w:w="180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Date Completed</w:t>
            </w:r>
          </w:p>
        </w:tc>
        <w:tc>
          <w:tcPr>
            <w:tcW w:w="166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line="20" w:lineRule="exact"/>
              <w:rPr>
                <w:sz w:val="1"/>
                <w:szCs w:val="1"/>
                <w:color w:val="auto"/>
              </w:rPr>
            </w:pPr>
          </w:p>
        </w:tc>
      </w:tr>
      <w:tr>
        <w:trPr>
          <w:trHeight w:val="230"/>
        </w:trPr>
        <w:tc>
          <w:tcPr>
            <w:tcW w:w="20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(in millions)</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millions)</w:t>
            </w:r>
          </w:p>
        </w:tc>
        <w:tc>
          <w:tcPr>
            <w:tcW w:w="1480" w:type="dxa"/>
            <w:vAlign w:val="bottom"/>
            <w:tcBorders>
              <w:bottom w:val="single" w:sz="8" w:color="auto"/>
            </w:tcBorders>
          </w:tcPr>
          <w:p>
            <w:pPr>
              <w:jc w:val="center"/>
              <w:ind w:right="110"/>
              <w:spacing w:after="0" w:line="23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430.92</w:t>
            </w:r>
          </w:p>
        </w:tc>
        <w:tc>
          <w:tcPr>
            <w:tcW w:w="1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2,000</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INCOME TAXES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8"/>
        </w:trPr>
        <w:tc>
          <w:tcPr>
            <w:tcW w:w="8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17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first quarter 2023 effective tax rate (ETR) decreased to 15.6 percent from 16.5 percent principally due to higher current year ETR benefits associated with research credits and FDII deductions as well as favorable returns on tax-exempt marketable securities, partially offset by higher interest expense on unrecognized tax benefits. The company’s first quarter 2023 ETR includes benefits of $40 million for research credits and $15 million for foreign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derived intangible income (FDII). The company’s first quarter 2022 ETR included benefits of $41 million for research credits and $15 million for FDII.</w:t>
      </w:r>
    </w:p>
    <w:p>
      <w:pPr>
        <w:spacing w:after="0" w:line="10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$274 million as of March 31, 2023 and $850 million as of December 31, 2022.</w:t>
      </w:r>
    </w:p>
    <w:p>
      <w:pPr>
        <w:spacing w:after="0" w:line="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March 31, 2023, we have approximately $1.7 billion in unrecognized tax benefits, including</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$572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$120 million. Additionally, it is reasonably possible that within the next 12 months, unrecognized tax benefits claimed primarily related to California state apportionment in the company’s 2007 to 2016 tax years may decline by up to $100 million through administrative resolution with the California Franchise Tax Board.</w:t>
      </w:r>
    </w:p>
    <w:p>
      <w:pPr>
        <w:spacing w:after="0" w:line="6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$769 million and $728 million as of March 31, 2023 and December 31, 2022, respectively, with the remainder of our unrecognized tax benefits included within Other non-current liabilities.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2014-2020 federal tax returns and refund claims related to its 2007-2016 federal tax returns are currently under Internal Revenue Service (IRS) examination. During the second quarter of 2022, the company’s 2014-2016 federal income tax returns and refund claims related to its 2007-2016 federal tax returns reverted back from IRS Appeals to IRS examination for additional factual review.</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required to be categorized in the fair value hierarchy table below. Marketable securities are included in Other non-current assets in the unaudited condensed consolidated statements of financial position.</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March 31, 2023 and December 31, 2022 was $237 million and $221 million, respectively. The portion of notional value designated as a cash flow hedge at March 31, 2023 and December 31, 2022 was $88 million and $87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March 31, 2023 and December 31, 2022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three months ended March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estimated fair value of long-term debt was $14.4 billion and $12.1 billion as of March 31, 2023 and December 31, 2022,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which may include debt repayment (including our 3.25% senior notes due in 2023),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1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refer to the 2033 Notes and the 2053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In December 2020, the parties reached a tentative agreement regarding the steps the company would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August 3, 2022, the court approved the consent decree. We have also reached agreements with the Department of Defense and the Bethpage and South Farmingdale Water Districts to resolve claims involving these parties. Those agreements have also been approved by the courts as necessary. The company continues to be involved in related disputes with the Towns of Oyster Bay and Hempstead.</w:t>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as included in Note 6, substantial remediation costs related to the legacy Bethpage environmental conditions. It is also possible that applicable remediation standards and other requirements to which we are subject may continue to change, and that our costs may increase materially. In addition to disputes and legal proceedings related to environmental conditions and remediation at the site,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(CID) from the FTC requesting certain information relating to a potential issue regarding the company’s compliance with the Order in connection with a then pending missile competition. The company promptly provided information in response to the request. In late 2021, the company resumed discussions with staff at the FTC regarding our response and their views on compliance issues. More recently, the company received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responding to a follow-on CID. We cannot predict the outcome of those discussions, but we do not believe they are likely to have a material adverse effect on the company’s unaudited condensed consolidated financial position as of March 31, 2023, or its annual results of operations and/or cash flows. We believe the company has been and continues to be in compliance with the Order.</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on February 2, 2023, both seeking information regarding financial and cost accounting and controls that appears focused on the interest rate assumptions the company used to determine our CAS pension expense, which we have previously discussed in Note 6 below. The company is engaging with the government and responding to the requests. We cannot at this point predict the outcome of this matter.</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2023,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2023, or its annual results of operations and/or cash flows.</w:t>
      </w:r>
    </w:p>
    <w:p>
      <w:pPr>
        <w:spacing w:after="0" w:line="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have continued to exchange correspondence and engage with DCMA and DoD on this matter, including responding to requests for and providing additional information. As noted in Note 5 above, the company received from the the U.S. Department of Justice (DOJ) a criminal subpoena on December 9, 2022 and a civil investigative demand on February 2, 2023, both seeking information that appears related to the interest rate assumptions at issue in our discussions with DCMA. The company is engaging with the government and responding to the requests. We cannot at this point predict the outcome of this matter. The company is also continuing to engage with DCMA/DoD. As previously described,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B-21 Low-Rate Initial Production Options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2015, the U.S. Air Force awarded to Northrop Grumman the B-21 contract, including a base contract for engineering, manufacturing, and design (EMD) and five low-rate initial production (LRIP) options. The EMD phase of the program is largely cost type and began at contract award. The LRIP options are largely fixed price and are expected to be awarded and executed over the next decade. In the first quarter of 2023, we reviewed our estimated cost to complete the LRIP phase of the B-21 program. Principally due to the company’s estimate of the impact macroeconomic factors may have on our cost to complete the LRIP options, as well as ongoing discussions with our suppliers and our customer, we continue to believe it is reasonably possible one or more of the LRIP options could be performed at a loss and the range of such loss across the five LRIP options is between $0 and $1.2 billion. As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do not currently believe a loss is probable on any of the LRIP options, we have not recognized any such loss in our financial results for the period ended March 31,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2023 and December 31, 2022:</w:t>
      </w:r>
    </w:p>
    <w:tbl>
      <w:tblPr>
        <w:tblLayout w:type="fixed"/>
        <w:tblInd w:w="0" w:type="dxa"/>
        <w:tblCellMar>
          <w:top w:w="0" w:type="dxa"/>
          <w:left w:w="0" w:type="dxa"/>
          <w:bottom w:w="0" w:type="dxa"/>
          <w:right w:w="0" w:type="dxa"/>
        </w:tblCellMar>
      </w:tblPr>
      <w:tr>
        <w:trPr>
          <w:trHeight w:val="19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vMerge w:val="continue"/>
          </w:tcPr>
          <w:p>
            <w:pPr>
              <w:spacing w:after="0"/>
              <w:rPr>
                <w:sz w:val="21"/>
                <w:szCs w:val="21"/>
                <w:color w:val="auto"/>
              </w:rPr>
            </w:pPr>
          </w:p>
        </w:tc>
        <w:tc>
          <w:tcPr>
            <w:tcW w:w="35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570</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2023, $200 million is recorded in Other current liabilities and $370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140" w:hanging="172"/>
        <w:spacing w:after="0" w:line="254" w:lineRule="auto"/>
        <w:tabs>
          <w:tab w:leader="none" w:pos="1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March 31, 2023, $181 million is deferred in Prepaid expenses and other current assets and $317 million is deferred in Other non-current assets. These amounts are evaluated for recoverability on a routine basis.</w:t>
      </w:r>
    </w:p>
    <w:p>
      <w:pPr>
        <w:spacing w:after="0" w:line="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March 31, 2023,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2023, there were $367 million of stand-by letters of credit and guarantees and $79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At March 31, 2023, there were no commercial paper borrowings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March 31, 2023, there were no borrowings outstanding under this facility.</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RETIREMENT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p>
      <w:pPr>
        <w:spacing w:after="0" w:line="5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Pension</w:t>
      </w: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8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6"/>
        </w:trPr>
        <w:tc>
          <w:tcPr>
            <w:tcW w:w="8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31</w:t>
            </w:r>
          </w:p>
        </w:tc>
        <w:tc>
          <w:tcPr>
            <w:tcW w:w="840" w:type="dxa"/>
            <w:vAlign w:val="bottom"/>
            <w:tcBorders>
              <w:bottom w:val="single" w:sz="8" w:color="auto"/>
            </w:tcBorders>
          </w:tcPr>
          <w:p>
            <w:pPr>
              <w:spacing w:after="0"/>
              <w:rPr>
                <w:sz w:val="20"/>
                <w:szCs w:val="20"/>
                <w:color w:val="auto"/>
              </w:rPr>
            </w:pPr>
          </w:p>
        </w:tc>
      </w:tr>
      <w:tr>
        <w:trPr>
          <w:trHeight w:val="230"/>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21"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8.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over a three-year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2,515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9"/>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1,376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2,563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29"/>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9"/>
        </w:trPr>
        <w:tc>
          <w:tcPr>
            <w:tcW w:w="8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9,301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8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9"/>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79"/>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5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7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0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7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2,515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2,703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803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7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70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7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1,376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1,283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1,935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1,794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7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7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2,563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2,497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3,166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7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0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3,350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2,855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8,012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7,569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7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1,141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7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8,797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340" w:hanging="172"/>
        <w:spacing w:after="0" w:line="238" w:lineRule="auto"/>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40" w:hanging="172"/>
        <w:spacing w:after="0" w:line="232" w:lineRule="auto"/>
        <w:tabs>
          <w:tab w:leader="none" w:pos="181"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50"/>
        </w:trPr>
        <w:tc>
          <w:tcPr>
            <w:tcW w:w="7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21"/>
                <w:szCs w:val="21"/>
                <w:color w:val="auto"/>
              </w:rPr>
            </w:pPr>
          </w:p>
        </w:tc>
      </w:tr>
      <w:tr>
        <w:trPr>
          <w:trHeight w:val="250"/>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65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 xml:space="preserve">50 %  </w:t>
            </w: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1,276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1,219</w:t>
            </w:r>
          </w:p>
        </w:tc>
        <w:tc>
          <w:tcPr>
            <w:tcW w:w="11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50 %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65</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2,515</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2,703</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423</w:t>
            </w:r>
          </w:p>
        </w:tc>
        <w:tc>
          <w:tcPr>
            <w:tcW w:w="11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35 %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784</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65 %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169</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1,376</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1,283</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961</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41 %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1,365</w:t>
            </w:r>
          </w:p>
        </w:tc>
        <w:tc>
          <w:tcPr>
            <w:tcW w:w="11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59 %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237</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2,563</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2,497</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2,446</w:t>
            </w:r>
          </w:p>
        </w:tc>
        <w:tc>
          <w:tcPr>
            <w:tcW w:w="11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74 %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1,983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872</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26 %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3,350</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2,855</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5,061</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54 %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4,430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4,240</w:t>
            </w:r>
          </w:p>
        </w:tc>
        <w:tc>
          <w:tcPr>
            <w:tcW w:w="11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46 %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4,367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9,301</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8,797</w:t>
            </w:r>
          </w:p>
        </w:tc>
        <w:tc>
          <w:tcPr>
            <w:tcW w:w="72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19"/>
                <w:szCs w:val="19"/>
                <w:color w:val="auto"/>
              </w:rPr>
            </w:pPr>
          </w:p>
        </w:tc>
      </w:tr>
      <w:tr>
        <w:trPr>
          <w:trHeight w:val="250"/>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63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5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2,119</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2,295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147</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174</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2,515</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2,703</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819</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67 %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117</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128</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11 %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7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143</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12 %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1,376</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1,283</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1,950</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83 %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1,818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84</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237</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2,563</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2,497</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3,247</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98 %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2,752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45</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3,350</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2,855</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8,135</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87 %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7,656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376</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547</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6 %</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16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243</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9,301</w:t>
            </w: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8,797</w:t>
            </w:r>
          </w:p>
        </w:tc>
        <w:tc>
          <w:tcPr>
            <w:tcW w:w="72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2023, the company reached an agreement to sell its minority investment in an international business. The transaction, which is subject to final government approvals and closing conditions, is expected to be completed later this year. We currently expect to recognize a pre-tax gain of approximately $100 million when the transaction closes.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March 31, 2023, and the related condensed consolidated statements of earnings and comprehensive income, cash flows, and changes in shareholders’ equity for the three-month periods ended March 31, 2023 and 2022,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2022, and the related consolidated statements of earnings and comprehensive income, changes in shareholders’ equity, and cash flows for the year then ended (not presented herein); and in our report dated January 25, 2023, we expressed an unqualified opinion on those consolidated financial statements. In our opinion, the information set forth in the accompanying condensed consolidated statement of financial position as of December 31, 2022,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2023</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6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4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2022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conflict in Ukraine has increased global tensions and instability, highlighted threats and increased global demand, as well as further disrupted global supply chains and added costs. We have experienced a modest increase in demand for certain of our goods and services directly and indirectly related to the conflict in the Ukraine. We also have experienced a slight disruption to some of our programs and supply chain, including unanticipated cost growth, as a result of the conflict in Ukraine and economic sanctions. However, we do not have sizable business dealings in Russia or Ukraine, and do not anticipate significant adverse impacts directly from the ongoing conflict.</w:t>
      </w:r>
    </w:p>
    <w:p>
      <w:pPr>
        <w:spacing w:after="0" w:line="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More broadly, the conflict in Ukraine and threats elsewhere have heightened tensions and highlighted security requirements globally, especially in Europe and the Pacific region, as well as the U.S. We have started to see, and expect to continue to see, increased demand for defense products and services from allies and partner nations, particularly in those areas. We are actively exploring both opportunities and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Health Environment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at least March 2020, when it was first characterized as a global pandemic, COVID-19 has dramatically impacted and continues to impact the global health and economic environments, including millions of confirmed cases and deaths, business slowdowns or shutdowns, labor shortfalls, supply chain challenges, regulatory challenges, inflationary pressures and market volatility. We discussed in some detail in our Annual Reports on Form 10-K for the fiscal years ended December 31, 2020, 2021, and 2022, and subsequent SEC filings, the pandemic, its impacts and risks, and actions taken up to the time of each filing. In this Form 10-Q, we provide a further update.</w:t>
      </w:r>
    </w:p>
    <w:p>
      <w:pPr>
        <w:spacing w:after="0" w:line="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2022, direct impacts of the COVID-19 pandemic on our business generally declined, and they have remained limited in the first quarter of 2023. While we cannot predict the future course of the pandemic or its consequences, we are not currently assuming significant additional direct COVID-19 related impacts on our business.</w:t>
      </w:r>
    </w:p>
    <w:p>
      <w:pPr>
        <w:spacing w:after="0" w:line="5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continues to work to monitor and address the pandemic, including its impact on our company, our employees, our customers, our suppliers and our communities. Our goals have been, and continue to be, to keep our employees safe, to lessen the potential adverse impacts, both health and economic, and to continue to position the company for long-term success. Like the communities in which we operate, our actions have varied, and will continue to vary, depending on the spread of COVID-19 and other illnesses, applicable government requirements, and the needs of our stakeholders.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part as a result of the COVID-19 pandemic, the global economic environment has experienced, and continues to experience, extraordinary challenges, including high rates of inflation and inflationary pressures; widespread delays and disruptions in supply chains; workforce challenges, including labor shortages (especially in critical skill areas); and market volatility. These macroeconomic factors have contributed, and we expect will continue to contribute, to increased costs, delays and other performance challenges, as well as increased competing demands for limited resources to address such increased costs and other challenges, for our company, our suppliers and partners, and our customers.</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work hard to mitigate some of the challenges caused by the current macroeconomic environment on our business, including by taking steps to support our suppliers and small businesses and enhancing our workforce through extensive hiring, development and retention efforts. However, the broader macroeconomic environment, including inflationary pressures and supply chain challenges, continued adversely to affect the company’s results for the quarter ended March 31, 2023. We cannot clearly predict how long these macroeconomic challenges will continue, how they will change over time, or what additional resources will be available, but we expect to see this challenging macroeconomic environment continue adversely to impact the global economy, our customers, our industry and our company in 2023.</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December 23, 2022, the President signed the National Defense Authorization Act (NDAA) for FY 2023, which supports approximately $858 billion in FY 2023 funding for national defense, $817 billion of which is for the DoD. In addition, the FY 2023 NDAA grants DoD discretionary authority under limited circumstances to provide extraordinary relief to contractors to address certain inflationary impacts, although the DoD has not yet exercised this authority.</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29, 2022, the President signed an Omnibus appropriations act for FY 2023 that provided $858 billion for national defense programs, approximately $45 billion more than the Administration initially requested for FY 2023 and approximately $76 billion or 10 percent higher than what was appropriated in FY 2022. The Pentagon’s portion of the overall national defense budget for FY 2023 is $817 billion. It includes up to $1 billion for extraordinary relief in FY 2023.</w:t>
      </w:r>
    </w:p>
    <w:p>
      <w:pPr>
        <w:spacing w:after="0" w:line="4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9, 2023, the President proposed his budget for FY 2024 with $886 billion for national defense programs, which included $842 billion for the DoD, an increase of 3 percent, or $25 billion, above the FY 2023 enacted levels. The request does not include supplemental defense spending associated with the conflict in Ukraine.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U.S. national security budget detailed above, the U.S. has pledged over $100 billion in security assistance to address the ongoing conflict in Ukraine across FY 2022 and FY 2023, including approximately $50 billion in DoD spending. Assistance includes transfers of weapons systems from U.S. inventories, orders for production of additional weapons systems, both to backfill U.S. stockpiles and for Ukraine directly, and assistance from U.S. capabilities.</w:t>
      </w:r>
    </w:p>
    <w:p>
      <w:pPr>
        <w:spacing w:after="0" w:line="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It is difficult to predict the specific course of future defense budgets. Current and future requirements related to the conflict in Ukraine, threats in the Pacific regions and other security priorities, as well as global inflation, the national debt, the costs of the pandemic and other domestic priorities, among other things, in the U.S. and globally, will continue to impact our customers’ budgets, spending and priorities, and our industry. Current tensions within Congress and the wider U.S. political environment may also impact defense budgets, issues related to the national debt, and government spending more broadly.</w:t>
      </w:r>
    </w:p>
    <w:p>
      <w:pPr>
        <w:spacing w:after="0" w:line="4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our nation and our allies, and the need for strong deterrence and a robust defense capability. We believe our capabilities, particularly in space, C4ISR, missile defense, battle management, advanced weapons, survivable aircraft and mission systems should help our customers in the U.S. and globally defend against current and future threats and, as a result, continue to allow for long-term profitable business growth.</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January 2023, the statutory debt ceiling was reached, and the Treasury Department reported that it began taking “extraordinary measures” to finance the government and avoid a breach of the debt ceiling. Issues related to the debt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ceiling continue to be a subject of considerable debate. If the existing debt ceiling is not raised, we may be required to continue to perform for some period of time on certain of our U.S. Government contracts even if the U.S. Government is unable to make timely payments. An extended debt ceiling breach could negatively affect the availability and timing of funding for our programs, including the timely payment of our billings, and could delay or otherwise impact purchasing decisions and/or program execution by the U.S. Government. We expect statutory action will be needed in 2023 to increase or suspend the debt ceiling.</w:t>
      </w:r>
    </w:p>
    <w:p>
      <w:pPr>
        <w:spacing w:after="0" w:line="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More broadly, we have seen, and expect to continue to see, an accelerated pace of new rulemakings, new and expanded uses of existing authorities, changing legal rulings and landscapes, and aggressive enforcement actions. These changes and the accelerated pace of change, not only impose additional obligations and risk, but also create further uncertainty regarding our operating environment.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are expected to continue to be the subject of considerable debate, especially in light of the ongoing conflict in Ukraine and heightened global tensions, the inflationary environment and political tensions. The results of those debates could have material impacts on defense spending broadly and the company’s programs in particular. We anticipate that the broader macroeconomic environment, with ongoing inflationary pressures, labor challenges, and supply chain disruption, among other considerations, will continue to play a significant role in the outcome of these debates and, in turn, on our industry and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9,301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8,797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8,354</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30"/>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89.8 %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89.8 %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947</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30"/>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10.2 %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156</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15.6 %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30"/>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First quarter 2023 sales increased $504 million, or 6 percent, due to higher sales at Space Systems, Defense Systems and Mission Systems, partially offset by lower sales at Aeronautics Systems. First quarter 2023 sales reflect continued strong demand.</w:t>
      </w:r>
    </w:p>
    <w:p>
      <w:pPr>
        <w:spacing w:after="0" w:line="46"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First quarter 2023 operating income increased $50 million, or 6 percent, due to lower unallocated corporate expense and a reduction in the FAS/CAS operating adjustment, partially offset by lower segment operating income. First quarter 2023 operating margin rate of 10.2 percent was comparable to the prior year period.</w:t>
      </w:r>
    </w:p>
    <w:p>
      <w:pPr>
        <w:spacing w:after="0" w:line="6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First quarter 2023 G&amp;A costs as a percentage of sales of 11.2 percent was comparable with the prior year period and reflects continued investments for future business opportunities.</w:t>
      </w:r>
    </w:p>
    <w:p>
      <w:pPr>
        <w:spacing w:after="0" w:line="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first quarter 2023 ETR decreased to 15.6 percent from 16.5 percent principally due to higher current year ETR benefits associated with research credits and FDII deductions as well as favorable returns on tax-exempt marketable securities, partially offset by higher interest expense on unrecognized tax benefits. See Note 3 to the financial statements for additional information.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First quarter 2023 net earnings decreased $113 million, or 12 percent, primarily due to a $244 million reduction in the non-operating FAS pension benefit, partially offset by higher operating income, a $34 million increase in returns on marketable securities related to our non-qualified benefit plans, and a lower effective tax rate.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First quarter 2023 diluted earnings per share decreased 10 percent, reflecting lower net earnings and a 2 percent reduction in weighted-average diluted shares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Mission Systems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Space Systems</w:t>
            </w:r>
          </w:p>
        </w:tc>
      </w:tr>
      <w:tr>
        <w:trPr>
          <w:trHeight w:val="169"/>
        </w:trPr>
        <w:tc>
          <w:tcPr>
            <w:tcW w:w="2620" w:type="dxa"/>
            <w:vAlign w:val="bottom"/>
            <w:shd w:val="clear" w:color="auto" w:fill="CCEEFF"/>
          </w:tcPr>
          <w:p>
            <w:pPr>
              <w:spacing w:after="0"/>
              <w:rPr>
                <w:sz w:val="14"/>
                <w:szCs w:val="14"/>
                <w:color w:val="auto"/>
              </w:rPr>
            </w:pPr>
          </w:p>
        </w:tc>
        <w:tc>
          <w:tcPr>
            <w:tcW w:w="2880" w:type="dxa"/>
            <w:vAlign w:val="bottom"/>
            <w:shd w:val="clear" w:color="auto" w:fill="CCEEFF"/>
          </w:tcPr>
          <w:p>
            <w:pPr>
              <w:jc w:val="center"/>
              <w:ind w:left="150"/>
              <w:spacing w:after="0" w:line="169" w:lineRule="exact"/>
              <w:rPr>
                <w:sz w:val="20"/>
                <w:szCs w:val="20"/>
                <w:color w:val="auto"/>
              </w:rPr>
            </w:pPr>
            <w:r>
              <w:rPr>
                <w:rFonts w:ascii="Times New Roman" w:cs="Times New Roman" w:eastAsia="Times New Roman" w:hAnsi="Times New Roman"/>
                <w:sz w:val="18"/>
                <w:szCs w:val="18"/>
                <w:color w:val="auto"/>
                <w:w w:val="99"/>
              </w:rPr>
              <w:t>Battle Management &amp; Missile</w:t>
            </w:r>
          </w:p>
        </w:tc>
        <w:tc>
          <w:tcPr>
            <w:tcW w:w="304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r>
      <w:tr>
        <w:trPr>
          <w:trHeight w:val="243"/>
        </w:trPr>
        <w:tc>
          <w:tcPr>
            <w:tcW w:w="26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Autonomous Systems</w:t>
            </w:r>
          </w:p>
        </w:tc>
        <w:tc>
          <w:tcPr>
            <w:tcW w:w="2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Systems</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Airborne Multifunction Sensors</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Launch &amp; Strategic Missiles</w:t>
            </w:r>
          </w:p>
        </w:tc>
      </w:tr>
      <w:tr>
        <w:trPr>
          <w:trHeight w:val="230"/>
        </w:trPr>
        <w:tc>
          <w:tcPr>
            <w:tcW w:w="2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Manned Aircraft</w:t>
            </w:r>
          </w:p>
        </w:tc>
        <w:tc>
          <w:tcPr>
            <w:tcW w:w="2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Mission Readiness</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Maritime/Land Systems &amp; Sensors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Space</w:t>
            </w: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Navigation, Targeting &amp;</w:t>
            </w:r>
          </w:p>
        </w:tc>
        <w:tc>
          <w:tcPr>
            <w:tcW w:w="2680" w:type="dxa"/>
            <w:vAlign w:val="bottom"/>
            <w:shd w:val="clear" w:color="auto" w:fill="CCEEFF"/>
          </w:tcPr>
          <w:p>
            <w:pPr>
              <w:spacing w:after="0"/>
              <w:rPr>
                <w:sz w:val="15"/>
                <w:szCs w:val="15"/>
                <w:color w:val="auto"/>
              </w:rPr>
            </w:pPr>
          </w:p>
        </w:tc>
      </w:tr>
      <w:tr>
        <w:trPr>
          <w:trHeight w:val="243"/>
        </w:trPr>
        <w:tc>
          <w:tcPr>
            <w:tcW w:w="26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Survivability</w:t>
            </w:r>
          </w:p>
        </w:tc>
        <w:tc>
          <w:tcPr>
            <w:tcW w:w="2680" w:type="dxa"/>
            <w:vAlign w:val="bottom"/>
            <w:shd w:val="clear" w:color="auto" w:fill="CCEEFF"/>
          </w:tcPr>
          <w:p>
            <w:pPr>
              <w:spacing w:after="0"/>
              <w:rPr>
                <w:sz w:val="21"/>
                <w:szCs w:val="2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Networked Information Solutions</w:t>
            </w:r>
          </w:p>
        </w:tc>
        <w:tc>
          <w:tcPr>
            <w:tcW w:w="2680" w:type="dxa"/>
            <w:vAlign w:val="bottom"/>
            <w:tcBorders>
              <w:bottom w:val="single" w:sz="8" w:color="auto"/>
            </w:tcBorders>
          </w:tcPr>
          <w:p>
            <w:pPr>
              <w:spacing w:after="0"/>
              <w:rPr>
                <w:sz w:val="19"/>
                <w:szCs w:val="19"/>
                <w:color w:val="auto"/>
              </w:rPr>
            </w:pPr>
          </w:p>
        </w:tc>
      </w:tr>
    </w:tbl>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10.2 %</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4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7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3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29"/>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23"/>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1,002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7"/>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340" w:type="dxa"/>
            <w:vAlign w:val="bottom"/>
            <w:tcBorders>
              <w:bottom w:val="single" w:sz="8" w:color="auto"/>
            </w:tcBorders>
            <w:shd w:val="clear" w:color="auto" w:fill="CCEEFF"/>
          </w:tcPr>
          <w:p>
            <w:pPr>
              <w:spacing w:after="0"/>
              <w:rPr>
                <w:sz w:val="20"/>
                <w:szCs w:val="20"/>
                <w:color w:val="auto"/>
              </w:rPr>
            </w:pPr>
          </w:p>
        </w:tc>
      </w:tr>
    </w:tbl>
    <w:p>
      <w:pPr>
        <w:spacing w:after="0" w:line="15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First quarter 2023 segment operating income decreased $35 million, or 3 percent, and includes an approximately $50 million reduction related to higher projected CAS pension costs on the company’s fixed price contracts. Segment operating margin rate decreased to 10.8 percent from 11.8 percent and reflects lower operating margin rates at Aeronautics Systems, Mission Systems and Defense Systems, partially offset by a higher operating margin rate at Space Systems.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First quarter 2023 FAS/CAS operating adjustment decreased primarily due to lower FAS pension service expense resulting from changes in certain actuarial assumptions as of December 31, 2022.</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 (Income)</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decrease in unallocated corporate expense is primarily due to lower intangible asset amortization and PP&amp;E step-up depreciation as well as a reduction in unallowable corporate costs.</w:t>
      </w:r>
    </w:p>
    <w:p>
      <w:pPr>
        <w:spacing w:after="0" w:line="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the aggregate amounts are presented in the table below:</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60" w:type="dxa"/>
            <w:vAlign w:val="bottom"/>
          </w:tcPr>
          <w:p>
            <w:pPr>
              <w:spacing w:after="0"/>
              <w:rPr>
                <w:sz w:val="18"/>
                <w:szCs w:val="18"/>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r>
      <w:tr>
        <w:trPr>
          <w:trHeight w:val="236"/>
        </w:trPr>
        <w:tc>
          <w:tcPr>
            <w:tcW w:w="8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31</w:t>
            </w:r>
          </w:p>
        </w:tc>
        <w:tc>
          <w:tcPr>
            <w:tcW w:w="820" w:type="dxa"/>
            <w:vAlign w:val="bottom"/>
            <w:tcBorders>
              <w:bottom w:val="single" w:sz="8" w:color="auto"/>
            </w:tcBorders>
          </w:tcPr>
          <w:p>
            <w:pPr>
              <w:spacing w:after="0"/>
              <w:rPr>
                <w:sz w:val="20"/>
                <w:szCs w:val="20"/>
                <w:color w:val="auto"/>
              </w:rPr>
            </w:pPr>
          </w:p>
        </w:tc>
      </w:tr>
      <w:tr>
        <w:trPr>
          <w:trHeight w:val="230"/>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(280)</w:t>
            </w: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r>
      <w:tr>
        <w:trPr>
          <w:trHeight w:val="234"/>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tcPr>
          <w:p>
            <w:pPr>
              <w:spacing w:after="0"/>
              <w:rPr>
                <w:sz w:val="19"/>
                <w:szCs w:val="19"/>
                <w:color w:val="auto"/>
              </w:rPr>
            </w:pPr>
          </w:p>
        </w:tc>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20"/>
                <w:szCs w:val="20"/>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2,515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9.4 %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2023 sales decreased $188 million, or 7 percent, due to lower volume in both Manned Aircraft and Autonomous Systems, including E-2, F-35,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F/A-18 and Global Hawk, as well as lower volume on the Joint Surveillance and Target Attack Radar System (JSTARS) program as it nears completion.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decreases were partially offset by higher volume on restricted programs.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First quarter 2023 operating income decreased $70 million, or 23 percent, due to a lower operating margin rate and lower sales. Operating margin rate decreased to 9.4 percent from 11.4 percent primarily due to lower net EAC adjustments. The prior year period includes a $67 million favorable EAC adjustment on the engineering, manufacturing and development (EMD) phase of the B-21 program.</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1,376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11.6 %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First quarter 2023 sales increased $93 million, or 7 percent, due to higher volume in both business areas. Battle Management &amp; Missile Systems sales increased primarily due to higher volume on the Integrated Air and Missile Defense Battle Command System (IBCS) program and ramp-up on the 120mm Tank Training ammunition program. Mission Readiness sales increased primarily due to higher volume on an international training program, partially offset by wind-down of the JSTARS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First quarter 2023 operating income increased $5 million, or 3 percent, due to higher sales, partially offset by a lower operating margin rate. Operating margin rate decreased to 11.6 percent from 12.1 percent primarily due to lower net EAC adjustments at Battle Management &amp; Missile Systems, partially offset by improved performance at Mission Readiness.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2,563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360</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14.0 %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15.4 %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First quarter 2023 sales increased $66 million, or 3 percent, and reflects higher volume in all four business areas, including higher restricted sales in the Networked Information Solutions business area as well as higher volume on the Surface Electronic Warfare Improvement Program (SEWIP), marine systems programs and infrared countermeasure programs. These increases were partially offset by lower volume on the Ground/Air Task Oriented Radar (G/ATOR) program and airborne radar programs, including F-35.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First quarter 2023 operating income decreased $25 million, or 6 percent, due to a lower operating margin rate, partially offset by higher sales. Operating margin rate decreased to 14.0 percent from 15.4 percent principally due to changes in contract mix toward more cost-type content and a loss recognized in connection with an unconsolidated joint venture.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3,350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313</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9.1 %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First quarter 2023 sales increased $495 million, or 17 percent, due to higher volume in both business areas. Launch &amp; Strategic Missiles sales increased primarily due to ramp-up on development programs, including a $161 million increase on the Ground Based Strategic Deterrent (GBSD) program and higher volume on the Next Generation Interceptor (NGI) and Ground-based Midcourse Defense Weapon Systems (GWS) programs. Sales in the Space business area increased primarily due to higher volume on restricted programs, the Next-Generation Overhead Persistent Infrared Polar (NextGen Polar) program and the Space Development Agency (SDA) Tranche 1 Tracking Layer program. These increases were partially offset by lower volume for Commercial Resupply Services (CRS) missions.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First quarter 2023 operating income increased $52 million, or 20 percent, due to higher sales and a higher operating margin rate. Operating margin rate increased to 9.3 percent from 9.1 percent primarily due to a higher operating margin rate at Launch &amp; Strategic Missiles, including the sale of a license to a customer, partially offset by lower net EAC adjustments in the Space business area.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69"/>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Operating Costs</w:t>
            </w:r>
          </w:p>
        </w:tc>
        <w:tc>
          <w:tcPr>
            <w:tcW w:w="0" w:type="dxa"/>
            <w:vAlign w:val="bottom"/>
          </w:tcPr>
          <w:p>
            <w:pPr>
              <w:spacing w:after="0"/>
              <w:rPr>
                <w:sz w:val="1"/>
                <w:szCs w:val="1"/>
                <w:color w:val="auto"/>
              </w:rPr>
            </w:pPr>
          </w:p>
        </w:tc>
      </w:tr>
      <w:tr>
        <w:trPr>
          <w:trHeight w:val="176"/>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and Expenses</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9,301</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24"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First quarter 2023 product sales increased $430 million, or 6 percent, primarily due to an increase in product sales at Space Systems, partially offset by a decrease in product sales at Aeronautics Systems. The increase at Space Systems was driven by ramp-up on development programs, including GBSD and NGI, and higher volume on restricted programs, GWS, NextGen Polar and the SDA Tranche 1 Tracking Layer program. The decrease at Aeronautics Systems was driven by lower volume on the E-2, F-35, and Global Hawk programs.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First quarter 2023 product costs increased $475 million, or 8 percent, consistent with the higher product sales described above and reflect a lower operating margin rate principally due to lower net EAC adjustments on Aeronautics Systems production programs.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First quarter 2023 service sales increased $74 million, or 4 percent, primarily due to an increase in service sales at Defense Systems and Space Systems, partially offset by a decrease in service sales at Aeronautics Systems. The increase at Defense Systems was driven by higher volume on an international training program. The increase at Space Systems was principally due to higher volume on the Specialized Warfighter Development Contract (SWDC) program, restricted programs and the ICBM Ground Subsystem Support program. The decrease at Aeronautics Systems was driven by lower volume on the JSTARS program as it nears completion.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2023 service costs increased $64 million, or 4 percent, consistent with the higher service sales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March 31, 2023 and December 31,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5,933</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3,440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24,648</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38,177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77,473</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Awards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First quarter 2023 net awards totaled $8.0 billion and backlog totaled $77.5 billion. Significant first quarter new awards include $3.2 billion for restricted programs (primarily at Mission Systems, Aeronautics Systems, and Space Systems), $0.3 billion for ammunition programs at Defense Systems, $0.3 billion for the Multi-Role Electronically Scanned Array (MESA) program and $0.2 billion for SEWIP.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and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2023, we had $2.5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2023, we renewed our one-year $500 million uncommitted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credit facility. At March 31, 2023, there were no borrowings outstanding under these credit facilities. In February 2023, we issued $2.0 billion of unsecured senior notes. We intend to use those proceeds for general corporate purposes, which may include debt repayment (including our 3.25% senior notes due in 2023), share repurchases and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the CARES Act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3610 of the Coronavirus Aid, Relief, and Economic Security Act (the “CARES Act”) authorized the government to reimburse qualifying contractors for certain costs of providing paid leave to employees as a result of COVID-19. The company has sought and may continue to seek recovery for certain COVID-19-related costs under Section 3610 of the CARES Act and through our contract provisions, though it is unclear what funds will be available and how much we will be able to recover. In addition, during 2020, the DoD increased the rate for certain progress payments from 80 percent to 90 percent for costs incurred and work performed on relevant contracts. Recently, the DoD has indicated it may revert to the 80 percent progress payment rate on prospectively awarded contracts. We expect this reversion may occur during 2023, but that it would not have a material impact on our 2023 cash from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Code (IRC) Section 174</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2022 cash from operations were reduced by approximately $900 million for federal tax payments we made related to Section 174. In the future, Congress may consider legislation that would defer the amortization requirement to later years, possibly with retroactive effect. In the meantime, we expect to continue to make additional federal tax payments based on the current Section 174 tax law, which we estimate will reduce our 2023 cash from operations by approximately $720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non-cash lease expense, stock based compensation expense, deferred income taxes and net periodic pension and OPB income.</w:t>
      </w:r>
    </w:p>
    <w:p>
      <w:pPr>
        <w:spacing w:after="0" w:line="6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First quarter 2023 net cash used in operating activities increased $214 million as compared with the same period in 2022 principally due to increases in trade working capital, largely related to the timing of vendor payments. The net use of cash during the first quarter is consistent with the company's historical timing of operating cash flows, which are generally more heavily weighted towards the second half of the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net cash used in operating activities to adjusted free cash flow:</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720" w:type="dxa"/>
            <w:vAlign w:val="bottom"/>
          </w:tcPr>
          <w:p>
            <w:pPr>
              <w:spacing w:after="0"/>
              <w:rPr>
                <w:sz w:val="24"/>
                <w:szCs w:val="24"/>
                <w:color w:val="auto"/>
              </w:rPr>
            </w:pPr>
          </w:p>
        </w:tc>
        <w:tc>
          <w:tcPr>
            <w:tcW w:w="22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31</w:t>
            </w:r>
          </w:p>
        </w:tc>
        <w:tc>
          <w:tcPr>
            <w:tcW w:w="840" w:type="dxa"/>
            <w:vAlign w:val="bottom"/>
            <w:tcBorders>
              <w:bottom w:val="single" w:sz="8" w:color="auto"/>
            </w:tcBorders>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First quarter 2023 adjusted free cash flow decreased $279 million as compared with the same period in 2022 due to higher net cash used in operating activities and an increase in capital expenditures.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First quarter 2023 net cash used in investing activities increased $60 million as compared with the same period in 2022 principally due to higher capital expenditures.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First quarter 2023 net cash provided by financing activities was $929 million compared to net cash used in financing activities of $619 million in the prior year period principally due to the issuance of $2.0 billion in long-term debt, partially offset by a $405 million increase in share repurchases.</w:t>
      </w:r>
    </w:p>
    <w:p>
      <w:pPr>
        <w:spacing w:after="0" w:line="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6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4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estimates or judgments from those discussed in our 2022 Annual Report on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2022 Annual Report on Form 10-K and from time to time in our other filings with the Securities and Exchange Commission (SEC). These risks and uncertainties are amplified by the global macroeconomic, health, security and political environments, including inflationary pressures, labor and supply chain challenges and the COVID-19 pandemic, which have caused and will continue to cause significant challenges, instability and uncertainty. They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and/or for our programs, and U.S. government funding and program support more broadly, including as a result of a prolonged continuing resolution and/or government shutdown, and/or related to hostilities and other global events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10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44"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inflation, supply chain delays and disruptions, and labor challenges, including on costs, schedules, performance and ability to meet expectations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9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90" w:lineRule="exact"/>
        <w:rPr>
          <w:sz w:val="20"/>
          <w:szCs w:val="20"/>
          <w:color w:val="auto"/>
        </w:rPr>
      </w:pPr>
    </w:p>
    <w:p>
      <w:pPr>
        <w:ind w:left="340" w:right="8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pandemics, including the COVID-19 pandemic, such as labor, supply chain or financial, schedule or cost impacts (without corresponding recovery), among other impacts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9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including especially climate change, their impacts on our company, our operations and our stakeholders (employees, suppliers, customers, shareholders and regulators), and changes in laws, regulations and priorities related to these issues</w:t>
      </w:r>
    </w:p>
    <w:p>
      <w:pPr>
        <w:spacing w:after="0" w:line="2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40" w:right="6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progress digital transformation, and maintain technologies, facilities, and equipment to win new competitions and meet the needs of our customers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9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i w:val="1"/>
          <w:iCs w:val="1"/>
          <w:color w:val="auto"/>
        </w:rPr>
      </w:pPr>
    </w:p>
    <w:p>
      <w:pPr>
        <w:ind w:left="340" w:right="4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2022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2023,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2023,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2022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2022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March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18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4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8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6"/>
                <w:szCs w:val="16"/>
                <w:color w:val="auto"/>
              </w:rPr>
            </w:pPr>
          </w:p>
        </w:tc>
        <w:tc>
          <w:tcPr>
            <w:tcW w:w="1180" w:type="dxa"/>
            <w:vAlign w:val="bottom"/>
          </w:tcPr>
          <w:p>
            <w:pPr>
              <w:jc w:val="center"/>
              <w:ind w:right="277"/>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7"/>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Share</w:t>
            </w:r>
            <w:r>
              <w:rPr>
                <w:rFonts w:ascii="Times New Roman" w:cs="Times New Roman" w:eastAsia="Times New Roman" w:hAnsi="Times New Roman"/>
                <w:sz w:val="10"/>
                <w:szCs w:val="10"/>
                <w:b w:val="1"/>
                <w:bCs w:val="1"/>
                <w:color w:val="auto"/>
              </w:rPr>
              <w:t>(1)(2)</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27, 2023</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477.68</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150,723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28, 2023 - February 24, 2023</w:t>
            </w: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1,049,133</w:t>
            </w:r>
          </w:p>
        </w:tc>
        <w:tc>
          <w:tcPr>
            <w:tcW w:w="260" w:type="dxa"/>
            <w:vAlign w:val="bottom"/>
          </w:tcPr>
          <w:p>
            <w:pPr>
              <w:spacing w:after="0"/>
              <w:rPr>
                <w:sz w:val="19"/>
                <w:szCs w:val="19"/>
                <w:color w:val="auto"/>
              </w:rPr>
            </w:pPr>
          </w:p>
        </w:tc>
        <w:tc>
          <w:tcPr>
            <w:tcW w:w="1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443.06</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1,049,133</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25, 2023 - March 31, 2023</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187,828</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457.54</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187,828</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1,387,684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448.78</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1,387,684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3" w:lineRule="exact"/>
        <w:rPr>
          <w:rFonts w:ascii="Times New Roman" w:cs="Times New Roman" w:eastAsia="Times New Roman" w:hAnsi="Times New Roman"/>
          <w:sz w:val="19"/>
          <w:szCs w:val="19"/>
          <w:color w:val="auto"/>
          <w:vertAlign w:val="superscript"/>
        </w:rPr>
      </w:pPr>
    </w:p>
    <w:p>
      <w:pPr>
        <w:ind w:left="180" w:right="200" w:hanging="172"/>
        <w:spacing w:after="0" w:line="254" w:lineRule="auto"/>
        <w:tabs>
          <w:tab w:leader="none" w:pos="16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first quarter of 2023, the company entered into an accelerated share repurchase (ASR) agreement with Bank of America, N.A. to repurchase $500 million of the company's common stock and received an initial delivery of shares representing 80 percent of the share repurchase agreement.</w:t>
      </w:r>
    </w:p>
    <w:p>
      <w:pPr>
        <w:spacing w:after="0" w:line="5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980" w:hanging="2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 </w:t>
      </w:r>
      <w:hyperlink r:id="rId45">
        <w:r>
          <w:rPr>
            <w:rFonts w:ascii="Times New Roman" w:cs="Times New Roman" w:eastAsia="Times New Roman" w:hAnsi="Times New Roman"/>
            <w:sz w:val="17"/>
            <w:szCs w:val="17"/>
            <w:u w:val="single" w:color="auto"/>
            <w:color w:val="0000FF"/>
          </w:rPr>
          <w:t>Eleventh Supplemental Indenture, dated as of February 8, 2023, between Northrop Grumman Corporation and The Bank of New York</w:t>
        </w:r>
      </w:hyperlink>
      <w:r>
        <w:rPr>
          <w:rFonts w:ascii="Times New Roman" w:cs="Times New Roman" w:eastAsia="Times New Roman" w:hAnsi="Times New Roman"/>
          <w:sz w:val="17"/>
          <w:szCs w:val="17"/>
          <w:color w:val="auto"/>
        </w:rPr>
        <w:t xml:space="preserve"> </w:t>
      </w:r>
      <w:hyperlink r:id="rId45">
        <w:r>
          <w:rPr>
            <w:rFonts w:ascii="Times New Roman" w:cs="Times New Roman" w:eastAsia="Times New Roman" w:hAnsi="Times New Roman"/>
            <w:sz w:val="17"/>
            <w:szCs w:val="17"/>
            <w:u w:val="single" w:color="auto"/>
            <w:color w:val="0000FF"/>
          </w:rPr>
          <w:t>Mellon, as successor to JPMorgan Chase Bank, Trustee, to Indenture dated as of November 21, 2001 (incorporated by reference to Exhibit 4.1</w:t>
        </w:r>
      </w:hyperlink>
    </w:p>
    <w:p>
      <w:pPr>
        <w:ind w:left="98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to Form 8-K filed February 8, 2023, File No. 001-16411)</w:t>
        </w:r>
      </w:hyperlink>
    </w:p>
    <w:p>
      <w:pPr>
        <w:spacing w:after="0" w:line="57" w:lineRule="exact"/>
        <w:rPr>
          <w:sz w:val="20"/>
          <w:szCs w:val="20"/>
          <w:color w:val="auto"/>
        </w:rPr>
      </w:pPr>
    </w:p>
    <w:p>
      <w:pPr>
        <w:ind w:left="9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45">
        <w:r>
          <w:rPr>
            <w:rFonts w:ascii="Times New Roman" w:cs="Times New Roman" w:eastAsia="Times New Roman" w:hAnsi="Times New Roman"/>
            <w:sz w:val="18"/>
            <w:szCs w:val="18"/>
            <w:u w:val="single" w:color="auto"/>
            <w:color w:val="0000FF"/>
          </w:rPr>
          <w:t>Form of 4.700% Senior Note due 2033 (included in Exhibit 4.1) (incorporated by reference to Exhibit 4.2 to Form 8-K filed February 8,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45">
        <w:r>
          <w:rPr>
            <w:rFonts w:ascii="Times New Roman" w:cs="Times New Roman" w:eastAsia="Times New Roman" w:hAnsi="Times New Roman"/>
            <w:sz w:val="18"/>
            <w:szCs w:val="18"/>
            <w:u w:val="single" w:color="auto"/>
            <w:color w:val="0000FF"/>
          </w:rPr>
          <w:t>Form of 4.950% Senior Note due 2053 (included in Exhibit 4.1) (incorporated by reference to Exhibit 4.3 to Form 8-K filed February 8,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right="140" w:hanging="541"/>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2023 Restricted Stock Rights Grant Agreement Specifying Terms and Conditions Applicable to 2023 Restricted Stock Rights Granted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2011 Long-Term Incentive Stock Plan</w:t>
      </w:r>
    </w:p>
    <w:p>
      <w:pPr>
        <w:spacing w:after="0" w:line="64" w:lineRule="exact"/>
        <w:rPr>
          <w:sz w:val="20"/>
          <w:szCs w:val="20"/>
          <w:color w:val="auto"/>
        </w:rPr>
      </w:pPr>
    </w:p>
    <w:p>
      <w:pPr>
        <w:ind w:left="980" w:right="260" w:hanging="541"/>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2023 Restricted Performance Stock Rights Grant Agreement Specifying Terms and Conditions Applicable to 2023 Restricted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Rights Granted under the 2011 Long-Term Incentive Stock Plan</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0000FF"/>
        </w:rPr>
        <w:t>Group Personal Excess Liability Policy effective January 1, 2023</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60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David F. Keffer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David F. Keffer pursuant to Section 906 of the Sarbanes-Oxley Act of 2002</w:t>
      </w:r>
    </w:p>
    <w:p>
      <w:pPr>
        <w:ind w:left="980" w:right="42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March 31, 2023, formatted as inline XBRL (Extensible Business Reporting Language): (i) the Cover Page, (ii) Condensed Consolidated Statements of Earnings and Comprehensive</w:t>
      </w:r>
    </w:p>
    <w:p>
      <w:pPr>
        <w:ind w:left="980" w:right="140"/>
        <w:spacing w:after="0" w:line="231"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ind w:left="980" w:hanging="630"/>
        <w:spacing w:after="0" w:line="204" w:lineRule="auto"/>
        <w:tabs>
          <w:tab w:leader="none" w:pos="98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14" w:right="3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2023 RESTRICTED STOCK RIGHTS GRANT AGREEMENT</w:t>
      </w:r>
    </w:p>
    <w:p>
      <w:pPr>
        <w:spacing w:after="0" w:line="1" w:lineRule="exact"/>
        <w:rPr>
          <w:sz w:val="20"/>
          <w:szCs w:val="20"/>
          <w:color w:val="auto"/>
        </w:rPr>
      </w:pPr>
    </w:p>
    <w:p>
      <w:pPr>
        <w:ind w:right="240" w:firstLine="405"/>
        <w:spacing w:after="0" w:line="208" w:lineRule="auto"/>
        <w:rPr>
          <w:sz w:val="20"/>
          <w:szCs w:val="20"/>
          <w:color w:val="auto"/>
        </w:rPr>
      </w:pPr>
      <w:r>
        <w:rPr>
          <w:rFonts w:ascii="Times New Roman" w:cs="Times New Roman" w:eastAsia="Times New Roman" w:hAnsi="Times New Roman"/>
          <w:sz w:val="18"/>
          <w:szCs w:val="18"/>
          <w:color w:val="auto"/>
        </w:rPr>
        <w:t>This 2023 Restricted Stock Rights Grant Agreement (“Agreement”) applies to certain “Restricted Stock Rights” (“RSRs”) granted by Northrop Grumman Corporation (the “Company”) in 2023 under its 2011 Long-Term Incentive Stock Plan. If you were granted an RSR award by the Company in 2023, the date of grant of your RSR award (the “Grant Date”) and the number of RSRs applicable to your award are set forth in the letter from the</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Company announcing your RSR award (your “Grant Letter”) and are also reflected in the electronic stock plan award recordkeeping system (“Stock Plan System”) maintained by the Company or its designee. This Agreement applies only with respect to the 2023 RSR award, and you are subject to this Agreement upon accepting your grant. If you were granted an RSR award, you are referred to as the “Grantee” with respect to your award. Capitalized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are generally defined in Section 12 below if not otherwise defined herein.</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accordance with the instructions and time limit set forth in your Grant Letter, you will be deemed to have forfeited your RSR award.</w:t>
      </w:r>
    </w:p>
    <w:p>
      <w:pPr>
        <w:sectPr>
          <w:pgSz w:w="11900" w:h="16838" w:orient="portrait"/>
          <w:cols w:equalWidth="0" w:num="1">
            <w:col w:w="11240"/>
          </w:cols>
          <w:pgMar w:left="320" w:top="94" w:right="339" w:bottom="1440" w:gutter="0" w:footer="0" w:header="0"/>
        </w:sectPr>
      </w:pPr>
    </w:p>
    <w:p>
      <w:pPr>
        <w:spacing w:after="0" w:line="161"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405"/>
        <w:spacing w:after="0" w:line="216" w:lineRule="auto"/>
        <w:rPr>
          <w:sz w:val="20"/>
          <w:szCs w:val="20"/>
          <w:color w:val="auto"/>
        </w:rPr>
      </w:pPr>
      <w:r>
        <w:rPr>
          <w:rFonts w:ascii="Times New Roman" w:cs="Times New Roman" w:eastAsia="Times New Roman" w:hAnsi="Times New Roman"/>
          <w:sz w:val="18"/>
          <w:szCs w:val="18"/>
          <w:color w:val="auto"/>
        </w:rPr>
        <w:t>Subject to Sections 2, 3, 4 and 6 below, one hundred percent (100%) of the number of RSRs (and any Dividend Equivalents (as defined below)) subject to your award (subject to adjustment as</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provided in Section 6.1) shall vest upon the third anniversary of the Grant Date, provided that if the third anniversary of the Grant Date falls on a weekend or holiday, then the award shall vest on the next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Payment of RSRs</w:t>
      </w:r>
      <w:r>
        <w:rPr>
          <w:rFonts w:ascii="Times New Roman" w:cs="Times New Roman" w:eastAsia="Times New Roman" w:hAnsi="Times New Roman"/>
          <w:sz w:val="18"/>
          <w:szCs w:val="18"/>
          <w:color w:val="auto"/>
        </w:rPr>
        <w:t>. Except as otherwise provided below, the</w:t>
      </w:r>
    </w:p>
    <w:p>
      <w:pPr>
        <w:spacing w:after="0" w:line="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Company shall pay an RSR subject to the award that vests (“Vested RSR”) (and related Dividend Equivalents) within 60 days following the vesting of the RSR on the third anniversary of the Grant Date.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Company shall pay such Vested RSRs in either an equivalent number of shares of Common Stock, or, in the discretion of the Committee, in cash or in a combination of shares of Common Stock and cash. In the event</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of a cash payment, the amount of the payment for each Vested RSR to be paid in cash will equal the Fair Market Value (as defined below) of a share of Common Stock as of the date that such RSR became vested.</w:t>
      </w:r>
    </w:p>
    <w:p>
      <w:pPr>
        <w:spacing w:after="0" w:line="1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p>
    <w:p>
      <w:pPr>
        <w:jc w:val="center"/>
        <w:ind w:right="200"/>
        <w:spacing w:after="0" w:line="232" w:lineRule="auto"/>
        <w:rPr>
          <w:sz w:val="20"/>
          <w:szCs w:val="20"/>
          <w:color w:val="auto"/>
        </w:rPr>
      </w:pPr>
      <w:r>
        <w:rPr>
          <w:rFonts w:ascii="Times New Roman" w:cs="Times New Roman" w:eastAsia="Times New Roman" w:hAnsi="Times New Roman"/>
          <w:sz w:val="17"/>
          <w:szCs w:val="17"/>
          <w:color w:val="auto"/>
        </w:rPr>
        <w:t>payment for Dividend Equivalents (if any) with respect to any Vested</w:t>
      </w:r>
    </w:p>
    <w:p>
      <w:pPr>
        <w:ind w:right="100"/>
        <w:spacing w:after="0" w:line="220" w:lineRule="auto"/>
        <w:rPr>
          <w:sz w:val="20"/>
          <w:szCs w:val="20"/>
          <w:color w:val="auto"/>
        </w:rPr>
      </w:pPr>
      <w:r>
        <w:rPr>
          <w:rFonts w:ascii="Times New Roman" w:cs="Times New Roman" w:eastAsia="Times New Roman" w:hAnsi="Times New Roman"/>
          <w:sz w:val="17"/>
          <w:szCs w:val="17"/>
          <w:color w:val="auto"/>
        </w:rPr>
        <w:t>RSRs. For purposes of this Agreement, “Dividend Equivalents” means the aggregate amount of dividends paid by the Company on a number of shares of Common Stock equivalent to the number of Vested RSRs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during the period from the Grant date until the date the Vested RSRs are paid (without interest or other adjustments to reflect the time value of money). Dividend Equivalents (if any) will be paid at the same time as</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the Vested RSRs to which they relate are paid. Dividend Equivalents will be paid in cash.</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82" w:hanging="382"/>
        <w:spacing w:after="0"/>
        <w:tabs>
          <w:tab w:leader="none" w:pos="38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right="16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The RSRs (and related Dividend Equivalents)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award, to the extent not previously vested, shall terminate and become null and void if and when (a) the award terminates in</w:t>
      </w:r>
    </w:p>
    <w:p>
      <w:pPr>
        <w:spacing w:after="0" w:line="2" w:lineRule="exact"/>
        <w:rPr>
          <w:sz w:val="20"/>
          <w:szCs w:val="20"/>
          <w:color w:val="auto"/>
        </w:rPr>
      </w:pPr>
    </w:p>
    <w:p>
      <w:pPr>
        <w:ind w:left="2" w:right="140"/>
        <w:spacing w:after="0" w:line="208" w:lineRule="auto"/>
        <w:rPr>
          <w:sz w:val="20"/>
          <w:szCs w:val="20"/>
          <w:color w:val="auto"/>
        </w:rPr>
      </w:pPr>
      <w:r>
        <w:rPr>
          <w:rFonts w:ascii="Times New Roman" w:cs="Times New Roman" w:eastAsia="Times New Roman" w:hAnsi="Times New Roman"/>
          <w:sz w:val="18"/>
          <w:szCs w:val="18"/>
          <w:color w:val="auto"/>
        </w:rPr>
        <w:t>connection with a Change in Control pursuant to Section 6 below, or (b) except as provided in Sections 2.6 and 2.7, and in Section 6, the Grantee ceases for any reason to be an employee of the Company or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one of its subsidiaries.</w:t>
      </w:r>
    </w:p>
    <w:p>
      <w:pPr>
        <w:spacing w:after="0" w:line="120" w:lineRule="exact"/>
        <w:rPr>
          <w:sz w:val="20"/>
          <w:szCs w:val="20"/>
          <w:color w:val="auto"/>
        </w:rPr>
      </w:pPr>
    </w:p>
    <w:p>
      <w:pPr>
        <w:ind w:left="402"/>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p>
    <w:p>
      <w:pPr>
        <w:spacing w:after="0" w:line="6"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w:t>
      </w:r>
    </w:p>
    <w:p>
      <w:pPr>
        <w:spacing w:after="0" w:line="2" w:lineRule="exact"/>
        <w:rPr>
          <w:sz w:val="20"/>
          <w:szCs w:val="20"/>
          <w:color w:val="auto"/>
        </w:rPr>
      </w:pPr>
    </w:p>
    <w:p>
      <w:pPr>
        <w:ind w:left="2" w:right="260"/>
        <w:spacing w:after="0" w:line="220" w:lineRule="auto"/>
        <w:rPr>
          <w:sz w:val="20"/>
          <w:szCs w:val="20"/>
          <w:color w:val="auto"/>
        </w:rPr>
      </w:pPr>
      <w:r>
        <w:rPr>
          <w:rFonts w:ascii="Times New Roman" w:cs="Times New Roman" w:eastAsia="Times New Roman" w:hAnsi="Times New Roman"/>
          <w:sz w:val="17"/>
          <w:szCs w:val="17"/>
          <w:color w:val="auto"/>
        </w:rPr>
        <w:t>commences for purposes of the award, and (b) shall be deemed to be employed by the Company for the duration of such approved leave of absence for purposes of the award. A termination of employment shall</w:t>
      </w:r>
    </w:p>
    <w:p>
      <w:pPr>
        <w:spacing w:after="0" w:line="2" w:lineRule="exact"/>
        <w:rPr>
          <w:sz w:val="20"/>
          <w:szCs w:val="20"/>
          <w:color w:val="auto"/>
        </w:rPr>
      </w:pPr>
    </w:p>
    <w:p>
      <w:pPr>
        <w:ind w:left="2" w:right="180"/>
        <w:spacing w:after="0" w:line="218" w:lineRule="auto"/>
        <w:rPr>
          <w:sz w:val="20"/>
          <w:szCs w:val="20"/>
          <w:color w:val="auto"/>
        </w:rPr>
      </w:pPr>
      <w:r>
        <w:rPr>
          <w:rFonts w:ascii="Times New Roman" w:cs="Times New Roman" w:eastAsia="Times New Roman" w:hAnsi="Times New Roman"/>
          <w:sz w:val="18"/>
          <w:szCs w:val="18"/>
          <w:color w:val="auto"/>
        </w:rPr>
        <w:t>be deemed to have occurred if the Grantee does not timely return to active employment upon the expiration of such approved leave or if the Grantee commences a leave that is not approved by the Company.</w:t>
      </w:r>
    </w:p>
    <w:p>
      <w:pPr>
        <w:spacing w:after="0" w:line="127" w:lineRule="exact"/>
        <w:rPr>
          <w:sz w:val="20"/>
          <w:szCs w:val="20"/>
          <w:color w:val="auto"/>
        </w:rPr>
      </w:pPr>
    </w:p>
    <w:p>
      <w:pPr>
        <w:ind w:left="2" w:right="16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w:t>
      </w:r>
    </w:p>
    <w:p>
      <w:pPr>
        <w:jc w:val="both"/>
        <w:ind w:left="2" w:right="380"/>
        <w:spacing w:after="0" w:line="208" w:lineRule="auto"/>
        <w:rPr>
          <w:sz w:val="20"/>
          <w:szCs w:val="20"/>
          <w:color w:val="auto"/>
        </w:rPr>
      </w:pPr>
      <w:r>
        <w:rPr>
          <w:rFonts w:ascii="Times New Roman" w:cs="Times New Roman" w:eastAsia="Times New Roman" w:hAnsi="Times New Roman"/>
          <w:sz w:val="18"/>
          <w:szCs w:val="18"/>
          <w:color w:val="auto"/>
        </w:rPr>
        <w:t>Company and salary continuation without active employment (other than a leave of absence approved by the Company that is covered by Section 2.2) will not, in and of itself, constitute “employment” for</w:t>
      </w:r>
    </w:p>
    <w:p>
      <w:pPr>
        <w:spacing w:after="0" w:line="2"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purposes hereof (in the case of salary continuation without active employment, the Grantee’s cessation of active employee status shall, subject to Section 2.2, be deemed to be a termination of “employment”</w:t>
      </w:r>
    </w:p>
    <w:p>
      <w:pPr>
        <w:spacing w:after="0" w:line="2" w:lineRule="exact"/>
        <w:rPr>
          <w:sz w:val="20"/>
          <w:szCs w:val="20"/>
          <w:color w:val="auto"/>
        </w:rPr>
      </w:pPr>
    </w:p>
    <w:p>
      <w:pPr>
        <w:ind w:left="2" w:right="280"/>
        <w:spacing w:after="0" w:line="218" w:lineRule="auto"/>
        <w:rPr>
          <w:sz w:val="20"/>
          <w:szCs w:val="20"/>
          <w:color w:val="auto"/>
        </w:rPr>
      </w:pPr>
      <w:r>
        <w:rPr>
          <w:rFonts w:ascii="Times New Roman" w:cs="Times New Roman" w:eastAsia="Times New Roman" w:hAnsi="Times New Roman"/>
          <w:sz w:val="18"/>
          <w:szCs w:val="18"/>
          <w:color w:val="auto"/>
        </w:rPr>
        <w:t>for purposes hereof). Furthermore, salary continuation will not, in and of itself, constitute a leave of absence approved by the Company for purposes of the award.</w:t>
      </w:r>
    </w:p>
    <w:p>
      <w:pPr>
        <w:spacing w:after="0" w:line="127" w:lineRule="exact"/>
        <w:rPr>
          <w:sz w:val="20"/>
          <w:szCs w:val="20"/>
          <w:color w:val="auto"/>
        </w:rPr>
      </w:pPr>
    </w:p>
    <w:p>
      <w:pPr>
        <w:ind w:left="2" w:right="740" w:firstLine="405"/>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RSRs (and related Dividend</w:t>
      </w:r>
    </w:p>
    <w:p>
      <w:pPr>
        <w:spacing w:after="0" w:line="200" w:lineRule="exact"/>
        <w:rPr>
          <w:sz w:val="20"/>
          <w:szCs w:val="20"/>
          <w:color w:val="auto"/>
        </w:rPr>
      </w:pPr>
    </w:p>
    <w:p>
      <w:pPr>
        <w:sectPr>
          <w:pgSz w:w="11900" w:h="16838" w:orient="portrait"/>
          <w:cols w:equalWidth="0" w:num="2">
            <w:col w:w="5200" w:space="718"/>
            <w:col w:w="5322"/>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ELT (2023 RSR Agreement)</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4" w:right="339" w:bottom="1440" w:gutter="0" w:footer="0" w:header="0"/>
          <w:type w:val="continuous"/>
        </w:sectPr>
      </w:pPr>
    </w:p>
    <w:bookmarkStart w:id="37" w:name="page38"/>
    <w:bookmarkEnd w:id="37"/>
    <w:p>
      <w:pPr>
        <w:ind w:right="20"/>
        <w:spacing w:after="0" w:line="216" w:lineRule="auto"/>
        <w:rPr>
          <w:sz w:val="20"/>
          <w:szCs w:val="20"/>
          <w:color w:val="auto"/>
        </w:rPr>
      </w:pPr>
      <w:r>
        <w:rPr>
          <w:rFonts w:ascii="Times New Roman" w:cs="Times New Roman" w:eastAsia="Times New Roman" w:hAnsi="Times New Roman"/>
          <w:sz w:val="18"/>
          <w:szCs w:val="18"/>
          <w:color w:val="auto"/>
        </w:rPr>
        <w:t>Equivalents) subject to the award, a termination of employment of the Grantee shall be deemed to have occurred if the Grantee is employed by a subsidiary or business unit and that subsidiary or business unit is sold,</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spun off, or otherwise divested, the Grantee does not otherwise continue to be employed by the Company or one of its subsidiaries after such event, and the divested entity or business (or its successor or a parent</w:t>
      </w:r>
    </w:p>
    <w:p>
      <w:pPr>
        <w:spacing w:after="0" w:line="2" w:lineRule="exact"/>
        <w:rPr>
          <w:sz w:val="20"/>
          <w:szCs w:val="20"/>
          <w:color w:val="auto"/>
        </w:rPr>
      </w:pPr>
    </w:p>
    <w:p>
      <w:pPr>
        <w:ind w:right="460"/>
        <w:spacing w:after="0" w:line="208" w:lineRule="auto"/>
        <w:rPr>
          <w:sz w:val="20"/>
          <w:szCs w:val="20"/>
          <w:color w:val="auto"/>
        </w:rPr>
      </w:pPr>
      <w:r>
        <w:rPr>
          <w:rFonts w:ascii="Times New Roman" w:cs="Times New Roman" w:eastAsia="Times New Roman" w:hAnsi="Times New Roman"/>
          <w:sz w:val="18"/>
          <w:szCs w:val="18"/>
          <w:color w:val="auto"/>
        </w:rPr>
        <w:t>company) does not assume the award in connection with such transaction. In the event of such a termination of employment, the termination shall be deemed to be an Early Retirement unless the</w:t>
      </w:r>
    </w:p>
    <w:p>
      <w:pPr>
        <w:spacing w:after="0" w:line="2"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Grantee was otherwise eligible at the time of termination for Normal Retirement (in which case, the termination shall be considered a Normal Retirement) treated as provided for in Section 2.7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w:t>
      </w:r>
    </w:p>
    <w:p>
      <w:pPr>
        <w:spacing w:after="0" w:line="120"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p>
    <w:p>
      <w:pPr>
        <w:spacing w:after="0" w:line="6"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provided in Section 2.6, Section 2.7 and in Section 6, the vesting of the RSRs (and related Dividend Equivalents) subject to the award requires continued employment through the third anniversary of the Grant Date</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as a condition to the vesting of any portion of the award. Employment for only a portion of the vesting period, even if a substantial portion, will not entitle the Grantee to any proportionate vesting or avoid or</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mitigate a termination of rights and benefits upon or following a termination of employment. Nothing contained in this Agreement, the Stock Plan System, or the Plan constitutes an employment commitment</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by the Company or any subsidiary, affects the Grantee’s status (if the Grantee is otherwise an at-will employee) as an employee at will who is subject to termination without cause, confers upon the Grantee any right</w:t>
      </w:r>
    </w:p>
    <w:p>
      <w:pPr>
        <w:spacing w:after="0" w:line="2" w:lineRule="exact"/>
        <w:rPr>
          <w:sz w:val="20"/>
          <w:szCs w:val="20"/>
          <w:color w:val="auto"/>
        </w:rPr>
      </w:pPr>
    </w:p>
    <w:p>
      <w:pPr>
        <w:ind w:right="660"/>
        <w:spacing w:after="0" w:line="218" w:lineRule="auto"/>
        <w:rPr>
          <w:sz w:val="20"/>
          <w:szCs w:val="20"/>
          <w:color w:val="auto"/>
        </w:rPr>
      </w:pPr>
      <w:r>
        <w:rPr>
          <w:rFonts w:ascii="Times New Roman" w:cs="Times New Roman" w:eastAsia="Times New Roman" w:hAnsi="Times New Roman"/>
          <w:sz w:val="18"/>
          <w:szCs w:val="18"/>
          <w:color w:val="auto"/>
        </w:rPr>
        <w:t>to continue in the employ of the Company or any subsidiary, or interferes in any way with the right of the Company or of any subsidiary to terminate such employment at any time.</w:t>
      </w:r>
    </w:p>
    <w:p>
      <w:pPr>
        <w:spacing w:after="0" w:line="127" w:lineRule="exact"/>
        <w:rPr>
          <w:sz w:val="20"/>
          <w:szCs w:val="20"/>
          <w:color w:val="auto"/>
        </w:rPr>
      </w:pPr>
    </w:p>
    <w:p>
      <w:pPr>
        <w:ind w:right="2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w:t>
      </w:r>
    </w:p>
    <w:p>
      <w:pPr>
        <w:jc w:val="both"/>
        <w:ind w:right="500"/>
        <w:spacing w:after="0" w:line="208" w:lineRule="auto"/>
        <w:rPr>
          <w:sz w:val="20"/>
          <w:szCs w:val="20"/>
          <w:color w:val="auto"/>
        </w:rPr>
      </w:pPr>
      <w:r>
        <w:rPr>
          <w:rFonts w:ascii="Times New Roman" w:cs="Times New Roman" w:eastAsia="Times New Roman" w:hAnsi="Times New Roman"/>
          <w:sz w:val="18"/>
          <w:szCs w:val="18"/>
          <w:color w:val="auto"/>
        </w:rPr>
        <w:t>Disability occurs more than six months after the Grant Date, the outstanding and previously unvested RSRs (and related Dividend Equivalents) subject to the award shall vest as of the date of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Grantee’s death or Disability, as applicable. RSRs (and related Dividend Equivalents) vesting under this Section shall be paid within 60 days following the earlier of (a) Grantee’s death or (b) Grantee’s Disability.</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In the event of the Grantee’s death prior to the delivery of shares or other payment with respect to any vested RSRs (and related Dividend Equivalents), the Grantee’s Successor shall be entitled to any payments</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to which the Grantee would have been entitled under this Agreement with respect to such vested and unpaid RSRs (and related Dividend Equivalents).</w:t>
      </w:r>
    </w:p>
    <w:p>
      <w:pPr>
        <w:spacing w:after="0" w:line="127" w:lineRule="exact"/>
        <w:rPr>
          <w:sz w:val="20"/>
          <w:szCs w:val="20"/>
          <w:color w:val="auto"/>
        </w:rPr>
      </w:pPr>
    </w:p>
    <w:p>
      <w:pPr>
        <w:ind w:right="56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Termination of Employment Due to Retirement</w:t>
      </w:r>
      <w:r>
        <w:rPr>
          <w:rFonts w:ascii="Times New Roman" w:cs="Times New Roman" w:eastAsia="Times New Roman" w:hAnsi="Times New Roman"/>
          <w:sz w:val="18"/>
          <w:szCs w:val="18"/>
          <w:color w:val="auto"/>
        </w:rPr>
        <w: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ceases to be employed by the Company or one of its</w:t>
      </w:r>
    </w:p>
    <w:p>
      <w:pPr>
        <w:ind w:right="60"/>
        <w:spacing w:after="0" w:line="208" w:lineRule="auto"/>
        <w:rPr>
          <w:sz w:val="20"/>
          <w:szCs w:val="20"/>
          <w:color w:val="auto"/>
        </w:rPr>
      </w:pPr>
      <w:r>
        <w:rPr>
          <w:rFonts w:ascii="Times New Roman" w:cs="Times New Roman" w:eastAsia="Times New Roman" w:hAnsi="Times New Roman"/>
          <w:sz w:val="18"/>
          <w:szCs w:val="18"/>
          <w:color w:val="auto"/>
        </w:rPr>
        <w:t>subsidiaries due to the Grantee’s Early Retirement and such Early Retirement occurs more than six months after the Grant Date, the RSRs (and related Dividend Equivalents) subject to the award shall vest on a</w:t>
      </w:r>
    </w:p>
    <w:p>
      <w:pPr>
        <w:spacing w:after="0" w:line="2"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7"/>
          <w:szCs w:val="17"/>
          <w:color w:val="auto"/>
        </w:rPr>
        <w:t>prorated basis. Such prorating of RSRs (and related Dividend Equivalents) shall be determined based on the number of days the Grantee was employed by the Company or a subsidiary in the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ind w:left="2" w:right="140"/>
        <w:spacing w:after="0" w:line="216" w:lineRule="auto"/>
        <w:rPr>
          <w:sz w:val="20"/>
          <w:szCs w:val="20"/>
          <w:color w:val="auto"/>
        </w:rPr>
      </w:pPr>
      <w:r>
        <w:rPr>
          <w:rFonts w:ascii="Times New Roman" w:cs="Times New Roman" w:eastAsia="Times New Roman" w:hAnsi="Times New Roman"/>
          <w:sz w:val="18"/>
          <w:szCs w:val="18"/>
          <w:color w:val="auto"/>
        </w:rPr>
        <w:t>the Grant Date through and including the date on which the Grantee is last employed by the Company or a subsidiary, over the number of calendar days in the period commencing with the Grant Date through</w:t>
      </w:r>
    </w:p>
    <w:p>
      <w:pPr>
        <w:spacing w:after="0" w:line="1" w:lineRule="exact"/>
        <w:rPr>
          <w:sz w:val="20"/>
          <w:szCs w:val="20"/>
          <w:color w:val="auto"/>
        </w:rPr>
      </w:pPr>
    </w:p>
    <w:p>
      <w:pPr>
        <w:jc w:val="both"/>
        <w:ind w:left="2" w:right="160"/>
        <w:spacing w:after="0" w:line="220" w:lineRule="auto"/>
        <w:rPr>
          <w:sz w:val="20"/>
          <w:szCs w:val="20"/>
          <w:color w:val="auto"/>
        </w:rPr>
      </w:pPr>
      <w:r>
        <w:rPr>
          <w:rFonts w:ascii="Times New Roman" w:cs="Times New Roman" w:eastAsia="Times New Roman" w:hAnsi="Times New Roman"/>
          <w:sz w:val="17"/>
          <w:szCs w:val="17"/>
          <w:color w:val="auto"/>
        </w:rPr>
        <w:t>and including the third anniversary of the Grant Date. Any remaining unvested RSRs (and related Dividend Equivalents), after giving effect to the foregoing acceleration of vesting, shall terminate immediately</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upon the Grantee’s Early Retirement. If the Grantee ceases to be employed by the Company or one of its subsidiaries due to the Grantee’s Normal Retirement and such Normal Retirement occurs more</w:t>
      </w:r>
    </w:p>
    <w:p>
      <w:pPr>
        <w:spacing w:after="0" w:line="2" w:lineRule="exact"/>
        <w:rPr>
          <w:sz w:val="20"/>
          <w:szCs w:val="20"/>
          <w:color w:val="auto"/>
        </w:rPr>
      </w:pPr>
    </w:p>
    <w:p>
      <w:pPr>
        <w:ind w:left="2" w:right="200"/>
        <w:spacing w:after="0" w:line="226" w:lineRule="auto"/>
        <w:rPr>
          <w:sz w:val="20"/>
          <w:szCs w:val="20"/>
          <w:color w:val="auto"/>
        </w:rPr>
      </w:pPr>
      <w:r>
        <w:rPr>
          <w:rFonts w:ascii="Times New Roman" w:cs="Times New Roman" w:eastAsia="Times New Roman" w:hAnsi="Times New Roman"/>
          <w:sz w:val="18"/>
          <w:szCs w:val="18"/>
          <w:color w:val="auto"/>
        </w:rPr>
        <w:t>than six months after the Grant Date, the RSRs (and related Dividend Equivalents) subject to the award shall vest in full.</w:t>
      </w:r>
    </w:p>
    <w:p>
      <w:pPr>
        <w:spacing w:after="0" w:line="130" w:lineRule="exact"/>
        <w:rPr>
          <w:sz w:val="20"/>
          <w:szCs w:val="20"/>
          <w:color w:val="auto"/>
        </w:rPr>
      </w:pPr>
    </w:p>
    <w:p>
      <w:pPr>
        <w:jc w:val="both"/>
        <w:ind w:left="2" w:right="140" w:firstLine="405"/>
        <w:spacing w:after="0" w:line="216" w:lineRule="auto"/>
        <w:rPr>
          <w:sz w:val="20"/>
          <w:szCs w:val="20"/>
          <w:color w:val="auto"/>
        </w:rPr>
      </w:pPr>
      <w:r>
        <w:rPr>
          <w:rFonts w:ascii="Times New Roman" w:cs="Times New Roman" w:eastAsia="Times New Roman" w:hAnsi="Times New Roman"/>
          <w:sz w:val="18"/>
          <w:szCs w:val="18"/>
          <w:color w:val="auto"/>
        </w:rPr>
        <w:t>Subject to the following provisions of this paragraph, RSRs (and related Dividend Equivalents) vesting under this Section shall be paid within 60 days following the Grantee’s Separation from Service.</w:t>
      </w:r>
    </w:p>
    <w:p>
      <w:pPr>
        <w:spacing w:after="0" w:line="1"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However, in the case of a Governmental Service Retirement by the Grantee, payment of the vested RSRs (and related Dividend Equivalents) will be made within 20 days after the Grantee’s Early or</w:t>
      </w:r>
    </w:p>
    <w:p>
      <w:pPr>
        <w:spacing w:after="0" w:line="2" w:lineRule="exact"/>
        <w:rPr>
          <w:sz w:val="20"/>
          <w:szCs w:val="20"/>
          <w:color w:val="auto"/>
        </w:rPr>
      </w:pPr>
    </w:p>
    <w:p>
      <w:pPr>
        <w:jc w:val="both"/>
        <w:ind w:left="2" w:right="80"/>
        <w:spacing w:after="0" w:line="208" w:lineRule="auto"/>
        <w:rPr>
          <w:sz w:val="20"/>
          <w:szCs w:val="20"/>
          <w:color w:val="auto"/>
        </w:rPr>
      </w:pPr>
      <w:r>
        <w:rPr>
          <w:rFonts w:ascii="Times New Roman" w:cs="Times New Roman" w:eastAsia="Times New Roman" w:hAnsi="Times New Roman"/>
          <w:sz w:val="18"/>
          <w:szCs w:val="18"/>
          <w:color w:val="auto"/>
        </w:rPr>
        <w:t>Normal Retirement. If the Grantee is a Key Employee as of the date of the Grantee’s Separation from Service, the Grantee shall not be entitled to payment of his or her vested RSRs (and related Dividend</w:t>
      </w:r>
    </w:p>
    <w:p>
      <w:pPr>
        <w:spacing w:after="0" w:line="2" w:lineRule="exact"/>
        <w:rPr>
          <w:sz w:val="20"/>
          <w:szCs w:val="20"/>
          <w:color w:val="auto"/>
        </w:rPr>
      </w:pPr>
    </w:p>
    <w:p>
      <w:pPr>
        <w:ind w:left="2" w:right="180"/>
        <w:spacing w:after="0" w:line="203" w:lineRule="auto"/>
        <w:rPr>
          <w:sz w:val="20"/>
          <w:szCs w:val="20"/>
          <w:color w:val="auto"/>
        </w:rPr>
      </w:pPr>
      <w:r>
        <w:rPr>
          <w:rFonts w:ascii="Times New Roman" w:cs="Times New Roman" w:eastAsia="Times New Roman" w:hAnsi="Times New Roman"/>
          <w:sz w:val="18"/>
          <w:szCs w:val="18"/>
          <w:color w:val="auto"/>
        </w:rPr>
        <w:t>Equivalents) pursuant to this Section until the earlier of (and payment shall be made upon or promptly after, and in all events within thirty</w:t>
      </w:r>
    </w:p>
    <w:p>
      <w:pPr>
        <w:spacing w:after="0" w:line="1" w:lineRule="exact"/>
        <w:rPr>
          <w:sz w:val="20"/>
          <w:szCs w:val="20"/>
          <w:color w:val="auto"/>
        </w:rPr>
      </w:pPr>
    </w:p>
    <w:p>
      <w:pPr>
        <w:ind w:left="2" w:right="40" w:hanging="2"/>
        <w:spacing w:after="0" w:line="231" w:lineRule="auto"/>
        <w:tabs>
          <w:tab w:leader="none" w:pos="34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1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In determining the Grantee’s eligibility for Early or Normal</w:t>
      </w:r>
    </w:p>
    <w:p>
      <w:pPr>
        <w:spacing w:after="0" w:line="2" w:lineRule="exact"/>
        <w:rPr>
          <w:sz w:val="20"/>
          <w:szCs w:val="20"/>
          <w:color w:val="auto"/>
        </w:rPr>
      </w:pPr>
    </w:p>
    <w:p>
      <w:pPr>
        <w:ind w:left="2" w:right="100"/>
        <w:spacing w:after="0" w:line="220" w:lineRule="auto"/>
        <w:rPr>
          <w:sz w:val="20"/>
          <w:szCs w:val="20"/>
          <w:color w:val="auto"/>
        </w:rPr>
      </w:pPr>
      <w:r>
        <w:rPr>
          <w:rFonts w:ascii="Times New Roman" w:cs="Times New Roman" w:eastAsia="Times New Roman" w:hAnsi="Times New Roman"/>
          <w:sz w:val="17"/>
          <w:szCs w:val="17"/>
          <w:color w:val="auto"/>
        </w:rPr>
        <w:t>Retirement, service is measured by dividing (a) the number of days the Grantee was employed by the Company or a subsidiary in the period commencing with his or her last date of hire by the Company or a</w:t>
      </w:r>
    </w:p>
    <w:p>
      <w:pPr>
        <w:spacing w:after="0" w:line="2" w:lineRule="exact"/>
        <w:rPr>
          <w:sz w:val="20"/>
          <w:szCs w:val="20"/>
          <w:color w:val="auto"/>
        </w:rPr>
      </w:pPr>
    </w:p>
    <w:p>
      <w:pPr>
        <w:ind w:left="2" w:right="160"/>
        <w:spacing w:after="0" w:line="208" w:lineRule="auto"/>
        <w:rPr>
          <w:sz w:val="20"/>
          <w:szCs w:val="20"/>
          <w:color w:val="auto"/>
        </w:rPr>
      </w:pPr>
      <w:r>
        <w:rPr>
          <w:rFonts w:ascii="Times New Roman" w:cs="Times New Roman" w:eastAsia="Times New Roman" w:hAnsi="Times New Roman"/>
          <w:sz w:val="18"/>
          <w:szCs w:val="18"/>
          <w:color w:val="auto"/>
        </w:rPr>
        <w:t>subsidiary through and including the date on which the Grantee is last employed by the Company or a subsidiary, by (b) 365. If the Grantee ceased to be employed by the Company or a subsidiary and was later</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rehired by the Company or a subsidiary, the Grantee’s service prior to the break in service shall be disregarded in determining service for such purposes; provided that, if the Grantee’s employment with the Company</w:t>
      </w:r>
    </w:p>
    <w:p>
      <w:pPr>
        <w:spacing w:after="0" w:line="2"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or a subsidiary had terminated due to the Grantee’s Early Retirement, Normal Retirement, or by the Company or a subsidiary as part of a reduction in force (in each case, other than a termination by the</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Company or a subsidiary for Cause) and, within the two-year period following such termination of employment (the “break in service”) the Grantee was subsequently rehired by the Company or a subsidiary, then</w:t>
      </w:r>
    </w:p>
    <w:p>
      <w:pPr>
        <w:spacing w:after="0" w:line="2" w:lineRule="exact"/>
        <w:rPr>
          <w:sz w:val="20"/>
          <w:szCs w:val="20"/>
          <w:color w:val="auto"/>
        </w:rPr>
      </w:pPr>
    </w:p>
    <w:p>
      <w:pPr>
        <w:jc w:val="both"/>
        <w:ind w:left="2" w:right="100"/>
        <w:spacing w:after="0" w:line="208" w:lineRule="auto"/>
        <w:rPr>
          <w:sz w:val="20"/>
          <w:szCs w:val="20"/>
          <w:color w:val="auto"/>
        </w:rPr>
      </w:pPr>
      <w:r>
        <w:rPr>
          <w:rFonts w:ascii="Times New Roman" w:cs="Times New Roman" w:eastAsia="Times New Roman" w:hAnsi="Times New Roman"/>
          <w:sz w:val="18"/>
          <w:szCs w:val="18"/>
          <w:color w:val="auto"/>
        </w:rPr>
        <w:t>the Grantee’s period of service with the Company or a subsidiary prior to and ending with the break in service will be included in determining service for such purposes. In the event the Grantee is employed by a</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business that is acquired by the Company or a subsidiary, the Company shall have discretion to determine whether the Grantee’s service prior to the acquisition will be included in determining service for such</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purposes.</w:t>
      </w:r>
    </w:p>
    <w:p>
      <w:pPr>
        <w:sectPr>
          <w:pgSz w:w="11900" w:h="16838" w:orient="portrait"/>
          <w:cols w:equalWidth="0" w:num="2">
            <w:col w:w="5220" w:space="698"/>
            <w:col w:w="5202"/>
          </w:cols>
          <w:pgMar w:left="320" w:top="1147" w:right="459" w:bottom="1440" w:gutter="0" w:footer="0" w:header="0"/>
        </w:sectPr>
      </w:pPr>
    </w:p>
    <w:bookmarkStart w:id="38" w:name="page39"/>
    <w:bookmarkEnd w:id="38"/>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award, as well as the RSRs (and</w:t>
      </w:r>
    </w:p>
    <w:p>
      <w:pPr>
        <w:spacing w:after="0" w:line="6" w:lineRule="exact"/>
        <w:rPr>
          <w:sz w:val="20"/>
          <w:szCs w:val="20"/>
          <w:color w:val="auto"/>
        </w:rPr>
      </w:pPr>
    </w:p>
    <w:p>
      <w:pPr>
        <w:ind w:right="18"/>
        <w:spacing w:after="0" w:line="220" w:lineRule="auto"/>
        <w:rPr>
          <w:sz w:val="20"/>
          <w:szCs w:val="20"/>
          <w:color w:val="auto"/>
        </w:rPr>
      </w:pPr>
      <w:r>
        <w:rPr>
          <w:rFonts w:ascii="Times New Roman" w:cs="Times New Roman" w:eastAsia="Times New Roman" w:hAnsi="Times New Roman"/>
          <w:sz w:val="17"/>
          <w:szCs w:val="17"/>
          <w:color w:val="auto"/>
        </w:rPr>
        <w:t>related Dividend Equivalents) subject to the award, are non-transferable and shall not be subject in any manner to sale, transfer, anticipation, alienation, assignment, pledge, encumbrance or charge. The foregoing</w:t>
      </w:r>
    </w:p>
    <w:p>
      <w:pPr>
        <w:spacing w:after="0" w:line="2" w:lineRule="exact"/>
        <w:rPr>
          <w:sz w:val="20"/>
          <w:szCs w:val="20"/>
          <w:color w:val="auto"/>
        </w:rPr>
      </w:pPr>
    </w:p>
    <w:p>
      <w:pPr>
        <w:ind w:right="198"/>
        <w:spacing w:after="0" w:line="208" w:lineRule="auto"/>
        <w:rPr>
          <w:sz w:val="20"/>
          <w:szCs w:val="20"/>
          <w:color w:val="auto"/>
        </w:rPr>
      </w:pPr>
      <w:r>
        <w:rPr>
          <w:rFonts w:ascii="Times New Roman" w:cs="Times New Roman" w:eastAsia="Times New Roman" w:hAnsi="Times New Roman"/>
          <w:sz w:val="18"/>
          <w:szCs w:val="18"/>
          <w:color w:val="auto"/>
        </w:rPr>
        <w:t>transfer restrictions shall not apply to transfers to the Company. Notwithstanding the foregoing, the Company may honor any transfer required pursuant to the terms of a court order in a divorce or similar</w:t>
      </w:r>
    </w:p>
    <w:p>
      <w:pPr>
        <w:spacing w:after="0" w:line="2" w:lineRule="exact"/>
        <w:rPr>
          <w:sz w:val="20"/>
          <w:szCs w:val="20"/>
          <w:color w:val="auto"/>
        </w:rPr>
      </w:pPr>
    </w:p>
    <w:p>
      <w:pPr>
        <w:ind w:right="158"/>
        <w:spacing w:after="0" w:line="220" w:lineRule="auto"/>
        <w:rPr>
          <w:sz w:val="20"/>
          <w:szCs w:val="20"/>
          <w:color w:val="auto"/>
        </w:rPr>
      </w:pPr>
      <w:r>
        <w:rPr>
          <w:rFonts w:ascii="Times New Roman" w:cs="Times New Roman" w:eastAsia="Times New Roman" w:hAnsi="Times New Roman"/>
          <w:sz w:val="17"/>
          <w:szCs w:val="17"/>
          <w:color w:val="auto"/>
        </w:rPr>
        <w:t>domestic relations matter to the extent that such transfer does not adversely affect the Company’s ability to register the offer and sale of the underlying shares on a Form S-8 Registration Statement and such</w:t>
      </w:r>
    </w:p>
    <w:p>
      <w:pPr>
        <w:spacing w:after="0" w:line="2" w:lineRule="exact"/>
        <w:rPr>
          <w:sz w:val="20"/>
          <w:szCs w:val="20"/>
          <w:color w:val="auto"/>
        </w:rPr>
      </w:pPr>
    </w:p>
    <w:p>
      <w:pPr>
        <w:ind w:right="78"/>
        <w:spacing w:after="0" w:line="226" w:lineRule="auto"/>
        <w:rPr>
          <w:sz w:val="20"/>
          <w:szCs w:val="20"/>
          <w:color w:val="auto"/>
        </w:rPr>
      </w:pPr>
      <w:r>
        <w:rPr>
          <w:rFonts w:ascii="Times New Roman" w:cs="Times New Roman" w:eastAsia="Times New Roman" w:hAnsi="Times New Roman"/>
          <w:sz w:val="18"/>
          <w:szCs w:val="18"/>
          <w:color w:val="auto"/>
        </w:rPr>
        <w:t>transfer is otherwise in compliance with all applicable legal, regulatory and listing requirements.</w:t>
      </w:r>
    </w:p>
    <w:p>
      <w:pPr>
        <w:spacing w:after="0" w:line="126" w:lineRule="exact"/>
        <w:rPr>
          <w:sz w:val="20"/>
          <w:szCs w:val="20"/>
          <w:color w:val="auto"/>
        </w:rPr>
      </w:pPr>
    </w:p>
    <w:p>
      <w:pPr>
        <w:jc w:val="both"/>
        <w:ind w:right="118"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issuance of shares with respect to the award, Grantee’s employment is terminated for Cause (or Grantee has engaged in misconduct that</w:t>
      </w:r>
    </w:p>
    <w:p>
      <w:pPr>
        <w:spacing w:after="0" w:line="2" w:lineRule="exact"/>
        <w:rPr>
          <w:sz w:val="20"/>
          <w:szCs w:val="20"/>
          <w:color w:val="auto"/>
        </w:rPr>
      </w:pPr>
    </w:p>
    <w:p>
      <w:pPr>
        <w:ind w:right="118"/>
        <w:spacing w:after="0" w:line="220" w:lineRule="auto"/>
        <w:rPr>
          <w:sz w:val="20"/>
          <w:szCs w:val="20"/>
          <w:color w:val="auto"/>
        </w:rPr>
      </w:pPr>
      <w:r>
        <w:rPr>
          <w:rFonts w:ascii="Times New Roman" w:cs="Times New Roman" w:eastAsia="Times New Roman" w:hAnsi="Times New Roman"/>
          <w:sz w:val="17"/>
          <w:szCs w:val="17"/>
          <w:color w:val="auto"/>
        </w:rPr>
        <w:t>could have resulted in Grantee’s termination of employment for Cause if Grantee had remained an employee), the Company may reduce or eliminate any payments or issuances of shares with respect to the</w:t>
      </w:r>
    </w:p>
    <w:p>
      <w:pPr>
        <w:spacing w:after="0" w:line="2" w:lineRule="exact"/>
        <w:rPr>
          <w:sz w:val="20"/>
          <w:szCs w:val="20"/>
          <w:color w:val="auto"/>
        </w:rPr>
      </w:pPr>
    </w:p>
    <w:p>
      <w:pPr>
        <w:ind w:right="78"/>
        <w:spacing w:after="0" w:line="208" w:lineRule="auto"/>
        <w:rPr>
          <w:sz w:val="20"/>
          <w:szCs w:val="20"/>
          <w:color w:val="auto"/>
        </w:rPr>
      </w:pPr>
      <w:r>
        <w:rPr>
          <w:rFonts w:ascii="Times New Roman" w:cs="Times New Roman" w:eastAsia="Times New Roman" w:hAnsi="Times New Roman"/>
          <w:sz w:val="18"/>
          <w:szCs w:val="18"/>
          <w:color w:val="auto"/>
        </w:rPr>
        <w:t>award. Further, any payments or issuances of shares with respect to the award are subject to recoupment pursuant to the Company’s Policy Regarding the Recoupment of Certain Performance-Based</w:t>
      </w:r>
    </w:p>
    <w:p>
      <w:pPr>
        <w:spacing w:after="0" w:line="2" w:lineRule="exact"/>
        <w:rPr>
          <w:sz w:val="20"/>
          <w:szCs w:val="20"/>
          <w:color w:val="auto"/>
        </w:rPr>
      </w:pPr>
    </w:p>
    <w:p>
      <w:pPr>
        <w:ind w:right="178"/>
        <w:spacing w:after="0" w:line="220" w:lineRule="auto"/>
        <w:rPr>
          <w:sz w:val="20"/>
          <w:szCs w:val="20"/>
          <w:color w:val="auto"/>
        </w:rPr>
      </w:pPr>
      <w:r>
        <w:rPr>
          <w:rFonts w:ascii="Times New Roman" w:cs="Times New Roman" w:eastAsia="Times New Roman" w:hAnsi="Times New Roman"/>
          <w:sz w:val="17"/>
          <w:szCs w:val="17"/>
          <w:color w:val="auto"/>
        </w:rPr>
        <w:t>Compensation Payments as in effect from time to time, as well as any recoupment or similar provisions of applicable law, and the Grantee shall promptly make any reimbursement requested by the Board or</w:t>
      </w:r>
    </w:p>
    <w:p>
      <w:pPr>
        <w:spacing w:after="0" w:line="2" w:lineRule="exact"/>
        <w:rPr>
          <w:sz w:val="20"/>
          <w:szCs w:val="20"/>
          <w:color w:val="auto"/>
        </w:rPr>
      </w:pPr>
    </w:p>
    <w:p>
      <w:pPr>
        <w:ind w:right="18"/>
        <w:spacing w:after="0" w:line="208" w:lineRule="auto"/>
        <w:rPr>
          <w:sz w:val="20"/>
          <w:szCs w:val="20"/>
          <w:color w:val="auto"/>
        </w:rPr>
      </w:pPr>
      <w:r>
        <w:rPr>
          <w:rFonts w:ascii="Times New Roman" w:cs="Times New Roman" w:eastAsia="Times New Roman" w:hAnsi="Times New Roman"/>
          <w:sz w:val="18"/>
          <w:szCs w:val="18"/>
          <w:color w:val="auto"/>
        </w:rPr>
        <w:t>Committee pursuant to such policy or applicable law with respect to the award. The Grantee agrees, by accepting the award, that the Company and its affiliates may deduct from any amounts it may owe the Grantee</w:t>
      </w:r>
    </w:p>
    <w:p>
      <w:pPr>
        <w:spacing w:after="0" w:line="2" w:lineRule="exact"/>
        <w:rPr>
          <w:sz w:val="20"/>
          <w:szCs w:val="20"/>
          <w:color w:val="auto"/>
        </w:rPr>
      </w:pPr>
    </w:p>
    <w:p>
      <w:pPr>
        <w:ind w:right="158"/>
        <w:spacing w:after="0" w:line="218" w:lineRule="auto"/>
        <w:rPr>
          <w:sz w:val="20"/>
          <w:szCs w:val="20"/>
          <w:color w:val="auto"/>
        </w:rPr>
      </w:pPr>
      <w:r>
        <w:rPr>
          <w:rFonts w:ascii="Times New Roman" w:cs="Times New Roman" w:eastAsia="Times New Roman" w:hAnsi="Times New Roman"/>
          <w:sz w:val="18"/>
          <w:szCs w:val="18"/>
          <w:color w:val="auto"/>
        </w:rPr>
        <w:t>from time to time (such as wages or other compensation) to the extent of any amounts the Grantee is required to reimburse the Company pursuant to such policy or applicable law with respect to the award.</w:t>
      </w:r>
    </w:p>
    <w:p>
      <w:pPr>
        <w:spacing w:after="0" w:line="12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38"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w:t>
      </w:r>
    </w:p>
    <w:p>
      <w:pPr>
        <w:spacing w:after="0" w:line="2" w:lineRule="exact"/>
        <w:rPr>
          <w:sz w:val="20"/>
          <w:szCs w:val="20"/>
          <w:color w:val="auto"/>
        </w:rPr>
      </w:pPr>
    </w:p>
    <w:p>
      <w:pPr>
        <w:ind w:right="138"/>
        <w:spacing w:after="0" w:line="220" w:lineRule="auto"/>
        <w:rPr>
          <w:sz w:val="20"/>
          <w:szCs w:val="20"/>
          <w:color w:val="auto"/>
        </w:rPr>
      </w:pPr>
      <w:r>
        <w:rPr>
          <w:rFonts w:ascii="Times New Roman" w:cs="Times New Roman" w:eastAsia="Times New Roman" w:hAnsi="Times New Roman"/>
          <w:sz w:val="17"/>
          <w:szCs w:val="17"/>
          <w:color w:val="auto"/>
        </w:rPr>
        <w:t>incorporated in Delaware and headquartered in Virginia. You are involved in the most sensitive and proprietary matters affecting the Company, its subsidiaries, predecessors, and/or affiliates (collectively,</w:t>
      </w:r>
    </w:p>
    <w:p>
      <w:pPr>
        <w:spacing w:after="0" w:line="2" w:lineRule="exact"/>
        <w:rPr>
          <w:sz w:val="20"/>
          <w:szCs w:val="20"/>
          <w:color w:val="auto"/>
        </w:rPr>
      </w:pPr>
    </w:p>
    <w:p>
      <w:pPr>
        <w:ind w:right="98"/>
        <w:spacing w:after="0" w:line="208" w:lineRule="auto"/>
        <w:rPr>
          <w:sz w:val="20"/>
          <w:szCs w:val="20"/>
          <w:color w:val="auto"/>
        </w:rPr>
      </w:pPr>
      <w:r>
        <w:rPr>
          <w:rFonts w:ascii="Times New Roman" w:cs="Times New Roman" w:eastAsia="Times New Roman" w:hAnsi="Times New Roman"/>
          <w:sz w:val="18"/>
          <w:szCs w:val="18"/>
          <w:color w:val="auto"/>
        </w:rPr>
        <w:t>“Northrop Grumman”), including from a technical, strategic and financial perspective, and are widely exposed to confidential, sensitive and proprietary information concerning Northrop Grumman’s global</w:t>
      </w:r>
    </w:p>
    <w:p>
      <w:pPr>
        <w:spacing w:after="0" w:line="2" w:lineRule="exact"/>
        <w:rPr>
          <w:sz w:val="20"/>
          <w:szCs w:val="20"/>
          <w:color w:val="auto"/>
        </w:rPr>
      </w:pPr>
    </w:p>
    <w:p>
      <w:pPr>
        <w:ind w:right="198"/>
        <w:spacing w:after="0" w:line="220" w:lineRule="auto"/>
        <w:rPr>
          <w:sz w:val="20"/>
          <w:szCs w:val="20"/>
          <w:color w:val="auto"/>
        </w:rPr>
      </w:pPr>
      <w:r>
        <w:rPr>
          <w:rFonts w:ascii="Times New Roman" w:cs="Times New Roman" w:eastAsia="Times New Roman" w:hAnsi="Times New Roman"/>
          <w:sz w:val="17"/>
          <w:szCs w:val="17"/>
          <w:color w:val="auto"/>
        </w:rPr>
        <w:t>operations, at the headquarters and each of the operating sectors, including in the areas of autonomous systems, cyber, C4ISR, space, strike, sensors, electronics, and logistics and modernization. Your job</w:t>
      </w:r>
    </w:p>
    <w:p>
      <w:pPr>
        <w:spacing w:after="0" w:line="2" w:lineRule="exact"/>
        <w:rPr>
          <w:sz w:val="20"/>
          <w:szCs w:val="20"/>
          <w:color w:val="auto"/>
        </w:rPr>
      </w:pPr>
    </w:p>
    <w:p>
      <w:pPr>
        <w:ind w:right="18"/>
        <w:spacing w:after="0" w:line="220" w:lineRule="auto"/>
        <w:rPr>
          <w:sz w:val="20"/>
          <w:szCs w:val="20"/>
          <w:color w:val="auto"/>
        </w:rPr>
      </w:pPr>
      <w:r>
        <w:rPr>
          <w:rFonts w:ascii="Times New Roman" w:cs="Times New Roman" w:eastAsia="Times New Roman" w:hAnsi="Times New Roman"/>
          <w:sz w:val="17"/>
          <w:szCs w:val="17"/>
          <w:color w:val="auto"/>
        </w:rPr>
        <w:t>responsibilities require that you have a primary office location in Virginia and/or you spend substantial time at the corporate headquarters in Virginia, among other things, attending ELT and other leadership</w:t>
      </w:r>
    </w:p>
    <w:p>
      <w:pPr>
        <w:spacing w:after="0" w:line="2" w:lineRule="exact"/>
        <w:rPr>
          <w:sz w:val="20"/>
          <w:szCs w:val="20"/>
          <w:color w:val="auto"/>
        </w:rPr>
      </w:pPr>
    </w:p>
    <w:p>
      <w:pPr>
        <w:ind w:right="98"/>
        <w:spacing w:after="0" w:line="218" w:lineRule="auto"/>
        <w:rPr>
          <w:sz w:val="20"/>
          <w:szCs w:val="20"/>
          <w:color w:val="auto"/>
        </w:rPr>
      </w:pPr>
      <w:r>
        <w:rPr>
          <w:rFonts w:ascii="Times New Roman" w:cs="Times New Roman" w:eastAsia="Times New Roman" w:hAnsi="Times New Roman"/>
          <w:sz w:val="18"/>
          <w:szCs w:val="18"/>
          <w:color w:val="auto"/>
        </w:rPr>
        <w:t>meetings, and managing operations and employees in Virginia. You occupy one of the most senior executive positions in the Company and have far-reaching access to highly confidential, valuable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 w:right="100"/>
        <w:spacing w:after="0" w:line="229" w:lineRule="auto"/>
        <w:rPr>
          <w:sz w:val="20"/>
          <w:szCs w:val="20"/>
          <w:color w:val="auto"/>
        </w:rPr>
      </w:pPr>
      <w:r>
        <w:rPr>
          <w:rFonts w:ascii="Times New Roman" w:cs="Times New Roman" w:eastAsia="Times New Roman" w:hAnsi="Times New Roman"/>
          <w:sz w:val="17"/>
          <w:szCs w:val="17"/>
          <w:color w:val="auto"/>
        </w:rPr>
        <w:t>sensitive information, customer, vendor and employee relationships, intellectual property, strategic and tactical plans, and financial information and plans. The Company has a legitimate business interest</w:t>
      </w: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in restricting your ability to compete in the specific manner set forth below. The Company has provided you this grant, subject to this Agreement and as consideration for the restrictive covenants set forth in</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this Section 4.</w:t>
      </w:r>
    </w:p>
    <w:p>
      <w:pPr>
        <w:spacing w:after="0" w:line="188" w:lineRule="exact"/>
        <w:rPr>
          <w:sz w:val="20"/>
          <w:szCs w:val="20"/>
          <w:color w:val="auto"/>
        </w:rPr>
      </w:pPr>
    </w:p>
    <w:p>
      <w:pPr>
        <w:ind w:left="2" w:firstLine="32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w:t>
      </w: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than a Reduction-in-Force as determined at the Company’s sole discretion) (“Termination”), you will not, directly or indirectly, oversee, control, participate in, or support the design, operation, research,</w:t>
      </w:r>
    </w:p>
    <w:p>
      <w:pPr>
        <w:spacing w:after="0" w:line="2" w:lineRule="exact"/>
        <w:rPr>
          <w:sz w:val="20"/>
          <w:szCs w:val="20"/>
          <w:color w:val="auto"/>
        </w:rPr>
      </w:pPr>
    </w:p>
    <w:p>
      <w:pPr>
        <w:jc w:val="both"/>
        <w:ind w:left="2" w:right="120"/>
        <w:spacing w:after="0" w:line="220" w:lineRule="auto"/>
        <w:rPr>
          <w:sz w:val="20"/>
          <w:szCs w:val="20"/>
          <w:color w:val="auto"/>
        </w:rPr>
      </w:pPr>
      <w:r>
        <w:rPr>
          <w:rFonts w:ascii="Times New Roman" w:cs="Times New Roman" w:eastAsia="Times New Roman" w:hAnsi="Times New Roman"/>
          <w:sz w:val="17"/>
          <w:szCs w:val="17"/>
          <w:color w:val="auto"/>
        </w:rPr>
        <w:t>manufacture, marketing, sale, or distribution of “Competitive Products and Services”. For the purpose of this section, “Competitive Products and Services” shall mean products or services that compete for</w:t>
      </w:r>
    </w:p>
    <w:p>
      <w:pPr>
        <w:spacing w:after="0" w:line="2" w:lineRule="exact"/>
        <w:rPr>
          <w:sz w:val="20"/>
          <w:szCs w:val="20"/>
          <w:color w:val="auto"/>
        </w:rPr>
      </w:pPr>
    </w:p>
    <w:p>
      <w:pPr>
        <w:ind w:left="2" w:right="260"/>
        <w:spacing w:after="0" w:line="220" w:lineRule="auto"/>
        <w:rPr>
          <w:sz w:val="20"/>
          <w:szCs w:val="20"/>
          <w:color w:val="auto"/>
        </w:rPr>
      </w:pPr>
      <w:r>
        <w:rPr>
          <w:rFonts w:ascii="Times New Roman" w:cs="Times New Roman" w:eastAsia="Times New Roman" w:hAnsi="Times New Roman"/>
          <w:sz w:val="17"/>
          <w:szCs w:val="17"/>
          <w:color w:val="auto"/>
        </w:rPr>
        <w:t>resources with, or are an alternative or potential alternative to, the products sold or services provided by Northrop Grumman, including without limitation products and services in the areas of autonomous</w:t>
      </w:r>
    </w:p>
    <w:p>
      <w:pPr>
        <w:spacing w:after="0" w:line="2" w:lineRule="exact"/>
        <w:rPr>
          <w:sz w:val="20"/>
          <w:szCs w:val="20"/>
          <w:color w:val="auto"/>
        </w:rPr>
      </w:pPr>
    </w:p>
    <w:p>
      <w:pPr>
        <w:ind w:left="2" w:right="100"/>
        <w:spacing w:after="0" w:line="226" w:lineRule="auto"/>
        <w:rPr>
          <w:sz w:val="20"/>
          <w:szCs w:val="20"/>
          <w:color w:val="auto"/>
        </w:rPr>
      </w:pPr>
      <w:r>
        <w:rPr>
          <w:rFonts w:ascii="Times New Roman" w:cs="Times New Roman" w:eastAsia="Times New Roman" w:hAnsi="Times New Roman"/>
          <w:sz w:val="18"/>
          <w:szCs w:val="18"/>
          <w:color w:val="auto"/>
        </w:rPr>
        <w:t>systems, cyber, C4ISR, space, strike, sensors, electronics, and logistics and modernization.</w:t>
      </w:r>
    </w:p>
    <w:p>
      <w:pPr>
        <w:spacing w:after="0" w:line="180" w:lineRule="exact"/>
        <w:rPr>
          <w:sz w:val="20"/>
          <w:szCs w:val="20"/>
          <w:color w:val="auto"/>
        </w:rPr>
      </w:pPr>
    </w:p>
    <w:p>
      <w:pPr>
        <w:ind w:left="2" w:right="14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w:t>
      </w:r>
    </w:p>
    <w:p>
      <w:pPr>
        <w:ind w:left="2" w:right="60"/>
        <w:spacing w:after="0" w:line="208" w:lineRule="auto"/>
        <w:rPr>
          <w:sz w:val="20"/>
          <w:szCs w:val="20"/>
          <w:color w:val="auto"/>
        </w:rPr>
      </w:pPr>
      <w:r>
        <w:rPr>
          <w:rFonts w:ascii="Times New Roman" w:cs="Times New Roman" w:eastAsia="Times New Roman" w:hAnsi="Times New Roman"/>
          <w:sz w:val="18"/>
          <w:szCs w:val="18"/>
          <w:color w:val="auto"/>
        </w:rPr>
        <w:t>indirectly, solicit any customer, supplier, or teammate of Northrop Grumman with whom you engaged, or about whom you received confidential, sensitive, or proprietary information, in the course of your</w:t>
      </w:r>
    </w:p>
    <w:p>
      <w:pPr>
        <w:spacing w:after="0" w:line="2" w:lineRule="exact"/>
        <w:rPr>
          <w:sz w:val="20"/>
          <w:szCs w:val="20"/>
          <w:color w:val="auto"/>
        </w:rPr>
      </w:pPr>
    </w:p>
    <w:p>
      <w:pPr>
        <w:ind w:left="2" w:right="320"/>
        <w:spacing w:after="0" w:line="208" w:lineRule="auto"/>
        <w:rPr>
          <w:sz w:val="20"/>
          <w:szCs w:val="20"/>
          <w:color w:val="auto"/>
        </w:rPr>
      </w:pPr>
      <w:r>
        <w:rPr>
          <w:rFonts w:ascii="Times New Roman" w:cs="Times New Roman" w:eastAsia="Times New Roman" w:hAnsi="Times New Roman"/>
          <w:sz w:val="18"/>
          <w:szCs w:val="18"/>
          <w:color w:val="auto"/>
        </w:rPr>
        <w:t>employment with Northrop Grumman, for purposes of providing products or services in competition with Northrop Grumman. In the case of a governmental, regulatory or administrative agency,</w:t>
      </w:r>
    </w:p>
    <w:p>
      <w:pPr>
        <w:spacing w:after="0" w:line="2" w:lineRule="exact"/>
        <w:rPr>
          <w:sz w:val="20"/>
          <w:szCs w:val="20"/>
          <w:color w:val="auto"/>
        </w:rPr>
      </w:pPr>
    </w:p>
    <w:p>
      <w:pPr>
        <w:jc w:val="both"/>
        <w:ind w:left="2" w:right="100"/>
        <w:spacing w:after="0" w:line="218" w:lineRule="auto"/>
        <w:rPr>
          <w:sz w:val="20"/>
          <w:szCs w:val="20"/>
          <w:color w:val="auto"/>
        </w:rPr>
      </w:pPr>
      <w:r>
        <w:rPr>
          <w:rFonts w:ascii="Times New Roman" w:cs="Times New Roman" w:eastAsia="Times New Roman" w:hAnsi="Times New Roman"/>
          <w:sz w:val="18"/>
          <w:szCs w:val="18"/>
          <w:color w:val="auto"/>
        </w:rPr>
        <w:t>commission, department or other governmental authority, the customer is determined by reference to the specific program offices or activities for which Northrop Grumman provides goods or services.</w:t>
      </w:r>
    </w:p>
    <w:p>
      <w:pPr>
        <w:spacing w:after="0" w:line="187"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ind w:left="2" w:right="20" w:hanging="2"/>
        <w:spacing w:after="0" w:line="228" w:lineRule="auto"/>
        <w:tabs>
          <w:tab w:leader="none" w:pos="34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5" w:lineRule="exact"/>
        <w:rPr>
          <w:sz w:val="20"/>
          <w:szCs w:val="20"/>
          <w:color w:val="auto"/>
        </w:rPr>
      </w:pPr>
    </w:p>
    <w:p>
      <w:pPr>
        <w:ind w:left="2" w:right="14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w:t>
      </w:r>
    </w:p>
    <w:p>
      <w:pPr>
        <w:spacing w:after="0" w:line="3"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products, services, officers, directors, or employees; provided that the foregoing shall not apply to any truthful statements made in connection with a legal process, including government investigation, or as</w:t>
      </w:r>
    </w:p>
    <w:p>
      <w:pPr>
        <w:ind w:left="2"/>
        <w:spacing w:after="0" w:line="206" w:lineRule="auto"/>
        <w:rPr>
          <w:sz w:val="20"/>
          <w:szCs w:val="20"/>
          <w:color w:val="auto"/>
        </w:rPr>
      </w:pPr>
      <w:r>
        <w:rPr>
          <w:rFonts w:ascii="Times New Roman" w:cs="Times New Roman" w:eastAsia="Times New Roman" w:hAnsi="Times New Roman"/>
          <w:sz w:val="18"/>
          <w:szCs w:val="18"/>
          <w:color w:val="auto"/>
        </w:rPr>
        <w:t>otherwise provided by law.</w:t>
      </w:r>
    </w:p>
    <w:p>
      <w:pPr>
        <w:ind w:left="2" w:right="80" w:firstLine="405"/>
        <w:spacing w:after="0" w:line="223"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request an exception to the covenants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or 4.4 by making a written request to the Company’s</w:t>
      </w:r>
    </w:p>
    <w:p>
      <w:pPr>
        <w:spacing w:after="0" w:line="1" w:lineRule="exact"/>
        <w:rPr>
          <w:sz w:val="20"/>
          <w:szCs w:val="20"/>
          <w:color w:val="auto"/>
        </w:rPr>
      </w:pPr>
    </w:p>
    <w:p>
      <w:pPr>
        <w:ind w:left="2" w:right="20"/>
        <w:spacing w:after="0" w:line="218" w:lineRule="auto"/>
        <w:rPr>
          <w:sz w:val="20"/>
          <w:szCs w:val="20"/>
          <w:color w:val="auto"/>
        </w:rPr>
      </w:pPr>
      <w:r>
        <w:rPr>
          <w:rFonts w:ascii="Times New Roman" w:cs="Times New Roman" w:eastAsia="Times New Roman" w:hAnsi="Times New Roman"/>
          <w:sz w:val="18"/>
          <w:szCs w:val="18"/>
          <w:color w:val="auto"/>
        </w:rPr>
        <w:t>Chief Human Resources Officer, with such exceptions being considered at the sole discretion of the Company and communicated in writing to you.</w:t>
      </w:r>
    </w:p>
    <w:p>
      <w:pPr>
        <w:sectPr>
          <w:pgSz w:w="11900" w:h="16838" w:orient="portrait"/>
          <w:cols w:equalWidth="0" w:num="2">
            <w:col w:w="5198" w:space="720"/>
            <w:col w:w="5202"/>
          </w:cols>
          <w:pgMar w:left="320" w:top="1143" w:right="459" w:bottom="1440" w:gutter="0" w:footer="0" w:header="0"/>
        </w:sectPr>
      </w:pPr>
    </w:p>
    <w:bookmarkStart w:id="39" w:name="page40"/>
    <w:bookmarkEnd w:id="39"/>
    <w:p>
      <w:pPr>
        <w:ind w:right="18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i w:val="1"/>
          <w:iCs w:val="1"/>
          <w:color w:val="auto"/>
        </w:rPr>
        <w:t>Reasonableness.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agree that the restrictions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and 4.4 are (i) reasonable and necessary in all respects, including duration, territory and scope of activity, in order to</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protect the Company’s legitimate business interests, (ii) that the parties have attempted to limit your right to compete only to the extent necessary to protect the Company’s legitimate business interests, and</w:t>
      </w:r>
    </w:p>
    <w:p>
      <w:pPr>
        <w:spacing w:after="0" w:line="2" w:lineRule="exact"/>
        <w:rPr>
          <w:sz w:val="20"/>
          <w:szCs w:val="20"/>
          <w:color w:val="auto"/>
        </w:rPr>
      </w:pPr>
    </w:p>
    <w:p>
      <w:pPr>
        <w:ind w:right="180" w:firstLine="8"/>
        <w:spacing w:after="0" w:line="219" w:lineRule="auto"/>
        <w:tabs>
          <w:tab w:leader="none" w:pos="3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1" w:lineRule="exact"/>
        <w:rPr>
          <w:rFonts w:ascii="Times New Roman" w:cs="Times New Roman" w:eastAsia="Times New Roman" w:hAnsi="Times New Roman"/>
          <w:sz w:val="17"/>
          <w:szCs w:val="17"/>
          <w:color w:val="auto"/>
        </w:rPr>
      </w:pPr>
    </w:p>
    <w:p>
      <w:pPr>
        <w:ind w:right="20"/>
        <w:spacing w:after="0" w:line="2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p>
    <w:p>
      <w:pPr>
        <w:spacing w:after="0" w:line="6"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and/or 4.5 of this section, the Company shall have the right to terminate without payment to you any unvested and/or unpaid RSRs (and associated Dividend Equivalents) and require that you immediately</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deliver to the Company an amount in cash equal to the aggregate Fair Market Value, determined as of the vesting and/or payment date of all RSRs already received, including any Dividend Equivalents, within one</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year prior to the breach. Further, you acknowledge and agree that a breach of any of the provisions of this section will result in immediate, irreparable, and continuing damage to the Company for which there is</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no adequate remedy at law, and the Company will be entitled to injunctive relief, a decree of specific performance, and other relief as may be proper, including monetary damages, to the maximum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188" w:lineRule="exact"/>
        <w:rPr>
          <w:sz w:val="20"/>
          <w:szCs w:val="20"/>
          <w:color w:val="auto"/>
        </w:rPr>
      </w:pPr>
    </w:p>
    <w:p>
      <w:pPr>
        <w:ind w:left="420" w:right="560" w:hanging="412"/>
        <w:spacing w:after="0" w:line="239" w:lineRule="auto"/>
        <w:tabs>
          <w:tab w:leader="none" w:pos="4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240" w:firstLine="405"/>
        <w:spacing w:after="0" w:line="222"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then applicable requirements of law, the Securities and Exchange Commission, or other regulatory agencies having jurisdiction over the Company and its shares, and of any exchange upon which stock of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Company may be listed. The Grantee shall not have the rights and privileges of a stockholder, including without limitation the right to vote or receive dividends (except as expressly provided in this Agreement</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with respect to Dividend Equivalents), with respect to any shares which may be issued in respect of the RSRs until the date appearing on the certificate(s) for such shares (or, in the case of shares entered in book</w:t>
      </w:r>
    </w:p>
    <w:p>
      <w:pPr>
        <w:spacing w:after="0" w:line="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color w:val="auto"/>
        </w:rPr>
        <w:t>entry form, the date that the shares are actually recorded in such form for the benefit of the Grantee), if such shares become deliverable.</w:t>
      </w:r>
    </w:p>
    <w:p>
      <w:pPr>
        <w:spacing w:after="0" w:line="127"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w:t>
      </w:r>
    </w:p>
    <w:p>
      <w:pPr>
        <w:spacing w:after="0" w:line="6"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subject to the award are subject to adjustment upon the occurrence of events such as stock splits, stock dividends and other changes in capitalization in accordance with Section 6(a)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jc w:val="both"/>
        <w:ind w:left="2" w:firstLine="324"/>
        <w:spacing w:after="0" w:line="21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 the provisions of Section 2 hereof, and further subject to the Company’s ability to terminate the award as provided in Section 6.3 below, the</w:t>
      </w:r>
    </w:p>
    <w:p>
      <w:pPr>
        <w:spacing w:after="0" w:line="3" w:lineRule="exact"/>
        <w:rPr>
          <w:sz w:val="20"/>
          <w:szCs w:val="20"/>
          <w:color w:val="auto"/>
        </w:rPr>
      </w:pPr>
    </w:p>
    <w:p>
      <w:pPr>
        <w:ind w:left="2" w:right="280"/>
        <w:spacing w:after="0" w:line="220" w:lineRule="auto"/>
        <w:rPr>
          <w:sz w:val="20"/>
          <w:szCs w:val="20"/>
          <w:color w:val="auto"/>
        </w:rPr>
      </w:pPr>
      <w:r>
        <w:rPr>
          <w:rFonts w:ascii="Times New Roman" w:cs="Times New Roman" w:eastAsia="Times New Roman" w:hAnsi="Times New Roman"/>
          <w:sz w:val="17"/>
          <w:szCs w:val="17"/>
          <w:color w:val="auto"/>
        </w:rPr>
        <w:t>outstanding and previously unvested RSRs (and related Dividend Equivalents) subject to the award shall become fully vested as of the date of the Grantee’s termination of employment if the termination</w:t>
      </w:r>
    </w:p>
    <w:p>
      <w:pPr>
        <w:spacing w:after="0" w:line="2" w:lineRule="exact"/>
        <w:rPr>
          <w:sz w:val="20"/>
          <w:szCs w:val="20"/>
          <w:color w:val="auto"/>
        </w:rPr>
      </w:pPr>
    </w:p>
    <w:p>
      <w:pPr>
        <w:ind w:left="2" w:right="100"/>
        <w:spacing w:after="0" w:line="208" w:lineRule="auto"/>
        <w:rPr>
          <w:sz w:val="20"/>
          <w:szCs w:val="20"/>
          <w:color w:val="auto"/>
        </w:rPr>
      </w:pPr>
      <w:r>
        <w:rPr>
          <w:rFonts w:ascii="Times New Roman" w:cs="Times New Roman" w:eastAsia="Times New Roman" w:hAnsi="Times New Roman"/>
          <w:sz w:val="18"/>
          <w:szCs w:val="18"/>
          <w:color w:val="auto"/>
        </w:rPr>
        <w:t>occurs either within the Protected Period corresponding to a Change in Control of the Company or within twenty-four (24) calendar months following the date of a Change in Control of the Company, the</w:t>
      </w:r>
    </w:p>
    <w:p>
      <w:pPr>
        <w:spacing w:after="0" w:line="2" w:lineRule="exact"/>
        <w:rPr>
          <w:sz w:val="20"/>
          <w:szCs w:val="20"/>
          <w:color w:val="auto"/>
        </w:rPr>
      </w:pPr>
    </w:p>
    <w:p>
      <w:pPr>
        <w:ind w:left="2" w:right="560"/>
        <w:spacing w:after="0" w:line="231" w:lineRule="auto"/>
        <w:rPr>
          <w:sz w:val="20"/>
          <w:szCs w:val="20"/>
          <w:color w:val="auto"/>
        </w:rPr>
      </w:pPr>
      <w:r>
        <w:rPr>
          <w:rFonts w:ascii="Times New Roman" w:cs="Times New Roman" w:eastAsia="Times New Roman" w:hAnsi="Times New Roman"/>
          <w:sz w:val="17"/>
          <w:szCs w:val="17"/>
          <w:color w:val="auto"/>
        </w:rPr>
        <w:t>Grantee’s employment by the Company and its subsidiaries is involuntarily terminated by the Company and its subsidiaries for reasons other than Cause or by the Grantee for Good Reason.</w:t>
      </w:r>
    </w:p>
    <w:p>
      <w:pPr>
        <w:spacing w:after="0" w:line="131" w:lineRule="exact"/>
        <w:rPr>
          <w:sz w:val="20"/>
          <w:szCs w:val="20"/>
          <w:color w:val="auto"/>
        </w:rPr>
      </w:pPr>
    </w:p>
    <w:p>
      <w:pPr>
        <w:ind w:left="2" w:right="240" w:firstLine="405"/>
        <w:spacing w:after="0" w:line="236"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termination of the Grantee’s employment (or other events giving</w:t>
      </w:r>
    </w:p>
    <w:p>
      <w:pPr>
        <w:ind w:left="2"/>
        <w:spacing w:after="0" w:line="208" w:lineRule="auto"/>
        <w:rPr>
          <w:sz w:val="20"/>
          <w:szCs w:val="20"/>
          <w:color w:val="auto"/>
        </w:rPr>
      </w:pPr>
      <w:r>
        <w:rPr>
          <w:rFonts w:ascii="Times New Roman" w:cs="Times New Roman" w:eastAsia="Times New Roman" w:hAnsi="Times New Roman"/>
          <w:sz w:val="18"/>
          <w:szCs w:val="18"/>
          <w:color w:val="auto"/>
        </w:rPr>
        <w:t>rise to Good Reason) shall not entitle the Grantee to any accelerated vesting pursuant to this Section 6.2 if there is objective evidence that, as of the commencement of the Protected Period, the Grantee had</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specifically been identified by the Company as an employee whose employment would be terminated as part of a corporate restructuring or downsizing program that commenced prior to the Protected Period and</w:t>
      </w:r>
    </w:p>
    <w:p>
      <w:pPr>
        <w:spacing w:after="0" w:line="2" w:lineRule="exact"/>
        <w:rPr>
          <w:sz w:val="20"/>
          <w:szCs w:val="20"/>
          <w:color w:val="auto"/>
        </w:rPr>
      </w:pPr>
    </w:p>
    <w:p>
      <w:pPr>
        <w:ind w:left="2" w:right="360"/>
        <w:spacing w:after="0" w:line="226" w:lineRule="auto"/>
        <w:rPr>
          <w:sz w:val="20"/>
          <w:szCs w:val="20"/>
          <w:color w:val="auto"/>
        </w:rPr>
      </w:pPr>
      <w:r>
        <w:rPr>
          <w:rFonts w:ascii="Times New Roman" w:cs="Times New Roman" w:eastAsia="Times New Roman" w:hAnsi="Times New Roman"/>
          <w:sz w:val="18"/>
          <w:szCs w:val="18"/>
          <w:color w:val="auto"/>
        </w:rPr>
        <w:t>such termination of employment was expected at that time to occur within six (6) months.</w:t>
      </w:r>
    </w:p>
    <w:p>
      <w:pPr>
        <w:spacing w:after="0" w:line="130" w:lineRule="exact"/>
        <w:rPr>
          <w:sz w:val="20"/>
          <w:szCs w:val="20"/>
          <w:color w:val="auto"/>
        </w:rPr>
      </w:pPr>
    </w:p>
    <w:p>
      <w:pPr>
        <w:ind w:left="2" w:firstLine="405"/>
        <w:spacing w:after="0" w:line="216"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will be made at the time provided for in Section 2.7 as though the termination of the Grantee’s employment was due to a</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Normal Retirement.</w:t>
      </w:r>
    </w:p>
    <w:p>
      <w:pPr>
        <w:spacing w:after="0" w:line="120"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Company</w:t>
      </w:r>
    </w:p>
    <w:p>
      <w:pPr>
        <w:spacing w:after="0" w:line="6" w:lineRule="exact"/>
        <w:rPr>
          <w:sz w:val="20"/>
          <w:szCs w:val="20"/>
          <w:color w:val="auto"/>
        </w:rPr>
      </w:pPr>
    </w:p>
    <w:p>
      <w:pPr>
        <w:ind w:left="2" w:right="160"/>
        <w:spacing w:after="0" w:line="220" w:lineRule="auto"/>
        <w:rPr>
          <w:sz w:val="20"/>
          <w:szCs w:val="20"/>
          <w:color w:val="auto"/>
        </w:rPr>
      </w:pPr>
      <w:r>
        <w:rPr>
          <w:rFonts w:ascii="Times New Roman" w:cs="Times New Roman" w:eastAsia="Times New Roman" w:hAnsi="Times New Roman"/>
          <w:sz w:val="17"/>
          <w:szCs w:val="17"/>
          <w:color w:val="auto"/>
        </w:rPr>
        <w:t>undergoes a Change in Control triggered by clause (iii) or (iv) of the definition thereof and the Company is not the surviving entity and the successor to the Company (if any) (or a Parent thereof) does not agree</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in writing prior to the occurrence of the Change in Control to continue and assume the award following the Change in Control, or if for any other reason the award would not continue after the Change in Control,</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then upon the Change in Control the outstanding and previously unvested RSRs (and related Dividend Equivalents) subject to the award shall vest fully and completely. Unless the Committee expressly</w:t>
      </w:r>
    </w:p>
    <w:p>
      <w:pPr>
        <w:spacing w:after="0" w:line="2" w:lineRule="exact"/>
        <w:rPr>
          <w:sz w:val="20"/>
          <w:szCs w:val="20"/>
          <w:color w:val="auto"/>
        </w:rPr>
      </w:pPr>
    </w:p>
    <w:p>
      <w:pPr>
        <w:jc w:val="both"/>
        <w:ind w:left="2" w:right="140"/>
        <w:spacing w:after="0" w:line="208" w:lineRule="auto"/>
        <w:rPr>
          <w:sz w:val="20"/>
          <w:szCs w:val="20"/>
          <w:color w:val="auto"/>
        </w:rPr>
      </w:pPr>
      <w:r>
        <w:rPr>
          <w:rFonts w:ascii="Times New Roman" w:cs="Times New Roman" w:eastAsia="Times New Roman" w:hAnsi="Times New Roman"/>
          <w:sz w:val="18"/>
          <w:szCs w:val="18"/>
          <w:color w:val="auto"/>
        </w:rPr>
        <w:t>provides otherwise in the circumstances, no acceleration of vesting of the award shall occur pursuant to this Section 6.3 in connection with a Change in Control if either (a) the Company is the surviving entity, or</w:t>
      </w:r>
    </w:p>
    <w:p>
      <w:pPr>
        <w:spacing w:after="0" w:line="2" w:lineRule="exact"/>
        <w:rPr>
          <w:sz w:val="20"/>
          <w:szCs w:val="20"/>
          <w:color w:val="auto"/>
        </w:rPr>
      </w:pPr>
    </w:p>
    <w:p>
      <w:pPr>
        <w:ind w:left="2" w:right="40" w:hanging="2"/>
        <w:spacing w:after="0" w:line="212" w:lineRule="auto"/>
        <w:tabs>
          <w:tab w:leader="none" w:pos="2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23" w:lineRule="exact"/>
        <w:rPr>
          <w:sz w:val="20"/>
          <w:szCs w:val="20"/>
          <w:color w:val="auto"/>
        </w:rPr>
      </w:pPr>
    </w:p>
    <w:p>
      <w:pPr>
        <w:ind w:left="2" w:firstLine="405"/>
        <w:spacing w:after="0" w:line="250"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6.3 will be made</w:t>
      </w:r>
    </w:p>
    <w:p>
      <w:pPr>
        <w:sectPr>
          <w:pgSz w:w="11900" w:h="16838" w:orient="portrait"/>
          <w:cols w:equalWidth="0" w:num="2">
            <w:col w:w="5220" w:space="698"/>
            <w:col w:w="5202"/>
          </w:cols>
          <w:pgMar w:left="320" w:top="1143" w:right="459" w:bottom="1440" w:gutter="0" w:footer="0" w:header="0"/>
        </w:sectPr>
      </w:pPr>
    </w:p>
    <w:bookmarkStart w:id="40" w:name="page41"/>
    <w:bookmarkEnd w:id="40"/>
    <w:p>
      <w:pPr>
        <w:spacing w:after="0" w:line="216" w:lineRule="auto"/>
        <w:rPr>
          <w:sz w:val="20"/>
          <w:szCs w:val="20"/>
          <w:color w:val="auto"/>
        </w:rPr>
      </w:pPr>
      <w:r>
        <w:rPr>
          <w:rFonts w:ascii="Times New Roman" w:cs="Times New Roman" w:eastAsia="Times New Roman" w:hAnsi="Times New Roman"/>
          <w:sz w:val="18"/>
          <w:szCs w:val="18"/>
          <w:color w:val="auto"/>
        </w:rPr>
        <w:t>within 60 days of the third anniversary of the Grant Date unless, prior to such date: (i) the Grantee dies or has a Disability, in which case such payment will be made within 60 days of the Grantee’s death or</w:t>
      </w:r>
    </w:p>
    <w:p>
      <w:pPr>
        <w:spacing w:after="0" w:line="1"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Disability, as the case may be, or (ii) the Grantee has a Separation from Service, in which case such payment will be made at the time provided for in Section 2.7 as though the termination of the Grantee’s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was due to a Normal Retirement.</w:t>
      </w:r>
    </w:p>
    <w:p>
      <w:pPr>
        <w:spacing w:after="0" w:line="120"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8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i w:val="1"/>
          <w:iCs w:val="1"/>
          <w:color w:val="auto"/>
        </w:rPr>
        <w:t>Tax Withholding</w:t>
      </w:r>
      <w:r>
        <w:rPr>
          <w:rFonts w:ascii="Times New Roman" w:cs="Times New Roman" w:eastAsia="Times New Roman" w:hAnsi="Times New Roman"/>
          <w:sz w:val="17"/>
          <w:szCs w:val="17"/>
          <w:color w:val="auto"/>
        </w:rPr>
        <w:t>. The Company or the subsidiary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employs the Grantee shall be entitled to require, as a condition of</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making any payments or issuing any shares upon vesting of the RSRs (and related Dividend Equivalents), that the Grantee or other person entitled to such shares or other payment pay the minimum sums</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required to be withheld by federal, state, local or other applicable tax law with respect to such vesting or payment. Alternatively, the Company or such subsidiary, in its discretion, may make such</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provisions for the withholding of taxes as it deems appropriate (including, without limitation, withholding the taxes due from compensation otherwise payable to the Grantee or reducing the number</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of shares otherwise deliverable with respect to the award (valued at their then Fair Market Value) by the amount necessary to satisfy such statutory minimum withholding obligations).</w:t>
      </w:r>
    </w:p>
    <w:p>
      <w:pPr>
        <w:spacing w:after="0" w:line="127" w:lineRule="exact"/>
        <w:rPr>
          <w:sz w:val="20"/>
          <w:szCs w:val="20"/>
          <w:color w:val="auto"/>
        </w:rPr>
      </w:pPr>
    </w:p>
    <w:p>
      <w:pPr>
        <w:ind w:firstLine="324"/>
        <w:spacing w:after="0" w:line="22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 transfer taxes, if any, and other fees and expenses in connection with the</w:t>
      </w:r>
    </w:p>
    <w:p>
      <w:pPr>
        <w:spacing w:after="0"/>
        <w:rPr>
          <w:sz w:val="20"/>
          <w:szCs w:val="20"/>
          <w:color w:val="auto"/>
        </w:rPr>
      </w:pPr>
      <w:r>
        <w:rPr>
          <w:rFonts w:ascii="Times New Roman" w:cs="Times New Roman" w:eastAsia="Times New Roman" w:hAnsi="Times New Roman"/>
          <w:sz w:val="18"/>
          <w:szCs w:val="18"/>
          <w:color w:val="auto"/>
        </w:rPr>
        <w:t>issuance of shares in connection with the vesting of the RSRs.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Committee shall administer and</w:t>
      </w:r>
    </w:p>
    <w:p>
      <w:pPr>
        <w:spacing w:after="0" w:line="6"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construe the award in a manner designed to comply with the Code and to avoid adverse tax consequences under Code Section 409A.</w:t>
      </w:r>
    </w:p>
    <w:p>
      <w:pPr>
        <w:spacing w:after="0" w:line="126" w:lineRule="exact"/>
        <w:rPr>
          <w:sz w:val="20"/>
          <w:szCs w:val="20"/>
          <w:color w:val="auto"/>
        </w:rPr>
      </w:pPr>
    </w:p>
    <w:p>
      <w:pPr>
        <w:ind w:right="200" w:firstLine="324"/>
        <w:spacing w:after="0" w:line="21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 payment under the award shall be an unsecured contractual claim against the Company. As such, neither the Grantee nor any Successor</w:t>
      </w:r>
    </w:p>
    <w:p>
      <w:pPr>
        <w:spacing w:after="0" w:line="3"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shall have any rights in or against any specific assets of the Company based on the award. Awards shall at all times be considered entirely unfunded for tax purposes.</w:t>
      </w:r>
    </w:p>
    <w:p>
      <w:pPr>
        <w:spacing w:after="0" w:line="127"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7.5 Code Section 280G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Notwithstanding any other provision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Agreement to the contrary, in the event that any amounts payable to</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7"/>
          <w:szCs w:val="17"/>
          <w:color w:val="auto"/>
        </w:rPr>
        <w:t>you as a result of Section 6.2 or 6.3 hereof, either alone or together with amounts payable pursuant to any other plan, program or arrangement</w:t>
      </w:r>
    </w:p>
    <w:p>
      <w:pPr>
        <w:spacing w:after="0" w:line="1" w:lineRule="exact"/>
        <w:rPr>
          <w:sz w:val="20"/>
          <w:szCs w:val="20"/>
          <w:color w:val="auto"/>
        </w:rPr>
      </w:pPr>
    </w:p>
    <w:p>
      <w:pPr>
        <w:ind w:right="20" w:firstLine="8"/>
        <w:spacing w:after="0" w:line="212"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120"/>
        <w:spacing w:after="0" w:line="229" w:lineRule="auto"/>
        <w:rPr>
          <w:sz w:val="20"/>
          <w:szCs w:val="20"/>
          <w:color w:val="auto"/>
        </w:rPr>
      </w:pPr>
      <w:r>
        <w:rPr>
          <w:rFonts w:ascii="Times New Roman" w:cs="Times New Roman" w:eastAsia="Times New Roman" w:hAnsi="Times New Roman"/>
          <w:sz w:val="17"/>
          <w:szCs w:val="17"/>
          <w:color w:val="auto"/>
        </w:rPr>
        <w:t>benefits, notwithstanding that all or some portion of such benefits may be subject to the Excise Tax. All determinations required to be made under this Section 7.5 shall be made by a registered public accounting</w:t>
      </w:r>
    </w:p>
    <w:p>
      <w:pPr>
        <w:ind w:left="2" w:right="140"/>
        <w:spacing w:after="0" w:line="208" w:lineRule="auto"/>
        <w:rPr>
          <w:sz w:val="20"/>
          <w:szCs w:val="20"/>
          <w:color w:val="auto"/>
        </w:rPr>
      </w:pPr>
      <w:r>
        <w:rPr>
          <w:rFonts w:ascii="Times New Roman" w:cs="Times New Roman" w:eastAsia="Times New Roman" w:hAnsi="Times New Roman"/>
          <w:sz w:val="18"/>
          <w:szCs w:val="18"/>
          <w:color w:val="auto"/>
        </w:rPr>
        <w:t>firm selected by the Company, which shall provide supporting calculations both to the Company and you no later than the date of the applicable Change in Control. In the event that the Payments are to be</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reduced pursuant to this Section 7.5, such Payments shall be reduced such that the reduction of compensation to be provided to the Executive as a result of this Section 7.5 is minimized. In applying this principle,</w:t>
      </w:r>
    </w:p>
    <w:p>
      <w:pPr>
        <w:spacing w:after="0" w:line="2"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the reduction shall be made in a manner consistent with the requirements of Section 409A and where two economically equivalent amounts are subject to reduction but payable at different times, such</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amounts shall be reduced on a pro rata basis but not below zero.</w:t>
      </w:r>
    </w:p>
    <w:p>
      <w:pPr>
        <w:spacing w:after="0" w:line="120" w:lineRule="exact"/>
        <w:rPr>
          <w:sz w:val="20"/>
          <w:szCs w:val="20"/>
          <w:color w:val="auto"/>
        </w:rPr>
      </w:pPr>
    </w:p>
    <w:p>
      <w:pPr>
        <w:ind w:left="642" w:hanging="642"/>
        <w:spacing w:after="0"/>
        <w:tabs>
          <w:tab w:leader="none" w:pos="64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2" w:right="160" w:firstLine="177"/>
        <w:spacing w:after="0" w:line="222"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Any cause of action or claim arising out of or related to the</w:t>
      </w:r>
    </w:p>
    <w:p>
      <w:pPr>
        <w:spacing w:after="0" w:line="2"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terms and conditions applicable to this grant will be determined through final and binding arbitration, in accordance with Northrop Grumman Manual USHR 2-32, provided that the prevailing party in the arbitration</w:t>
      </w:r>
    </w:p>
    <w:p>
      <w:pPr>
        <w:spacing w:after="0" w:line="2" w:lineRule="exact"/>
        <w:rPr>
          <w:sz w:val="20"/>
          <w:szCs w:val="20"/>
          <w:color w:val="auto"/>
        </w:rPr>
      </w:pPr>
    </w:p>
    <w:p>
      <w:pPr>
        <w:ind w:left="2" w:right="280"/>
        <w:spacing w:after="0" w:line="208" w:lineRule="auto"/>
        <w:rPr>
          <w:sz w:val="20"/>
          <w:szCs w:val="20"/>
          <w:color w:val="auto"/>
        </w:rPr>
      </w:pPr>
      <w:r>
        <w:rPr>
          <w:rFonts w:ascii="Times New Roman" w:cs="Times New Roman" w:eastAsia="Times New Roman" w:hAnsi="Times New Roman"/>
          <w:sz w:val="18"/>
          <w:szCs w:val="18"/>
          <w:color w:val="auto"/>
        </w:rPr>
        <w:t>shall be entitled to receive from the losing party reasonably incurred attorneys’ fees and costs. You and the Company agree that any arbitration hearing and related proceedings shall be convened and</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conducted in Falls Church, VA. If you or the Company believes they require immediate relief to enforce or challenge this Agreement, before arbitration is commenced or concluded, either party may seek injunctive</w:t>
      </w:r>
    </w:p>
    <w:p>
      <w:pPr>
        <w:spacing w:after="0" w:line="2" w:lineRule="exact"/>
        <w:rPr>
          <w:sz w:val="20"/>
          <w:szCs w:val="20"/>
          <w:color w:val="auto"/>
        </w:rPr>
      </w:pPr>
    </w:p>
    <w:p>
      <w:pPr>
        <w:jc w:val="both"/>
        <w:ind w:left="2" w:right="160"/>
        <w:spacing w:after="0" w:line="220" w:lineRule="auto"/>
        <w:rPr>
          <w:sz w:val="20"/>
          <w:szCs w:val="20"/>
          <w:color w:val="auto"/>
        </w:rPr>
      </w:pPr>
      <w:r>
        <w:rPr>
          <w:rFonts w:ascii="Times New Roman" w:cs="Times New Roman" w:eastAsia="Times New Roman" w:hAnsi="Times New Roman"/>
          <w:sz w:val="17"/>
          <w:szCs w:val="17"/>
          <w:color w:val="auto"/>
        </w:rPr>
        <w:t>or other provisional equitable relief from a state or federal court in the Commonwealth of Virginia. All court actions or proceedings arising under this Agreement shall be heard in a state or federal court in the</w:t>
      </w:r>
    </w:p>
    <w:p>
      <w:pPr>
        <w:spacing w:after="0" w:line="2" w:lineRule="exact"/>
        <w:rPr>
          <w:sz w:val="20"/>
          <w:szCs w:val="20"/>
          <w:color w:val="auto"/>
        </w:rPr>
      </w:pP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Commonwealth of Virginia. The Company and you hereby agree to the jurisdiction of the state and federal courts in the Commonwealth of Virginia and waive any right to object to such actions on grounds of</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venue, jurisdiction or convenience.</w:t>
      </w:r>
    </w:p>
    <w:p>
      <w:pPr>
        <w:spacing w:after="0" w:line="120" w:lineRule="exact"/>
        <w:rPr>
          <w:sz w:val="20"/>
          <w:szCs w:val="20"/>
          <w:color w:val="auto"/>
        </w:rPr>
      </w:pPr>
    </w:p>
    <w:p>
      <w:pPr>
        <w:ind w:left="322" w:hanging="322"/>
        <w:spacing w:after="0"/>
        <w:tabs>
          <w:tab w:leader="none" w:pos="32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40" w:firstLine="405"/>
        <w:spacing w:after="0" w:line="236" w:lineRule="auto"/>
        <w:rPr>
          <w:sz w:val="20"/>
          <w:szCs w:val="20"/>
          <w:color w:val="auto"/>
        </w:rPr>
      </w:pPr>
      <w:r>
        <w:rPr>
          <w:rFonts w:ascii="Times New Roman" w:cs="Times New Roman" w:eastAsia="Times New Roman" w:hAnsi="Times New Roman"/>
          <w:sz w:val="17"/>
          <w:szCs w:val="17"/>
          <w:color w:val="auto"/>
        </w:rPr>
        <w:t>The Committee has the discretionary authority to determine any questions as to the date when the Grantee’s employment terminated and</w:t>
      </w:r>
    </w:p>
    <w:p>
      <w:pPr>
        <w:ind w:left="2" w:right="140"/>
        <w:spacing w:after="0" w:line="208" w:lineRule="auto"/>
        <w:rPr>
          <w:sz w:val="20"/>
          <w:szCs w:val="20"/>
          <w:color w:val="auto"/>
        </w:rPr>
      </w:pPr>
      <w:r>
        <w:rPr>
          <w:rFonts w:ascii="Times New Roman" w:cs="Times New Roman" w:eastAsia="Times New Roman" w:hAnsi="Times New Roman"/>
          <w:sz w:val="18"/>
          <w:szCs w:val="18"/>
          <w:color w:val="auto"/>
        </w:rPr>
        <w:t>the cause of such termination and to interpret any provision of this Agreement, the Grant Letter, the Stock Plan System, the Plan, and any other applicable rules. Any action taken by, or inaction of, the</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Committee relating to or pursuant to this Agreement, the Grant Letter, the Stock Plan System, the Plan, or any other applicable rules shall be within the absolute discretion of the Committee and shall be conclusive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and binding on all persons.</w:t>
      </w:r>
    </w:p>
    <w:p>
      <w:pPr>
        <w:spacing w:after="0" w:line="120" w:lineRule="exact"/>
        <w:rPr>
          <w:sz w:val="20"/>
          <w:szCs w:val="20"/>
          <w:color w:val="auto"/>
        </w:rPr>
      </w:pPr>
    </w:p>
    <w:p>
      <w:pPr>
        <w:ind w:left="402" w:hanging="402"/>
        <w:spacing w:after="0"/>
        <w:tabs>
          <w:tab w:leader="none" w:pos="40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firstLine="405"/>
        <w:spacing w:after="0" w:line="222" w:lineRule="auto"/>
        <w:rPr>
          <w:sz w:val="20"/>
          <w:szCs w:val="20"/>
          <w:color w:val="auto"/>
        </w:rPr>
      </w:pPr>
      <w:r>
        <w:rPr>
          <w:rFonts w:ascii="Times New Roman" w:cs="Times New Roman" w:eastAsia="Times New Roman" w:hAnsi="Times New Roman"/>
          <w:sz w:val="18"/>
          <w:szCs w:val="18"/>
          <w:color w:val="auto"/>
        </w:rPr>
        <w:t>The RSRs (and related Dividend Equivalents) subject to the award are governed by, and the Grantee’s rights are subject to, all of the terms</w:t>
      </w:r>
    </w:p>
    <w:p>
      <w:pPr>
        <w:spacing w:after="0" w:line="2"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and conditions of the Plan and any other rules adopted by the Committee, as the foregoing may be amended from time to time. The Grantee shall have no rights with respect to any amendment of this</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 or the Plan unless such</w:t>
      </w:r>
    </w:p>
    <w:p>
      <w:pPr>
        <w:sectPr>
          <w:pgSz w:w="11900" w:h="16838" w:orient="portrait"/>
          <w:cols w:equalWidth="0" w:num="2">
            <w:col w:w="5220" w:space="698"/>
            <w:col w:w="5202"/>
          </w:cols>
          <w:pgMar w:left="320" w:top="1147" w:right="459" w:bottom="1440" w:gutter="0" w:footer="0" w:header="0"/>
        </w:sectPr>
      </w:pPr>
    </w:p>
    <w:bookmarkStart w:id="41" w:name="page42"/>
    <w:bookmarkEnd w:id="41"/>
    <w:p>
      <w:pPr>
        <w:jc w:val="both"/>
        <w:ind w:right="40"/>
        <w:spacing w:after="0" w:line="216" w:lineRule="auto"/>
        <w:rPr>
          <w:sz w:val="20"/>
          <w:szCs w:val="20"/>
          <w:color w:val="auto"/>
        </w:rPr>
      </w:pPr>
      <w:r>
        <w:rPr>
          <w:rFonts w:ascii="Times New Roman" w:cs="Times New Roman" w:eastAsia="Times New Roman" w:hAnsi="Times New Roman"/>
          <w:sz w:val="18"/>
          <w:szCs w:val="18"/>
          <w:color w:val="auto"/>
        </w:rPr>
        <w:t>amendment is in writing and signed by a duly authorized officer of the Company. In the event of a conflict between the provisions of the Grant Letter and/or the Stock Plan System and the provisions of this</w:t>
      </w:r>
    </w:p>
    <w:p>
      <w:pPr>
        <w:spacing w:after="0" w:line="1"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Agreement and/or the Plan, the provisions of this Agreement and/or the Plan, as applicable, shall control.</w:t>
      </w:r>
    </w:p>
    <w:p>
      <w:pPr>
        <w:spacing w:after="0" w:line="126"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holding requirements of this Section 11 shall apply to any</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Grantee who is an elected or appointed officer of the Company on the date Vested RSRs are paid (or, if earlier, on the date the Grantee’s employment by the Company and its subsidiaries terminates for any</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reason). Any Grantee subject to this Section 11 shall not be permitted to sell, transfer, anticipate, alienate, assign, pledge, encumber or charge the number of shares equal to 50% of the total payout of Vested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RSRs(net of taxes withheld) until the earlier of (A) the third anniversary of the date such shares of Common Stock are paid to the Grantee, (B) the date the Grantee’s employment by the Company and its subsidiaries</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terminates due to the Grantee’s death or Disability, (C) the occurrence of a Change in Control that results in termination and payment under Section 6.2 or 6.3 above, or (D) with respected to Grantee’s entering a</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U.S. federal government position only, the latest of (i) the date the Grantee’s employment with the Company terminates, or (ii) the date the Grantee formally accepts the government position in writing, or (iii)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date the government confirms the Grantee (for positions requiring nomination and confirmation). For purposes of this Section 11, the total payout of Vested RSRs shall be determined on a net basis after taking</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into account any shares otherwise deliverable with respect to the award that the Company withholds to satisfy tax obligations pursuant to Section 7.1. If Grantee is paid less than 50% of the total payout of</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Vested RSRs (net of taxes) in shares, then all of the shares received will be subject to the holding period requirements in this Section 11. Any shares of Common Stock received in respect of shares that are covered</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by the holding period requirements of this Section 11 (such as shares received in respect of a stock split or stock dividend) shall be subject to the same holding period requirements as the shares to which they relate.</w:t>
      </w:r>
    </w:p>
    <w:p>
      <w:pPr>
        <w:spacing w:after="0" w:line="127"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05"/>
        <w:spacing w:after="0" w:line="22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48" w:lineRule="exact"/>
        <w:rPr>
          <w:sz w:val="20"/>
          <w:szCs w:val="20"/>
          <w:color w:val="auto"/>
        </w:rPr>
      </w:pPr>
    </w:p>
    <w:p>
      <w:pPr>
        <w:ind w:left="580" w:right="120" w:hanging="329"/>
        <w:spacing w:after="0" w:line="223" w:lineRule="auto"/>
        <w:tabs>
          <w:tab w:leader="none" w:pos="6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560" w:right="40" w:hanging="319"/>
        <w:spacing w:after="0" w:line="217" w:lineRule="auto"/>
        <w:tabs>
          <w:tab w:leader="none" w:pos="6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10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28"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Committee or any successor committee appointed by the Board to administer the Plan.</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w:t>
      </w:r>
    </w:p>
    <w:p>
      <w:pPr>
        <w:spacing w:after="0" w:line="6"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is unable to engage in any substantial gainful activity by reason of any medically determinable physical or mental impairment which can be expected to result in death or can be expected to last for a continuous</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period of not less than twelve months; or (ii) is, by reason of any medically determinable physical or mental impairment which can be expected to result in death or can be expected to last for a continuous</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period of not less than twelve months, receiving income replacement benefits for a period of not less than three months under an accident and health plan covering employees of the Grantee’s employer; all</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construed and interpreted consistent with the definition of “Disability” set forth in Code Section 409A(a)(2)(C).</w:t>
      </w:r>
    </w:p>
    <w:p>
      <w:pPr>
        <w:spacing w:after="0" w:line="126" w:lineRule="exact"/>
        <w:rPr>
          <w:sz w:val="20"/>
          <w:szCs w:val="20"/>
          <w:color w:val="auto"/>
        </w:rPr>
      </w:pPr>
    </w:p>
    <w:p>
      <w:pPr>
        <w:ind w:right="340"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Early Retirement</w:t>
      </w:r>
      <w:r>
        <w:rPr>
          <w:rFonts w:ascii="Times New Roman" w:cs="Times New Roman" w:eastAsia="Times New Roman" w:hAnsi="Times New Roman"/>
          <w:sz w:val="17"/>
          <w:szCs w:val="17"/>
          <w:color w:val="auto"/>
        </w:rPr>
        <w:t>” means that the Grantee’s employment terminates in any of the following circumstances, and other than a termination of employment that constitutes a Normal Retirement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occurs in connection with a termination by the Company or a subsidiary for Cause:</w:t>
      </w:r>
    </w:p>
    <w:p>
      <w:pPr>
        <w:spacing w:after="0" w:line="157" w:lineRule="exact"/>
        <w:rPr>
          <w:sz w:val="20"/>
          <w:szCs w:val="20"/>
          <w:color w:val="auto"/>
        </w:rPr>
      </w:pPr>
    </w:p>
    <w:p>
      <w:pPr>
        <w:ind w:left="560" w:right="200" w:hanging="319"/>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spacing w:after="0" w:line="108" w:lineRule="exact"/>
        <w:rPr>
          <w:rFonts w:ascii="Times New Roman" w:cs="Times New Roman" w:eastAsia="Times New Roman" w:hAnsi="Times New Roman"/>
          <w:sz w:val="18"/>
          <w:szCs w:val="18"/>
          <w:color w:val="auto"/>
        </w:rPr>
      </w:pPr>
    </w:p>
    <w:p>
      <w:pPr>
        <w:ind w:left="560" w:right="120" w:hanging="319"/>
        <w:spacing w:after="0" w:line="224" w:lineRule="auto"/>
        <w:tabs>
          <w:tab w:leader="none" w:pos="6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31" w:lineRule="exact"/>
        <w:rPr>
          <w:rFonts w:ascii="Times New Roman" w:cs="Times New Roman" w:eastAsia="Times New Roman" w:hAnsi="Times New Roman"/>
          <w:sz w:val="18"/>
          <w:szCs w:val="18"/>
          <w:color w:val="auto"/>
        </w:rPr>
      </w:pPr>
    </w:p>
    <w:p>
      <w:pPr>
        <w:ind w:left="560" w:right="20" w:hanging="319"/>
        <w:spacing w:after="0" w:line="224" w:lineRule="auto"/>
        <w:tabs>
          <w:tab w:leader="none" w:pos="6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28" w:lineRule="exact"/>
        <w:rPr>
          <w:sz w:val="20"/>
          <w:szCs w:val="20"/>
          <w:color w:val="auto"/>
        </w:rPr>
      </w:pPr>
    </w:p>
    <w:p>
      <w:pPr>
        <w:jc w:val="both"/>
        <w:ind w:right="300"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is used as defined in the Plan; provided, however, the Committee in determining such Fair Market Value for purposes of the award may utilize such other exchange, market,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as it deems appropriate.</w:t>
      </w:r>
    </w:p>
    <w:p>
      <w:pPr>
        <w:sectPr>
          <w:pgSz w:w="11900" w:h="16838" w:orient="portrait"/>
          <w:cols w:equalWidth="0" w:num="2">
            <w:col w:w="5200" w:space="720"/>
            <w:col w:w="5200"/>
          </w:cols>
          <w:pgMar w:left="320" w:top="1147" w:right="459" w:bottom="1440" w:gutter="0" w:footer="0" w:header="0"/>
        </w:sectPr>
      </w:pPr>
    </w:p>
    <w:bookmarkStart w:id="42" w:name="page43"/>
    <w:bookmarkEnd w:id="42"/>
    <w:p>
      <w:pPr>
        <w:ind w:right="320"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7" w:lineRule="exact"/>
        <w:rPr>
          <w:sz w:val="20"/>
          <w:szCs w:val="20"/>
          <w:color w:val="auto"/>
        </w:rPr>
      </w:pPr>
    </w:p>
    <w:p>
      <w:pPr>
        <w:ind w:left="580" w:right="120" w:hanging="329"/>
        <w:spacing w:after="0" w:line="212" w:lineRule="auto"/>
        <w:tabs>
          <w:tab w:leader="none" w:pos="5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if the Grantee is a vice president, the Grantee’s loss of</w:t>
      </w:r>
    </w:p>
    <w:p>
      <w:pPr>
        <w:spacing w:after="0" w:line="14" w:lineRule="exact"/>
        <w:rPr>
          <w:sz w:val="20"/>
          <w:szCs w:val="20"/>
          <w:color w:val="auto"/>
        </w:rPr>
      </w:pPr>
    </w:p>
    <w:p>
      <w:pPr>
        <w:jc w:val="both"/>
        <w:ind w:left="580" w:right="160"/>
        <w:spacing w:after="0" w:line="220" w:lineRule="auto"/>
        <w:rPr>
          <w:sz w:val="20"/>
          <w:szCs w:val="20"/>
          <w:color w:val="auto"/>
        </w:rPr>
      </w:pPr>
      <w:r>
        <w:rPr>
          <w:rFonts w:ascii="Times New Roman" w:cs="Times New Roman" w:eastAsia="Times New Roman" w:hAnsi="Times New Roman"/>
          <w:sz w:val="17"/>
          <w:szCs w:val="17"/>
          <w:color w:val="auto"/>
        </w:rPr>
        <w:t>vice-president status will constitute “Good Reason”; provided that the loss of the title of “vice president” will not, in and of itself, constitute Good Reason if the Grantee’s lack of a vice</w:t>
      </w:r>
    </w:p>
    <w:p>
      <w:pPr>
        <w:spacing w:after="0" w:line="2" w:lineRule="exact"/>
        <w:rPr>
          <w:sz w:val="20"/>
          <w:szCs w:val="20"/>
          <w:color w:val="auto"/>
        </w:rPr>
      </w:pPr>
    </w:p>
    <w:p>
      <w:pPr>
        <w:jc w:val="both"/>
        <w:ind w:left="580" w:right="120"/>
        <w:spacing w:after="0" w:line="220" w:lineRule="auto"/>
        <w:rPr>
          <w:sz w:val="20"/>
          <w:szCs w:val="20"/>
          <w:color w:val="auto"/>
        </w:rPr>
      </w:pPr>
      <w:r>
        <w:rPr>
          <w:rFonts w:ascii="Times New Roman" w:cs="Times New Roman" w:eastAsia="Times New Roman" w:hAnsi="Times New Roman"/>
          <w:sz w:val="17"/>
          <w:szCs w:val="17"/>
          <w:color w:val="auto"/>
        </w:rPr>
        <w:t>president title is generally consistent with the manner in which the title of vice president is used within the Grantee’s business unit or if the loss of the title is the result of a promotion to a</w:t>
      </w:r>
    </w:p>
    <w:p>
      <w:pPr>
        <w:spacing w:after="0" w:line="2" w:lineRule="exact"/>
        <w:rPr>
          <w:sz w:val="20"/>
          <w:szCs w:val="20"/>
          <w:color w:val="auto"/>
        </w:rPr>
      </w:pPr>
    </w:p>
    <w:p>
      <w:pPr>
        <w:ind w:left="580" w:right="100"/>
        <w:spacing w:after="0" w:line="220" w:lineRule="auto"/>
        <w:rPr>
          <w:sz w:val="20"/>
          <w:szCs w:val="20"/>
          <w:color w:val="auto"/>
        </w:rPr>
      </w:pPr>
      <w:r>
        <w:rPr>
          <w:rFonts w:ascii="Times New Roman" w:cs="Times New Roman" w:eastAsia="Times New Roman" w:hAnsi="Times New Roman"/>
          <w:sz w:val="17"/>
          <w:szCs w:val="17"/>
          <w:color w:val="auto"/>
        </w:rPr>
        <w:t>higher level office. For the purposes of the preceding sentence, the Grantee’s lack of a vice-president title will only be considered generally consistent with the manner in which such</w:t>
      </w:r>
    </w:p>
    <w:p>
      <w:pPr>
        <w:spacing w:after="0" w:line="2" w:lineRule="exact"/>
        <w:rPr>
          <w:sz w:val="20"/>
          <w:szCs w:val="20"/>
          <w:color w:val="auto"/>
        </w:rPr>
      </w:pPr>
    </w:p>
    <w:p>
      <w:pPr>
        <w:ind w:left="580"/>
        <w:spacing w:after="0" w:line="220" w:lineRule="auto"/>
        <w:rPr>
          <w:sz w:val="20"/>
          <w:szCs w:val="20"/>
          <w:color w:val="auto"/>
        </w:rPr>
      </w:pPr>
      <w:r>
        <w:rPr>
          <w:rFonts w:ascii="Times New Roman" w:cs="Times New Roman" w:eastAsia="Times New Roman" w:hAnsi="Times New Roman"/>
          <w:sz w:val="17"/>
          <w:szCs w:val="17"/>
          <w:color w:val="auto"/>
        </w:rPr>
        <w:t>title is used if most persons in the business unit with authorities, duties, and responsibilities comparable to those of the Grantee immediately prior to the commencement of the Protected Period</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do not have the title of vice-president.</w:t>
      </w:r>
    </w:p>
    <w:p>
      <w:pPr>
        <w:spacing w:after="0" w:line="124" w:lineRule="exact"/>
        <w:rPr>
          <w:sz w:val="20"/>
          <w:szCs w:val="20"/>
          <w:color w:val="auto"/>
        </w:rPr>
      </w:pPr>
    </w:p>
    <w:p>
      <w:pPr>
        <w:ind w:left="580" w:right="40" w:hanging="329"/>
        <w:spacing w:after="0" w:line="224" w:lineRule="auto"/>
        <w:tabs>
          <w:tab w:leader="none" w:pos="6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31" w:lineRule="exact"/>
        <w:rPr>
          <w:rFonts w:ascii="Times New Roman" w:cs="Times New Roman" w:eastAsia="Times New Roman" w:hAnsi="Times New Roman"/>
          <w:sz w:val="18"/>
          <w:szCs w:val="18"/>
          <w:color w:val="auto"/>
        </w:rPr>
      </w:pPr>
    </w:p>
    <w:p>
      <w:pPr>
        <w:ind w:left="580" w:right="20" w:hanging="329"/>
        <w:spacing w:after="0" w:line="215" w:lineRule="auto"/>
        <w:tabs>
          <w:tab w:leader="none" w:pos="6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560"/>
        <w:spacing w:after="0" w:line="226" w:lineRule="auto"/>
        <w:rPr>
          <w:sz w:val="20"/>
          <w:szCs w:val="20"/>
          <w:color w:val="auto"/>
        </w:rPr>
      </w:pPr>
      <w:r>
        <w:rPr>
          <w:rFonts w:ascii="Times New Roman" w:cs="Times New Roman" w:eastAsia="Times New Roman" w:hAnsi="Times New Roman"/>
          <w:sz w:val="18"/>
          <w:szCs w:val="18"/>
          <w:color w:val="auto"/>
        </w:rPr>
        <w:t>other employees who have positions commensurate with the position held by the Grantee immediately prior to the start of the Protected Period.</w:t>
      </w:r>
    </w:p>
    <w:p>
      <w:pPr>
        <w:spacing w:after="0" w:line="131" w:lineRule="exact"/>
        <w:rPr>
          <w:sz w:val="20"/>
          <w:szCs w:val="20"/>
          <w:color w:val="auto"/>
        </w:rPr>
      </w:pPr>
    </w:p>
    <w:p>
      <w:pPr>
        <w:ind w:left="560" w:hanging="319"/>
        <w:spacing w:after="0" w:line="215" w:lineRule="auto"/>
        <w:tabs>
          <w:tab w:leader="none" w:pos="6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0" w:lineRule="exact"/>
        <w:rPr>
          <w:rFonts w:ascii="Times New Roman" w:cs="Times New Roman" w:eastAsia="Times New Roman" w:hAnsi="Times New Roman"/>
          <w:sz w:val="18"/>
          <w:szCs w:val="18"/>
          <w:color w:val="auto"/>
        </w:rPr>
      </w:pPr>
    </w:p>
    <w:p>
      <w:pPr>
        <w:ind w:left="560" w:right="100" w:hanging="319"/>
        <w:spacing w:after="0" w:line="214" w:lineRule="auto"/>
        <w:tabs>
          <w:tab w:leader="none" w:pos="6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34" w:lineRule="exact"/>
        <w:rPr>
          <w:sz w:val="20"/>
          <w:szCs w:val="20"/>
          <w:color w:val="auto"/>
        </w:rPr>
      </w:pPr>
    </w:p>
    <w:p>
      <w:pPr>
        <w:ind w:right="260" w:firstLine="405"/>
        <w:spacing w:after="0" w:line="236" w:lineRule="auto"/>
        <w:rPr>
          <w:sz w:val="20"/>
          <w:szCs w:val="20"/>
          <w:color w:val="auto"/>
        </w:rPr>
      </w:pPr>
      <w:r>
        <w:rPr>
          <w:rFonts w:ascii="Times New Roman" w:cs="Times New Roman" w:eastAsia="Times New Roman" w:hAnsi="Times New Roman"/>
          <w:sz w:val="17"/>
          <w:szCs w:val="17"/>
          <w:color w:val="auto"/>
        </w:rPr>
        <w:t>The Grantee’s right to terminate employment for Good Reason shall not be affected by the Grantee’s incapacity due to physical or</w:t>
      </w:r>
    </w:p>
    <w:p>
      <w:pPr>
        <w:spacing w:after="0" w:line="218" w:lineRule="auto"/>
        <w:rPr>
          <w:sz w:val="20"/>
          <w:szCs w:val="20"/>
          <w:color w:val="auto"/>
        </w:rPr>
      </w:pPr>
      <w:r>
        <w:rPr>
          <w:rFonts w:ascii="Times New Roman" w:cs="Times New Roman" w:eastAsia="Times New Roman" w:hAnsi="Times New Roman"/>
          <w:sz w:val="18"/>
          <w:szCs w:val="18"/>
          <w:color w:val="auto"/>
        </w:rPr>
        <w:t>mental illness. The Grantee’s continued employment shall not constitute a consent to, or a waiver of rights with respect to, any circumstances constituting Good Reason herein.</w:t>
      </w:r>
    </w:p>
    <w:p>
      <w:pPr>
        <w:spacing w:after="0" w:line="127" w:lineRule="exact"/>
        <w:rPr>
          <w:sz w:val="20"/>
          <w:szCs w:val="20"/>
          <w:color w:val="auto"/>
        </w:rPr>
      </w:pPr>
    </w:p>
    <w:p>
      <w:pPr>
        <w:ind w:right="60" w:firstLine="405"/>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an Early or Normal Retirement by the Grantee where the Grantee accepts a position in the</w:t>
      </w:r>
    </w:p>
    <w:p>
      <w:pPr>
        <w:ind w:right="240"/>
        <w:spacing w:after="0" w:line="231" w:lineRule="auto"/>
        <w:rPr>
          <w:sz w:val="20"/>
          <w:szCs w:val="20"/>
          <w:color w:val="auto"/>
        </w:rPr>
      </w:pPr>
      <w:r>
        <w:rPr>
          <w:rFonts w:ascii="Times New Roman" w:cs="Times New Roman" w:eastAsia="Times New Roman" w:hAnsi="Times New Roman"/>
          <w:sz w:val="17"/>
          <w:szCs w:val="17"/>
          <w:color w:val="auto"/>
        </w:rPr>
        <w:t>federal government or a state or local government and an accelerated distribution under the award is permitted under Code Section 409A based on such government employment and related ethics rules.</w:t>
      </w:r>
    </w:p>
    <w:p>
      <w:pPr>
        <w:spacing w:after="0" w:line="127" w:lineRule="exact"/>
        <w:rPr>
          <w:sz w:val="20"/>
          <w:szCs w:val="20"/>
          <w:color w:val="auto"/>
        </w:rPr>
      </w:pPr>
    </w:p>
    <w:p>
      <w:pPr>
        <w:ind w:right="120" w:firstLine="405"/>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Key 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means a</w:t>
      </w:r>
      <w:r>
        <w:rPr>
          <w:rFonts w:ascii="Times New Roman" w:cs="Times New Roman" w:eastAsia="Times New Roman" w:hAnsi="Times New Roman"/>
          <w:sz w:val="17"/>
          <w:szCs w:val="17"/>
          <w:color w:val="auto"/>
        </w:rPr>
        <w:t>n employee treated as a “specified employee” under Code section 409A(a)(2)(B)(i) of the Company or an</w:t>
      </w:r>
    </w:p>
    <w:p>
      <w:pPr>
        <w:spacing w:after="0" w:line="1"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Affiliated Company (i.e., a key employee (as defined in Code section 416(i) without regard to paragraph (5) thereof)) if the Company’s or an Affiliated Company’s stock is publicly traded on an established</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securities market or otherwise. The Company shall determine in accordance with a uniform Company policy which participants are Key Employees as of each December 31 in accordance with IRS regulations</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or other guidance under Section 409A. Such determination shall be effective for the twelve (12) month period commencing on April 1 of the following year.</w:t>
      </w:r>
    </w:p>
    <w:p>
      <w:pPr>
        <w:spacing w:after="0" w:line="168" w:lineRule="exact"/>
        <w:rPr>
          <w:sz w:val="20"/>
          <w:szCs w:val="20"/>
          <w:color w:val="auto"/>
        </w:rPr>
      </w:pPr>
    </w:p>
    <w:p>
      <w:pPr>
        <w:ind w:right="420"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Normal Retirement</w:t>
      </w:r>
      <w:r>
        <w:rPr>
          <w:rFonts w:ascii="Times New Roman" w:cs="Times New Roman" w:eastAsia="Times New Roman" w:hAnsi="Times New Roman"/>
          <w:sz w:val="17"/>
          <w:szCs w:val="17"/>
          <w:color w:val="auto"/>
        </w:rPr>
        <w:t>” means that the Grantee terminates employment after attaining age 65 with at least 10 years of service (other than in connection with a termination by the Company or a</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subsidiary for Cause). In the case of a Grantee who is an officer of the Company subject to the Company’s mandatory</w:t>
      </w:r>
    </w:p>
    <w:p>
      <w:pPr>
        <w:sectPr>
          <w:pgSz w:w="11900" w:h="16838" w:orient="portrait"/>
          <w:cols w:equalWidth="0" w:num="2">
            <w:col w:w="5200" w:space="720"/>
            <w:col w:w="5200"/>
          </w:cols>
          <w:pgMar w:left="320" w:top="1143"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retirement at age 65 policy and who, at the applicable time, is not</w:t>
      </w:r>
    </w:p>
    <w:p>
      <w:pPr>
        <w:spacing w:after="0" w:line="203" w:lineRule="auto"/>
        <w:rPr>
          <w:sz w:val="20"/>
          <w:szCs w:val="20"/>
          <w:color w:val="auto"/>
        </w:rPr>
      </w:pPr>
      <w:r>
        <w:rPr>
          <w:rFonts w:ascii="Times New Roman" w:cs="Times New Roman" w:eastAsia="Times New Roman" w:hAnsi="Times New Roman"/>
          <w:sz w:val="18"/>
          <w:szCs w:val="18"/>
          <w:color w:val="auto"/>
        </w:rPr>
        <w:t>otherwise eligible for Normal Retirement as defined in the preceding</w:t>
      </w:r>
    </w:p>
    <w:p>
      <w:pPr>
        <w:spacing w:after="0" w:line="219" w:lineRule="auto"/>
        <w:rPr>
          <w:sz w:val="20"/>
          <w:szCs w:val="20"/>
          <w:color w:val="auto"/>
        </w:rPr>
      </w:pPr>
      <w:r>
        <w:rPr>
          <w:rFonts w:ascii="Times New Roman" w:cs="Times New Roman" w:eastAsia="Times New Roman" w:hAnsi="Times New Roman"/>
          <w:sz w:val="18"/>
          <w:szCs w:val="18"/>
          <w:color w:val="auto"/>
        </w:rPr>
        <w:t>sentence, “Normal Retirement” as to that Grantee means that the</w:t>
      </w:r>
    </w:p>
    <w:p>
      <w:pPr>
        <w:spacing w:after="0" w:line="1" w:lineRule="exact"/>
        <w:rPr>
          <w:sz w:val="20"/>
          <w:szCs w:val="20"/>
          <w:color w:val="auto"/>
        </w:rPr>
      </w:pPr>
    </w:p>
    <w:p>
      <w:pPr>
        <w:ind w:right="4979"/>
        <w:spacing w:after="0" w:line="220" w:lineRule="auto"/>
        <w:rPr>
          <w:sz w:val="20"/>
          <w:szCs w:val="20"/>
          <w:color w:val="auto"/>
        </w:rPr>
      </w:pPr>
      <w:r>
        <w:rPr>
          <w:rFonts w:ascii="Times New Roman" w:cs="Times New Roman" w:eastAsia="Times New Roman" w:hAnsi="Times New Roman"/>
          <w:sz w:val="17"/>
          <w:szCs w:val="17"/>
          <w:color w:val="auto"/>
        </w:rPr>
        <w:t>Grantee’s employment is terminated pursuant to such mandatory retirement policy (regardless of the Grantee’s years of service and other than in connection with a termination by the Company or a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Cause).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4999"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28" w:lineRule="exact"/>
        <w:rPr>
          <w:sz w:val="20"/>
          <w:szCs w:val="20"/>
          <w:color w:val="auto"/>
        </w:rPr>
      </w:pPr>
    </w:p>
    <w:p>
      <w:pPr>
        <w:ind w:right="4999" w:firstLine="405"/>
        <w:spacing w:after="0" w:line="22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w:t>
      </w:r>
    </w:p>
    <w:p>
      <w:pPr>
        <w:spacing w:after="0"/>
        <w:rPr>
          <w:sz w:val="20"/>
          <w:szCs w:val="20"/>
          <w:color w:val="auto"/>
        </w:rPr>
      </w:pPr>
      <w:r>
        <w:rPr>
          <w:rFonts w:ascii="Times New Roman" w:cs="Times New Roman" w:eastAsia="Times New Roman" w:hAnsi="Times New Roman"/>
          <w:sz w:val="18"/>
          <w:szCs w:val="18"/>
          <w:color w:val="auto"/>
        </w:rPr>
        <w:t>the following:</w:t>
      </w:r>
    </w:p>
    <w:p>
      <w:pPr>
        <w:spacing w:after="0" w:line="124" w:lineRule="exact"/>
        <w:rPr>
          <w:sz w:val="20"/>
          <w:szCs w:val="20"/>
          <w:color w:val="auto"/>
        </w:rPr>
      </w:pPr>
    </w:p>
    <w:p>
      <w:pPr>
        <w:ind w:left="580" w:right="4939" w:hanging="329"/>
        <w:spacing w:after="0" w:line="217" w:lineRule="auto"/>
        <w:tabs>
          <w:tab w:leader="none" w:pos="6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2" w:lineRule="exact"/>
        <w:rPr>
          <w:rFonts w:ascii="Times New Roman" w:cs="Times New Roman" w:eastAsia="Times New Roman" w:hAnsi="Times New Roman"/>
          <w:sz w:val="18"/>
          <w:szCs w:val="18"/>
          <w:color w:val="auto"/>
        </w:rPr>
      </w:pPr>
    </w:p>
    <w:p>
      <w:pPr>
        <w:ind w:left="580" w:right="4939" w:hanging="329"/>
        <w:spacing w:after="0" w:line="216" w:lineRule="auto"/>
        <w:tabs>
          <w:tab w:leader="none" w:pos="6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0" w:lineRule="exact"/>
        <w:rPr>
          <w:rFonts w:ascii="Times New Roman" w:cs="Times New Roman" w:eastAsia="Times New Roman" w:hAnsi="Times New Roman"/>
          <w:sz w:val="18"/>
          <w:szCs w:val="18"/>
          <w:color w:val="auto"/>
        </w:rPr>
      </w:pPr>
    </w:p>
    <w:p>
      <w:pPr>
        <w:ind w:left="700" w:hanging="449"/>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jc w:val="both"/>
        <w:ind w:left="580" w:right="5079" w:hanging="5"/>
        <w:spacing w:after="0" w:line="218" w:lineRule="auto"/>
        <w:tabs>
          <w:tab w:leader="none" w:pos="7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including the date of the Change in Control.</w:t>
      </w:r>
    </w:p>
    <w:p>
      <w:pPr>
        <w:spacing w:after="0" w:line="128" w:lineRule="exact"/>
        <w:rPr>
          <w:sz w:val="20"/>
          <w:szCs w:val="20"/>
          <w:color w:val="auto"/>
        </w:rPr>
      </w:pPr>
    </w:p>
    <w:p>
      <w:pPr>
        <w:ind w:right="4959" w:firstLine="405"/>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when the Grantee dies, retires, or otherwise has a termination of employment with the Company and its subsidiaries that constitutes a “separation from service” within the</w:t>
      </w:r>
    </w:p>
    <w:p>
      <w:pPr>
        <w:spacing w:after="0" w:line="3" w:lineRule="exact"/>
        <w:rPr>
          <w:sz w:val="20"/>
          <w:szCs w:val="20"/>
          <w:color w:val="auto"/>
        </w:rPr>
      </w:pPr>
    </w:p>
    <w:p>
      <w:pPr>
        <w:ind w:right="5019"/>
        <w:spacing w:after="0" w:line="218" w:lineRule="auto"/>
        <w:rPr>
          <w:sz w:val="20"/>
          <w:szCs w:val="20"/>
          <w:color w:val="auto"/>
        </w:rPr>
      </w:pPr>
      <w:r>
        <w:rPr>
          <w:rFonts w:ascii="Times New Roman" w:cs="Times New Roman" w:eastAsia="Times New Roman" w:hAnsi="Times New Roman"/>
          <w:sz w:val="18"/>
          <w:szCs w:val="18"/>
          <w:color w:val="auto"/>
        </w:rPr>
        <w:t>meaning of United States Treasury Regulation Section 1.409A-1(h)(1), without regard to the optional alternative definitions available thereunder.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w:t>
      </w:r>
    </w:p>
    <w:p>
      <w:pPr>
        <w:spacing w:after="0"/>
        <w:rPr>
          <w:sz w:val="20"/>
          <w:szCs w:val="20"/>
          <w:color w:val="auto"/>
        </w:rPr>
      </w:pPr>
      <w:r>
        <w:rPr>
          <w:rFonts w:ascii="Times New Roman" w:cs="Times New Roman" w:eastAsia="Times New Roman" w:hAnsi="Times New Roman"/>
          <w:sz w:val="18"/>
          <w:szCs w:val="18"/>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1136"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RESTRICTED PERFORMANCE STOCK RIGHTS GRANT AGREEMENT</w:t>
      </w:r>
    </w:p>
    <w:p>
      <w:pPr>
        <w:ind w:right="140" w:firstLine="648"/>
        <w:spacing w:after="0" w:line="220" w:lineRule="auto"/>
        <w:rPr>
          <w:sz w:val="20"/>
          <w:szCs w:val="20"/>
          <w:color w:val="auto"/>
        </w:rPr>
      </w:pPr>
      <w:r>
        <w:rPr>
          <w:rFonts w:ascii="Times New Roman" w:cs="Times New Roman" w:eastAsia="Times New Roman" w:hAnsi="Times New Roman"/>
          <w:sz w:val="17"/>
          <w:szCs w:val="17"/>
          <w:color w:val="auto"/>
        </w:rPr>
        <w:t>This 2023 Restricted Performance Stock Rights Grant Agreement (“Agreement”) applies to certain “Restricted Performance Stock Rights” (“RPSRs”) granted by Northrop Grumman Corporation (the “Company”) in 2023 under its 2011 Long-Term Incentive Stock Plan. If you were granted an RPSR award by the Company in 2023, the date of grant of your RPSR award and the target number of RPSRs applicable to your award are set forth in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letter from the Company announcing your RPSR award (your “Grant Letter”) and are also reflected in the electronic stock plan award recordkeeping system (“Stock Plan System”) maintained by the Company or its designee. This Agreement applies only with respect to the 2023 RPSR award, and you are subject to this Agreement upon accepting your grant. If you were granted an RPSR award, you are referred to as the “Grantee” with respect to your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are generally defined in Section 12 below if not otherwise defined herein.</w:t>
      </w:r>
    </w:p>
    <w:p>
      <w:pPr>
        <w:spacing w:after="0" w:line="165"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7"/>
          <w:szCs w:val="17"/>
          <w:color w:val="auto"/>
        </w:rPr>
        <w:t>Each RPSR represents a right to receive one share of the Company’s Common Stock, or cash of equivalent value as provided herein subject to vesting as provided herein. The performance period applicable to your award is January 1, 2023 to December 31, 2025 (the “Performance Period”). The</w:t>
      </w: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instructions and time limit set forth in your Grant Letter, you will be deemed to have forfeited your RPSR award.</w:t>
      </w:r>
    </w:p>
    <w:p>
      <w:pPr>
        <w:sectPr>
          <w:pgSz w:w="11900" w:h="16838" w:orient="portrait"/>
          <w:cols w:equalWidth="0" w:num="1">
            <w:col w:w="11240"/>
          </w:cols>
          <w:pgMar w:left="320" w:top="94" w:right="339" w:bottom="1440" w:gutter="0" w:footer="0" w:header="0"/>
        </w:sectPr>
      </w:pPr>
    </w:p>
    <w:p>
      <w:pPr>
        <w:spacing w:after="0" w:line="161"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 of RPSRs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05"/>
        <w:spacing w:after="0" w:line="216" w:lineRule="auto"/>
        <w:rPr>
          <w:sz w:val="20"/>
          <w:szCs w:val="20"/>
          <w:color w:val="auto"/>
        </w:rPr>
      </w:pPr>
      <w:r>
        <w:rPr>
          <w:rFonts w:ascii="Times New Roman" w:cs="Times New Roman" w:eastAsia="Times New Roman" w:hAnsi="Times New Roman"/>
          <w:sz w:val="18"/>
          <w:szCs w:val="18"/>
          <w:color w:val="auto"/>
        </w:rPr>
        <w:t>The RPSRs are subject to the vesting and payment provisions established by the Committee with respect to the Performance Period. RPSRs (and any Dividend Equivalents (as defined below)) that vest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such provisions will be paid as provided below.</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Performance-Based Vesting of RPSRs</w:t>
      </w:r>
      <w:r>
        <w:rPr>
          <w:rFonts w:ascii="Times New Roman" w:cs="Times New Roman" w:eastAsia="Times New Roman" w:hAnsi="Times New Roman"/>
          <w:sz w:val="18"/>
          <w:szCs w:val="18"/>
          <w:color w:val="auto"/>
        </w:rPr>
        <w:t>. Subject to Sections 2,</w:t>
      </w:r>
    </w:p>
    <w:p>
      <w:pPr>
        <w:spacing w:after="0" w:line="219" w:lineRule="auto"/>
        <w:rPr>
          <w:sz w:val="20"/>
          <w:szCs w:val="20"/>
          <w:color w:val="auto"/>
        </w:rPr>
      </w:pPr>
      <w:r>
        <w:rPr>
          <w:rFonts w:ascii="Times New Roman" w:cs="Times New Roman" w:eastAsia="Times New Roman" w:hAnsi="Times New Roman"/>
          <w:sz w:val="18"/>
          <w:szCs w:val="18"/>
          <w:color w:val="auto"/>
        </w:rPr>
        <w:t>3, 4 and 6 below, the RPSRs subject to the award shall vest and become</w:t>
      </w:r>
    </w:p>
    <w:p>
      <w:pPr>
        <w:ind w:right="180"/>
        <w:spacing w:after="0" w:line="220" w:lineRule="auto"/>
        <w:rPr>
          <w:sz w:val="20"/>
          <w:szCs w:val="20"/>
          <w:color w:val="auto"/>
        </w:rPr>
      </w:pPr>
      <w:r>
        <w:rPr>
          <w:rFonts w:ascii="Times New Roman" w:cs="Times New Roman" w:eastAsia="Times New Roman" w:hAnsi="Times New Roman"/>
          <w:sz w:val="17"/>
          <w:szCs w:val="17"/>
          <w:color w:val="auto"/>
        </w:rPr>
        <w:t>nonforfeitable based on the performance methodology and goals established by the Committee for the Performance Period. At the conclusion of the Performance Period, the Committee shall determine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whether and the extent to which the performance goals have been achieved. The percentage of target RPSRs subject to the award (if any) that have vested for the Performance Period (the “Earnout Percentage”)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shall be determined by the Committee based on the methodology and goals as established by the Committee, and its determination of the Earnout Percentage shall be conclusive and binding. Any RPSRs (and</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related Dividend Equivalents) subject to the award that are not vested as of the conclusion of the Performance Period after giving effect to the Committee’s determinations under this Section 1.1 shall terminate and</w:t>
      </w:r>
    </w:p>
    <w:p>
      <w:pPr>
        <w:spacing w:after="0" w:line="2" w:lineRule="exact"/>
        <w:rPr>
          <w:sz w:val="20"/>
          <w:szCs w:val="20"/>
          <w:color w:val="auto"/>
        </w:rPr>
      </w:pPr>
    </w:p>
    <w:p>
      <w:pPr>
        <w:jc w:val="right"/>
        <w:ind w:right="380"/>
        <w:spacing w:after="0" w:line="313" w:lineRule="auto"/>
        <w:rPr>
          <w:sz w:val="20"/>
          <w:szCs w:val="20"/>
          <w:color w:val="auto"/>
        </w:rPr>
      </w:pPr>
      <w:r>
        <w:rPr>
          <w:rFonts w:ascii="Times New Roman" w:cs="Times New Roman" w:eastAsia="Times New Roman" w:hAnsi="Times New Roman"/>
          <w:sz w:val="18"/>
          <w:szCs w:val="18"/>
          <w:color w:val="auto"/>
        </w:rPr>
        <w:t xml:space="preserve">become null and void as of the last day of the Performance Period. </w:t>
      </w: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Payment of RPSRs</w:t>
      </w:r>
      <w:r>
        <w:rPr>
          <w:rFonts w:ascii="Times New Roman" w:cs="Times New Roman" w:eastAsia="Times New Roman" w:hAnsi="Times New Roman"/>
          <w:sz w:val="18"/>
          <w:szCs w:val="18"/>
          <w:color w:val="auto"/>
        </w:rPr>
        <w:t>. The number of RPSRs payable at the</w:t>
      </w:r>
    </w:p>
    <w:p>
      <w:pPr>
        <w:ind w:right="20"/>
        <w:spacing w:after="0" w:line="208" w:lineRule="auto"/>
        <w:rPr>
          <w:sz w:val="20"/>
          <w:szCs w:val="20"/>
          <w:color w:val="auto"/>
        </w:rPr>
      </w:pPr>
      <w:r>
        <w:rPr>
          <w:rFonts w:ascii="Times New Roman" w:cs="Times New Roman" w:eastAsia="Times New Roman" w:hAnsi="Times New Roman"/>
          <w:sz w:val="18"/>
          <w:szCs w:val="18"/>
          <w:color w:val="auto"/>
        </w:rPr>
        <w:t>conclusion of the Performance Period (“Vested RPSRs”) shall be determined by multiplying the Earnout Percentage by the target number of RPSRs subject to the award. The Vested RPSRs and any RPSRs that</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vest and become payable pursuant to Section 2 or 6 may be paid out in either an equivalent number of shares of Common Stock, or, in the discretion of the Committee, in cash or in a combination of shares of</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Common Stock and cash. In the event of a cash payment, the amount of payment for each Vested RPSR to be paid in cash will equal the Fair Market Value (as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 w:right="740"/>
        <w:spacing w:after="0" w:line="236" w:lineRule="auto"/>
        <w:rPr>
          <w:sz w:val="20"/>
          <w:szCs w:val="20"/>
          <w:color w:val="auto"/>
        </w:rPr>
      </w:pPr>
      <w:r>
        <w:rPr>
          <w:rFonts w:ascii="Times New Roman" w:cs="Times New Roman" w:eastAsia="Times New Roman" w:hAnsi="Times New Roman"/>
          <w:sz w:val="17"/>
          <w:szCs w:val="17"/>
          <w:color w:val="auto"/>
        </w:rPr>
        <w:t>defined below) of a share of Common Stock as of the date the Committee determines the extent to which the applicable RPSR</w:t>
      </w:r>
    </w:p>
    <w:p>
      <w:pPr>
        <w:ind w:left="2" w:right="260"/>
        <w:spacing w:after="0" w:line="218" w:lineRule="auto"/>
        <w:rPr>
          <w:sz w:val="20"/>
          <w:szCs w:val="20"/>
          <w:color w:val="auto"/>
        </w:rPr>
      </w:pPr>
      <w:r>
        <w:rPr>
          <w:rFonts w:ascii="Times New Roman" w:cs="Times New Roman" w:eastAsia="Times New Roman" w:hAnsi="Times New Roman"/>
          <w:sz w:val="18"/>
          <w:szCs w:val="18"/>
          <w:color w:val="auto"/>
        </w:rPr>
        <w:t>performance criteria have been achieved. Vested RPSRs will be paid within 60 days of the vesting date, but in no event later than March 15 of the year following the last day of the Performance Period.</w:t>
      </w:r>
    </w:p>
    <w:p>
      <w:pPr>
        <w:spacing w:after="0" w:line="127" w:lineRule="exact"/>
        <w:rPr>
          <w:sz w:val="20"/>
          <w:szCs w:val="20"/>
          <w:color w:val="auto"/>
        </w:rPr>
      </w:pPr>
    </w:p>
    <w:p>
      <w:pPr>
        <w:ind w:left="2" w:right="32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The Grantee shall be entitled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for Dividend Equivalents (if any) with respect to any Vested</w:t>
      </w:r>
    </w:p>
    <w:p>
      <w:pPr>
        <w:spacing w:after="0" w:line="1"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RPSRs and any RPSRs that vest and become payable pursuant to Section 2 or 6. For purposes of this Agreement, “Dividend Equivalents” means the aggregate amount of dividends paid by the Company on a</w:t>
      </w:r>
    </w:p>
    <w:p>
      <w:pPr>
        <w:spacing w:after="0" w:line="2" w:lineRule="exact"/>
        <w:rPr>
          <w:sz w:val="20"/>
          <w:szCs w:val="20"/>
          <w:color w:val="auto"/>
        </w:rPr>
      </w:pPr>
    </w:p>
    <w:p>
      <w:pPr>
        <w:jc w:val="both"/>
        <w:ind w:left="2" w:right="120"/>
        <w:spacing w:after="0" w:line="208" w:lineRule="auto"/>
        <w:rPr>
          <w:sz w:val="20"/>
          <w:szCs w:val="20"/>
          <w:color w:val="auto"/>
        </w:rPr>
      </w:pPr>
      <w:r>
        <w:rPr>
          <w:rFonts w:ascii="Times New Roman" w:cs="Times New Roman" w:eastAsia="Times New Roman" w:hAnsi="Times New Roman"/>
          <w:sz w:val="18"/>
          <w:szCs w:val="18"/>
          <w:color w:val="auto"/>
        </w:rPr>
        <w:t>number of shares of Common Stock equivalent to the number of Vested RPSRs (or the number of RPSRs that vest and become payable pursuant to Section 2 or 6) during the period from the beginning of the</w:t>
      </w:r>
    </w:p>
    <w:p>
      <w:pPr>
        <w:spacing w:after="0" w:line="2" w:lineRule="exact"/>
        <w:rPr>
          <w:sz w:val="20"/>
          <w:szCs w:val="20"/>
          <w:color w:val="auto"/>
        </w:rPr>
      </w:pPr>
    </w:p>
    <w:p>
      <w:pPr>
        <w:ind w:left="2" w:right="160"/>
        <w:spacing w:after="0" w:line="220" w:lineRule="auto"/>
        <w:rPr>
          <w:sz w:val="20"/>
          <w:szCs w:val="20"/>
          <w:color w:val="auto"/>
        </w:rPr>
      </w:pPr>
      <w:r>
        <w:rPr>
          <w:rFonts w:ascii="Times New Roman" w:cs="Times New Roman" w:eastAsia="Times New Roman" w:hAnsi="Times New Roman"/>
          <w:sz w:val="17"/>
          <w:szCs w:val="17"/>
          <w:color w:val="auto"/>
        </w:rPr>
        <w:t>Performance Period until the date the Vested RPSRs (or the RPSRs that vest and become payable pursuant to Section 2 or 6) are paid, without interest or other adjustments to reflect the time value of money. For</w:t>
      </w:r>
    </w:p>
    <w:p>
      <w:pPr>
        <w:spacing w:after="0" w:line="2" w:lineRule="exact"/>
        <w:rPr>
          <w:sz w:val="20"/>
          <w:szCs w:val="20"/>
          <w:color w:val="auto"/>
        </w:rPr>
      </w:pPr>
    </w:p>
    <w:p>
      <w:pPr>
        <w:ind w:left="2" w:right="180"/>
        <w:spacing w:after="0" w:line="208" w:lineRule="auto"/>
        <w:rPr>
          <w:sz w:val="20"/>
          <w:szCs w:val="20"/>
          <w:color w:val="auto"/>
        </w:rPr>
      </w:pPr>
      <w:r>
        <w:rPr>
          <w:rFonts w:ascii="Times New Roman" w:cs="Times New Roman" w:eastAsia="Times New Roman" w:hAnsi="Times New Roman"/>
          <w:sz w:val="18"/>
          <w:szCs w:val="18"/>
          <w:color w:val="auto"/>
        </w:rPr>
        <w:t>these purposes, any Vested RPSRs or RPSRs that vest and become payable pursuant to Section 2 or 6 in excess of the target number of RPSRs subject to the award shall be considered to have been granted at</w:t>
      </w:r>
    </w:p>
    <w:p>
      <w:pPr>
        <w:spacing w:after="0" w:line="2" w:lineRule="exact"/>
        <w:rPr>
          <w:sz w:val="20"/>
          <w:szCs w:val="20"/>
          <w:color w:val="auto"/>
        </w:rPr>
      </w:pPr>
    </w:p>
    <w:p>
      <w:pPr>
        <w:ind w:left="2" w:right="160"/>
        <w:spacing w:after="0" w:line="208" w:lineRule="auto"/>
        <w:rPr>
          <w:sz w:val="20"/>
          <w:szCs w:val="20"/>
          <w:color w:val="auto"/>
        </w:rPr>
      </w:pPr>
      <w:r>
        <w:rPr>
          <w:rFonts w:ascii="Times New Roman" w:cs="Times New Roman" w:eastAsia="Times New Roman" w:hAnsi="Times New Roman"/>
          <w:sz w:val="18"/>
          <w:szCs w:val="18"/>
          <w:color w:val="auto"/>
        </w:rPr>
        <w:t>the beginning of the Performance Period. Dividend Equivalents (if any) will be paid at the same time as the Vested RPSRs (or the RPSRs that vest and become payable pursuant to Section 2 or 6) to which they</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relate are paid. Dividend Equivalents will be paid in cash.</w:t>
      </w:r>
    </w:p>
    <w:p>
      <w:pPr>
        <w:spacing w:after="0" w:line="120" w:lineRule="exact"/>
        <w:rPr>
          <w:sz w:val="20"/>
          <w:szCs w:val="20"/>
          <w:color w:val="auto"/>
        </w:rPr>
      </w:pPr>
    </w:p>
    <w:p>
      <w:pPr>
        <w:ind w:left="322" w:hanging="322"/>
        <w:spacing w:after="0"/>
        <w:tabs>
          <w:tab w:leader="none" w:pos="3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RPSRs (and related Dividend Equivalents)</w:t>
      </w:r>
    </w:p>
    <w:p>
      <w:pPr>
        <w:jc w:val="center"/>
        <w:ind w:right="278"/>
        <w:spacing w:after="0" w:line="219" w:lineRule="auto"/>
        <w:rPr>
          <w:sz w:val="20"/>
          <w:szCs w:val="20"/>
          <w:color w:val="auto"/>
        </w:rPr>
      </w:pPr>
      <w:r>
        <w:rPr>
          <w:rFonts w:ascii="Times New Roman" w:cs="Times New Roman" w:eastAsia="Times New Roman" w:hAnsi="Times New Roman"/>
          <w:sz w:val="18"/>
          <w:szCs w:val="18"/>
          <w:color w:val="auto"/>
        </w:rPr>
        <w:t>subject to the award shall terminate and become null and void prior to</w:t>
      </w:r>
    </w:p>
    <w:p>
      <w:pPr>
        <w:ind w:left="2" w:right="120"/>
        <w:spacing w:after="0" w:line="218" w:lineRule="auto"/>
        <w:rPr>
          <w:sz w:val="20"/>
          <w:szCs w:val="20"/>
          <w:color w:val="auto"/>
        </w:rPr>
      </w:pPr>
      <w:r>
        <w:rPr>
          <w:rFonts w:ascii="Times New Roman" w:cs="Times New Roman" w:eastAsia="Times New Roman" w:hAnsi="Times New Roman"/>
          <w:sz w:val="18"/>
          <w:szCs w:val="18"/>
          <w:color w:val="auto"/>
        </w:rPr>
        <w:t>the conclusion of the Performance Period if and when (a) the award terminates in connection with a Change in Control pursuant to Section 6 below, or (b) except as provided below in this</w:t>
      </w:r>
    </w:p>
    <w:p>
      <w:pPr>
        <w:spacing w:after="0" w:line="415" w:lineRule="exact"/>
        <w:rPr>
          <w:sz w:val="20"/>
          <w:szCs w:val="20"/>
          <w:color w:val="auto"/>
        </w:rPr>
      </w:pPr>
    </w:p>
    <w:p>
      <w:pPr>
        <w:sectPr>
          <w:pgSz w:w="11900" w:h="16838" w:orient="portrait"/>
          <w:cols w:equalWidth="0" w:num="2">
            <w:col w:w="5200" w:space="718"/>
            <w:col w:w="5322"/>
          </w:cols>
          <w:pgMar w:left="320" w:top="94"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6"/>
          <w:szCs w:val="16"/>
          <w:color w:val="auto"/>
        </w:rPr>
        <w:t>ELT (2023 RPSR Agreement)</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4" w:right="339" w:bottom="1440" w:gutter="0" w:footer="0" w:header="0"/>
          <w:type w:val="continuous"/>
        </w:sectPr>
      </w:pPr>
    </w:p>
    <w:bookmarkStart w:id="45" w:name="page46"/>
    <w:bookmarkEnd w:id="45"/>
    <w:p>
      <w:pPr>
        <w:ind w:right="200"/>
        <w:spacing w:after="0" w:line="237" w:lineRule="auto"/>
        <w:rPr>
          <w:sz w:val="20"/>
          <w:szCs w:val="20"/>
          <w:color w:val="auto"/>
        </w:rPr>
      </w:pPr>
      <w:r>
        <w:rPr>
          <w:rFonts w:ascii="Times New Roman" w:cs="Times New Roman" w:eastAsia="Times New Roman" w:hAnsi="Times New Roman"/>
          <w:sz w:val="18"/>
          <w:szCs w:val="18"/>
          <w:color w:val="auto"/>
        </w:rPr>
        <w:t>Section 2 and in Section 6, the Grantee ceases for any reason to be an employee of the Company or one of its subsidiaries.</w:t>
      </w:r>
    </w:p>
    <w:p>
      <w:pPr>
        <w:spacing w:after="0" w:line="127" w:lineRule="exact"/>
        <w:rPr>
          <w:sz w:val="20"/>
          <w:szCs w:val="20"/>
          <w:color w:val="auto"/>
        </w:rPr>
      </w:pPr>
    </w:p>
    <w:p>
      <w:pPr>
        <w:ind w:right="10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Termination of Employment Due to Retirement,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number of RPSRs (and related Dividend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award shall vest on a prorated basis as provided herein if</w:t>
      </w:r>
    </w:p>
    <w:p>
      <w:pPr>
        <w:spacing w:after="0" w:line="3"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 xml:space="preserve">the Grantee’s employment by the Company and its subsidiaries terminates due to the Grantee’s Early Retirement, death, or Disability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in each case, only if the Grantee has completed at least six (6)</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consecutive calendar months of employment with the Company or a subsidiary during the three-year Performance Period. Such prorating of RPSRs (and related Dividend Equivalents) shall be based on the</w:t>
      </w:r>
    </w:p>
    <w:p>
      <w:pPr>
        <w:spacing w:after="0" w:line="2" w:lineRule="exact"/>
        <w:rPr>
          <w:sz w:val="20"/>
          <w:szCs w:val="20"/>
          <w:color w:val="auto"/>
        </w:rPr>
      </w:pPr>
    </w:p>
    <w:p>
      <w:pPr>
        <w:ind w:right="60"/>
        <w:spacing w:after="0" w:line="213" w:lineRule="auto"/>
        <w:rPr>
          <w:sz w:val="20"/>
          <w:szCs w:val="20"/>
          <w:color w:val="auto"/>
        </w:rPr>
      </w:pPr>
      <w:r>
        <w:rPr>
          <w:rFonts w:ascii="Times New Roman" w:cs="Times New Roman" w:eastAsia="Times New Roman" w:hAnsi="Times New Roman"/>
          <w:sz w:val="18"/>
          <w:szCs w:val="18"/>
          <w:color w:val="auto"/>
        </w:rPr>
        <w:t>number of calendar days the Grantee was actually employed by the Company or one of its subsidiaries over the number of calendar days in the Performance Period (the number of prorated RPSRs, the “Prorated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RPSRs”). If the Grantee ceases to be employed by the Company or one of its subsidiaries due to the Grantee’s Normal Retirement and such Normal Retirement occurs more than six (6) months after the Grant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the RPSRs will vest as if the employee had remained an employee for the full Performance Period. Any RPSRs (and related Dividend</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Equivalents) subject to the award that do not vest in accordance with this Section 2.2 upon a termination of the Grantee’s employment due to</w:t>
      </w:r>
    </w:p>
    <w:p>
      <w:pPr>
        <w:spacing w:after="0" w:line="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Early Retirement or Normal Retirement (collectively “Retirement”), death or Disability shall terminate immediately upon such termination of employment.</w:t>
      </w:r>
    </w:p>
    <w:p>
      <w:pPr>
        <w:spacing w:after="0" w:line="129" w:lineRule="exact"/>
        <w:rPr>
          <w:sz w:val="20"/>
          <w:szCs w:val="20"/>
          <w:color w:val="auto"/>
        </w:rPr>
      </w:pPr>
    </w:p>
    <w:p>
      <w:pPr>
        <w:ind w:right="60" w:firstLine="180"/>
        <w:spacing w:after="0" w:line="237" w:lineRule="auto"/>
        <w:rPr>
          <w:sz w:val="20"/>
          <w:szCs w:val="20"/>
          <w:color w:val="auto"/>
        </w:rPr>
      </w:pPr>
      <w:r>
        <w:rPr>
          <w:rFonts w:ascii="Times New Roman" w:cs="Times New Roman" w:eastAsia="Times New Roman" w:hAnsi="Times New Roman"/>
          <w:sz w:val="17"/>
          <w:szCs w:val="17"/>
          <w:i w:val="1"/>
          <w:iCs w:val="1"/>
          <w:color w:val="auto"/>
        </w:rPr>
        <w:t>Death or Disability</w:t>
      </w:r>
      <w:r>
        <w:rPr>
          <w:rFonts w:ascii="Times New Roman" w:cs="Times New Roman" w:eastAsia="Times New Roman" w:hAnsi="Times New Roman"/>
          <w:sz w:val="17"/>
          <w:szCs w:val="17"/>
          <w:color w:val="auto"/>
        </w:rPr>
        <w:t>. In the case of death or Disability (a) the Earnout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Grantee’s Prorated RPSRs (and related Dividend</w:t>
      </w:r>
    </w:p>
    <w:p>
      <w:pPr>
        <w:ind w:right="220"/>
        <w:spacing w:after="0" w:line="220" w:lineRule="auto"/>
        <w:rPr>
          <w:sz w:val="20"/>
          <w:szCs w:val="20"/>
          <w:color w:val="auto"/>
        </w:rPr>
      </w:pPr>
      <w:r>
        <w:rPr>
          <w:rFonts w:ascii="Times New Roman" w:cs="Times New Roman" w:eastAsia="Times New Roman" w:hAnsi="Times New Roman"/>
          <w:sz w:val="17"/>
          <w:szCs w:val="17"/>
          <w:color w:val="auto"/>
        </w:rPr>
        <w:t>Equivalents) will be deemed to be 100% (target), regardless of actual performance, and (b) payment of the Prorated RPSRs (and related Dividend Equivalents) that vest pursuant to this Section 2.2 will be</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made within 60 days of the Grantee’s death or Disability, but in no event later than March 15 of the year following the date of the death or Disability.</w:t>
      </w:r>
    </w:p>
    <w:p>
      <w:pPr>
        <w:spacing w:after="0" w:line="170" w:lineRule="exact"/>
        <w:rPr>
          <w:sz w:val="20"/>
          <w:szCs w:val="20"/>
          <w:color w:val="auto"/>
        </w:rPr>
      </w:pPr>
    </w:p>
    <w:p>
      <w:pPr>
        <w:ind w:right="200" w:firstLine="180"/>
        <w:spacing w:after="0" w:line="217" w:lineRule="auto"/>
        <w:rPr>
          <w:sz w:val="20"/>
          <w:szCs w:val="20"/>
          <w:color w:val="auto"/>
        </w:rPr>
      </w:pPr>
      <w:r>
        <w:rPr>
          <w:rFonts w:ascii="Times New Roman" w:cs="Times New Roman" w:eastAsia="Times New Roman" w:hAnsi="Times New Roman"/>
          <w:sz w:val="18"/>
          <w:szCs w:val="18"/>
          <w:i w:val="1"/>
          <w:iCs w:val="1"/>
          <w:color w:val="auto"/>
        </w:rPr>
        <w:t>Retirement in General</w:t>
      </w:r>
      <w:r>
        <w:rPr>
          <w:rFonts w:ascii="Times New Roman" w:cs="Times New Roman" w:eastAsia="Times New Roman" w:hAnsi="Times New Roman"/>
          <w:sz w:val="18"/>
          <w:szCs w:val="18"/>
          <w:color w:val="auto"/>
        </w:rPr>
        <w:t>. Subject to the following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2.2, in the case of Retirement, the Earnout Percentage will be used to calculate the Grantee’s Vested RPSRs, and payment of the</w:t>
      </w:r>
    </w:p>
    <w:p>
      <w:pPr>
        <w:spacing w:after="0" w:line="1"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Vested RPSRs (and related Dividend Equivalents) will be made in accordance with Section 1.2 above.</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determining the Grantee’s eligibility for Retirement, service is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measured by dividing (a) the number of days the Grantee was employed by the Company or a subsidiary in the period commencing with his or her last date of hire by the Company or a subsidiary through and</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including the date on which the Grantee is last employed by the Company or a subsidiary, by (b) 365. If the Grantee ceased to be employed by the Company or a subsidiary and was later rehired by the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Company or a subsidiary, the Grantee’s service prior to the break in service shall be disregarded in determining service for such purposes; provided that, if the Grantee’s employment with the Company or a</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subsidiary had terminated due to the Grantee’s Retirement, or by the Company or a subsidiary as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ind w:right="120"/>
        <w:spacing w:after="0" w:line="229" w:lineRule="auto"/>
        <w:rPr>
          <w:sz w:val="20"/>
          <w:szCs w:val="20"/>
          <w:color w:val="auto"/>
        </w:rPr>
      </w:pPr>
      <w:r>
        <w:rPr>
          <w:rFonts w:ascii="Times New Roman" w:cs="Times New Roman" w:eastAsia="Times New Roman" w:hAnsi="Times New Roman"/>
          <w:sz w:val="17"/>
          <w:szCs w:val="17"/>
          <w:color w:val="auto"/>
        </w:rPr>
        <w:t>a reduction in force (in each case, other than a termination by the Company or a subsidiary for Cause) and, within the two-year period following such termination of employment (the “break in service”) the</w:t>
      </w:r>
    </w:p>
    <w:p>
      <w:pPr>
        <w:ind w:right="40"/>
        <w:spacing w:after="0" w:line="220" w:lineRule="auto"/>
        <w:rPr>
          <w:sz w:val="20"/>
          <w:szCs w:val="20"/>
          <w:color w:val="auto"/>
        </w:rPr>
      </w:pPr>
      <w:r>
        <w:rPr>
          <w:rFonts w:ascii="Times New Roman" w:cs="Times New Roman" w:eastAsia="Times New Roman" w:hAnsi="Times New Roman"/>
          <w:sz w:val="17"/>
          <w:szCs w:val="17"/>
          <w:color w:val="auto"/>
        </w:rPr>
        <w:t>Grantee was subsequently rehired by the Company or a subsidiary, then the Grantee’s period of service with the Company or a subsidiary prior to and ending with the break in service will be included in determining</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service for such purposes. In the event the Grantee is employed by a business that is acquired by the Company or a subsidiary, the Company shall have discretion to determine whether the Grantee’s service prior to</w:t>
      </w:r>
    </w:p>
    <w:p>
      <w:pPr>
        <w:spacing w:after="0" w:line="2" w:lineRule="exact"/>
        <w:rPr>
          <w:sz w:val="20"/>
          <w:szCs w:val="20"/>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the acquisition will be included in determining service for such purposes.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Retirement Due to Government Service. </w:t>
      </w:r>
      <w:r>
        <w:rPr>
          <w:rFonts w:ascii="Times New Roman" w:cs="Times New Roman" w:eastAsia="Times New Roman" w:hAnsi="Times New Roman"/>
          <w:sz w:val="18"/>
          <w:szCs w:val="18"/>
          <w:color w:val="auto"/>
        </w:rPr>
        <w:t>In the case of a</w:t>
      </w:r>
    </w:p>
    <w:p>
      <w:pPr>
        <w:spacing w:after="0" w:line="4"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Governmental Service Retirement by the Grantee (a) the Performance Period used to calculate the Grantee’s Vested RPSRs will be deemed to have ended as of the most recent date that performance has been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measured by the Company with respect to the RPSRs prior to the Grantee’s Retirement (but in no event shall such date be more than one year before the Grantee’s Retirement), (b) the Earnout Percentage of the</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Grantee’s Prorated RPSRs (and related Dividend Equivalents) will be determined based on actual performance for that short Performance Period, and (c) payment of the Prorated RPSRs that become Vested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RPSRs (and Dividend Equivalents thereon) will be made within 20 days after Retirement.</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b w:val="1"/>
          <w:bCs w:val="1"/>
          <w:i w:val="1"/>
          <w:iCs w:val="1"/>
          <w:color w:val="auto"/>
        </w:rPr>
        <w:t>Other Terminations of Employment</w:t>
      </w:r>
      <w:r>
        <w:rPr>
          <w:rFonts w:ascii="Times New Roman" w:cs="Times New Roman" w:eastAsia="Times New Roman" w:hAnsi="Times New Roman"/>
          <w:sz w:val="18"/>
          <w:szCs w:val="18"/>
          <w:color w:val="auto"/>
        </w:rPr>
        <w:t>. Subject to Section 6.2,</w:t>
      </w:r>
    </w:p>
    <w:p>
      <w:pPr>
        <w:spacing w:after="0" w:line="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all RPSRs (and related Dividend Equivalents) subject to the award shall terminate immediately upon a termination of the Grantee’s employment: (a) for any reason other than due to the Grantee’s</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Retirement, death or Disability; or (b) for Retirement, death or Disability, if the six-month employment requirement under Section 2.2 above is not satisfied.</w:t>
      </w:r>
    </w:p>
    <w:p>
      <w:pPr>
        <w:spacing w:after="0" w:line="127" w:lineRule="exact"/>
        <w:rPr>
          <w:sz w:val="20"/>
          <w:szCs w:val="20"/>
          <w:color w:val="auto"/>
        </w:rPr>
      </w:pPr>
    </w:p>
    <w:p>
      <w:pPr>
        <w:ind w:right="12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2.4</w:t>
      </w:r>
      <w:r>
        <w:rPr>
          <w:rFonts w:ascii="Times New Roman" w:cs="Times New Roman" w:eastAsia="Times New Roman" w:hAnsi="Times New Roman"/>
          <w:sz w:val="17"/>
          <w:szCs w:val="17"/>
          <w:b w:val="1"/>
          <w:bCs w:val="1"/>
          <w:i w:val="1"/>
          <w:iCs w:val="1"/>
          <w:color w:val="auto"/>
        </w:rPr>
        <w:t>Leave of Absence</w:t>
      </w:r>
      <w:r>
        <w:rPr>
          <w:rFonts w:ascii="Times New Roman" w:cs="Times New Roman" w:eastAsia="Times New Roman" w:hAnsi="Times New Roman"/>
          <w:sz w:val="17"/>
          <w:szCs w:val="17"/>
          <w:color w:val="auto"/>
        </w:rPr>
        <w:t>. Unless the Committee otherwise provides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the time of the leave or otherwise), if the Grantee is granted a leave</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of absence by the Company, the Grantee (a) shall not be deemed to have incurred a termination of employment at the time such leave commences for purposes of the award, and (b) shall be deemed to be</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employed by the Company for the duration of such approved leave of absence for purposes of the award. A termination of employment shall be deemed to have occurred if the Grantee does not timely return to</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active employment upon the expiration of such approved leave or if the Grantee commences a leave that is not approved by the Company.</w:t>
      </w:r>
    </w:p>
    <w:p>
      <w:pPr>
        <w:spacing w:after="0" w:line="126" w:lineRule="exact"/>
        <w:rPr>
          <w:sz w:val="20"/>
          <w:szCs w:val="20"/>
          <w:color w:val="auto"/>
        </w:rPr>
      </w:pPr>
    </w:p>
    <w:p>
      <w:pPr>
        <w:ind w:right="22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2.4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and salary continuation without active employment (other</w:t>
      </w:r>
    </w:p>
    <w:p>
      <w:pPr>
        <w:spacing w:after="0" w:line="3"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than a leave of absence approved by the Company that is covered by Section 2.4) will not, in and of itself, constitute “employment” for purposes hereof (in the case of salary continuation without active</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employment, the Grantee’s cessation of active employee status shall, subject to Section 2.4, be deemed to be a termination of “employment” for purposes hereof). Furthermore, salary continuation will not, in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itself, constitute a leave</w:t>
      </w:r>
    </w:p>
    <w:p>
      <w:pPr>
        <w:sectPr>
          <w:pgSz w:w="11900" w:h="16838" w:orient="portrait"/>
          <w:cols w:equalWidth="0" w:num="2">
            <w:col w:w="5200" w:space="720"/>
            <w:col w:w="5200"/>
          </w:cols>
          <w:pgMar w:left="320" w:top="1147" w:right="459" w:bottom="1440" w:gutter="0" w:footer="0" w:header="0"/>
        </w:sectPr>
      </w:pPr>
    </w:p>
    <w:bookmarkStart w:id="46" w:name="page47"/>
    <w:bookmarkEnd w:id="46"/>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absence approved by the Company for purposes of the award.</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p>
    <w:p>
      <w:pPr>
        <w:spacing w:after="0" w:line="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of the RPSRs (and related Dividend Equivalents) subject to the award, a termination of employment of the Grantee shall be deemed to have occurred if the Grantee is employed by a subsidiary or business unit and</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that subsidiary or business unit is sold, spun off, or otherwise divested, the Grantee does not otherwise continue to be employed by the Company or one of its subsidiaries after such event, and the divested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entity or business (or its successor or a parent company) does not assume the award in connection with such transaction. In the event of such a termination of employment, the termination shall be deemed to</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be a Retirement treated as provided for in Section 2.2 (subject to Section 6).</w:t>
      </w:r>
    </w:p>
    <w:p>
      <w:pPr>
        <w:spacing w:after="0" w:line="126" w:lineRule="exact"/>
        <w:rPr>
          <w:sz w:val="20"/>
          <w:szCs w:val="20"/>
          <w:color w:val="auto"/>
        </w:rPr>
      </w:pPr>
    </w:p>
    <w:p>
      <w:pPr>
        <w:ind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2.2, Section 2.4 and in Section 6, the vesting of the RPSRs (and related Dividend Equivalents) subject to the award requires</w:t>
      </w:r>
    </w:p>
    <w:p>
      <w:pPr>
        <w:spacing w:after="0" w:line="3"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continued employment through the last day of the Performance Period as a condition to the vesting of any portion of the award. Employment for only a portion of the Performance Period, even if a substantial</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portion, will not entitle the Grantee to any proportionate vesting or avoid or mitigate a termination of rights and benefits upon or following a termination of employment. Nothing contained in this Agreement, the</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Grant Letter, the Stock Plan System, or the Plan constitutes an employment commitment by the Company or any subsidiary, affects the</w:t>
      </w:r>
    </w:p>
    <w:p>
      <w:pPr>
        <w:ind w:right="100"/>
        <w:spacing w:after="0" w:line="232" w:lineRule="auto"/>
        <w:rPr>
          <w:sz w:val="20"/>
          <w:szCs w:val="20"/>
          <w:color w:val="auto"/>
        </w:rPr>
      </w:pPr>
      <w:r>
        <w:rPr>
          <w:rFonts w:ascii="Times New Roman" w:cs="Times New Roman" w:eastAsia="Times New Roman" w:hAnsi="Times New Roman"/>
          <w:sz w:val="17"/>
          <w:szCs w:val="17"/>
          <w:color w:val="auto"/>
        </w:rPr>
        <w:t>Grantee’s status (if the Grantee is otherwise an at-will employee) as an employee at will who is subject to termination without cause, confers</w:t>
      </w:r>
    </w:p>
    <w:p>
      <w:pPr>
        <w:ind w:right="180"/>
        <w:spacing w:after="0" w:line="208" w:lineRule="auto"/>
        <w:rPr>
          <w:sz w:val="20"/>
          <w:szCs w:val="20"/>
          <w:color w:val="auto"/>
        </w:rPr>
      </w:pPr>
      <w:r>
        <w:rPr>
          <w:rFonts w:ascii="Times New Roman" w:cs="Times New Roman" w:eastAsia="Times New Roman" w:hAnsi="Times New Roman"/>
          <w:sz w:val="18"/>
          <w:szCs w:val="18"/>
          <w:color w:val="auto"/>
        </w:rPr>
        <w:t>upon the Grantee any right to continue in the employ of the Company or any subsidiary, or interferes in any way with the right of the Company or of any subsidiary to terminate such employment at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b w:val="1"/>
          <w:bCs w:val="1"/>
          <w:i w:val="1"/>
          <w:iCs w:val="1"/>
          <w:color w:val="auto"/>
        </w:rPr>
        <w:t>Death</w:t>
      </w:r>
      <w:r>
        <w:rPr>
          <w:rFonts w:ascii="Times New Roman" w:cs="Times New Roman" w:eastAsia="Times New Roman" w:hAnsi="Times New Roman"/>
          <w:sz w:val="18"/>
          <w:szCs w:val="18"/>
          <w:color w:val="auto"/>
        </w:rPr>
        <w:t>. In the event of the Grantee’s death subsequent to the</w:t>
      </w:r>
    </w:p>
    <w:p>
      <w:pPr>
        <w:spacing w:after="0" w:line="6"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vesting of RPSRs but prior to the delivery of shares or other payment with respect to such RPSRs (and related Dividend Equivalents), the Grantee’s Successor shall be entitled to any payments to which the</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Grantee would have been entitled under this Agreement with respect to such RPSRs.</w:t>
      </w:r>
    </w:p>
    <w:p>
      <w:pPr>
        <w:spacing w:after="0" w:line="12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RPSRs (and</w:t>
      </w:r>
    </w:p>
    <w:p>
      <w:pPr>
        <w:spacing w:after="0" w:line="6"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related Dividend Equivalents) subject to the award, are non-transferable and shall not be subject in any manner to sale, transfer, anticipation, alienation, assignment, pledge, encumbrance or charge. The foregoing</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transfer restrictions shall not apply to transfers to the Company. Notwithstanding the foregoing, the Company may honor any transfer required pursuant to the terms of a court order in a divorce or similar</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domestic relations matter to the extent that such transfer does not adversely affect the Company’s ability to register the offer and sale of the underlying shares on a Form S-8 Registration Statement and such</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transfer is otherwise in compliance with all applicable legal, regulatory and listing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jc w:val="both"/>
        <w:ind w:left="2" w:right="8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shares with respect to the award, Grantee’s employment is terminated for Cause (or Grantee has engaged in misconduct that could</w:t>
      </w:r>
    </w:p>
    <w:p>
      <w:pPr>
        <w:spacing w:after="0" w:line="2" w:lineRule="exact"/>
        <w:rPr>
          <w:sz w:val="20"/>
          <w:szCs w:val="20"/>
          <w:color w:val="auto"/>
        </w:rPr>
      </w:pPr>
    </w:p>
    <w:p>
      <w:pPr>
        <w:jc w:val="both"/>
        <w:ind w:left="2" w:right="420"/>
        <w:spacing w:after="0" w:line="220" w:lineRule="auto"/>
        <w:rPr>
          <w:sz w:val="20"/>
          <w:szCs w:val="20"/>
          <w:color w:val="auto"/>
        </w:rPr>
      </w:pPr>
      <w:r>
        <w:rPr>
          <w:rFonts w:ascii="Times New Roman" w:cs="Times New Roman" w:eastAsia="Times New Roman" w:hAnsi="Times New Roman"/>
          <w:sz w:val="17"/>
          <w:szCs w:val="17"/>
          <w:color w:val="auto"/>
        </w:rPr>
        <w:t>have resulted in Grantee’s termination of employment for Cause if Grantee had remained an employee), the Company may reduce or eliminate any payments or issuances of shares with respect to the</w:t>
      </w:r>
    </w:p>
    <w:p>
      <w:pPr>
        <w:spacing w:after="0" w:line="2" w:lineRule="exact"/>
        <w:rPr>
          <w:sz w:val="20"/>
          <w:szCs w:val="20"/>
          <w:color w:val="auto"/>
        </w:rPr>
      </w:pPr>
    </w:p>
    <w:p>
      <w:pPr>
        <w:ind w:left="2" w:right="80"/>
        <w:spacing w:after="0" w:line="208" w:lineRule="auto"/>
        <w:rPr>
          <w:sz w:val="20"/>
          <w:szCs w:val="20"/>
          <w:color w:val="auto"/>
        </w:rPr>
      </w:pPr>
      <w:r>
        <w:rPr>
          <w:rFonts w:ascii="Times New Roman" w:cs="Times New Roman" w:eastAsia="Times New Roman" w:hAnsi="Times New Roman"/>
          <w:sz w:val="18"/>
          <w:szCs w:val="18"/>
          <w:color w:val="auto"/>
        </w:rPr>
        <w:t>award. Further, any payments or issuances of shares with respect to the award are subject to recoupment pursuant to the Company’s Policy Regarding the Recoupment of Certain Performance-Based</w:t>
      </w:r>
    </w:p>
    <w:p>
      <w:pPr>
        <w:spacing w:after="0" w:line="2" w:lineRule="exact"/>
        <w:rPr>
          <w:sz w:val="20"/>
          <w:szCs w:val="20"/>
          <w:color w:val="auto"/>
        </w:rPr>
      </w:pPr>
    </w:p>
    <w:p>
      <w:pPr>
        <w:jc w:val="both"/>
        <w:ind w:left="2" w:right="220"/>
        <w:spacing w:after="0" w:line="220" w:lineRule="auto"/>
        <w:rPr>
          <w:sz w:val="20"/>
          <w:szCs w:val="20"/>
          <w:color w:val="auto"/>
        </w:rPr>
      </w:pPr>
      <w:r>
        <w:rPr>
          <w:rFonts w:ascii="Times New Roman" w:cs="Times New Roman" w:eastAsia="Times New Roman" w:hAnsi="Times New Roman"/>
          <w:sz w:val="17"/>
          <w:szCs w:val="17"/>
          <w:color w:val="auto"/>
        </w:rPr>
        <w:t>Compensation Payments as in effect from time to time as well as any recoupment or similar provisions of applicable law, and the Grantee shall promptly make any reimbursement requested by the Board or</w:t>
      </w:r>
    </w:p>
    <w:p>
      <w:pPr>
        <w:spacing w:after="0" w:line="2" w:lineRule="exact"/>
        <w:rPr>
          <w:sz w:val="20"/>
          <w:szCs w:val="20"/>
          <w:color w:val="auto"/>
        </w:rPr>
      </w:pP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Committee pursuant to such policy or applicable law with respect to the award. The Grantee agrees, by accepting the award, that the Company and its affiliates may deduct from any amounts it may owe the Grantee</w:t>
      </w:r>
    </w:p>
    <w:p>
      <w:pPr>
        <w:spacing w:after="0" w:line="2" w:lineRule="exact"/>
        <w:rPr>
          <w:sz w:val="20"/>
          <w:szCs w:val="20"/>
          <w:color w:val="auto"/>
        </w:rPr>
      </w:pPr>
    </w:p>
    <w:p>
      <w:pPr>
        <w:ind w:left="2" w:right="160"/>
        <w:spacing w:after="0" w:line="218" w:lineRule="auto"/>
        <w:rPr>
          <w:sz w:val="20"/>
          <w:szCs w:val="20"/>
          <w:color w:val="auto"/>
        </w:rPr>
      </w:pPr>
      <w:r>
        <w:rPr>
          <w:rFonts w:ascii="Times New Roman" w:cs="Times New Roman" w:eastAsia="Times New Roman" w:hAnsi="Times New Roman"/>
          <w:sz w:val="18"/>
          <w:szCs w:val="18"/>
          <w:color w:val="auto"/>
        </w:rPr>
        <w:t>from time to time (such as wages or other compensation) to the extent of any amounts the Grantee is required to reimburse the Company pursuant to such policy or applicable law with respect to the award.</w:t>
      </w:r>
    </w:p>
    <w:p>
      <w:pPr>
        <w:spacing w:after="0" w:line="168" w:lineRule="exact"/>
        <w:rPr>
          <w:sz w:val="20"/>
          <w:szCs w:val="20"/>
          <w:color w:val="auto"/>
        </w:rPr>
      </w:pPr>
    </w:p>
    <w:p>
      <w:pPr>
        <w:ind w:left="642" w:hanging="642"/>
        <w:spacing w:after="0"/>
        <w:tabs>
          <w:tab w:leader="none" w:pos="64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b w:val="1"/>
          <w:bCs w:val="1"/>
          <w:i w:val="1"/>
          <w:iCs w:val="1"/>
          <w:color w:val="auto"/>
        </w:rPr>
        <w:t>Executive Leadership Team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p>
    <w:p>
      <w:pPr>
        <w:spacing w:after="0" w:line="6"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 incorporated in Delaware and headquartered in Virginia. You are</w:t>
      </w:r>
    </w:p>
    <w:p>
      <w:pPr>
        <w:spacing w:after="0" w:line="2" w:lineRule="exact"/>
        <w:rPr>
          <w:sz w:val="20"/>
          <w:szCs w:val="20"/>
          <w:color w:val="auto"/>
        </w:rPr>
      </w:pPr>
    </w:p>
    <w:p>
      <w:pPr>
        <w:ind w:left="2" w:right="160"/>
        <w:spacing w:after="0" w:line="220" w:lineRule="auto"/>
        <w:rPr>
          <w:sz w:val="20"/>
          <w:szCs w:val="20"/>
          <w:color w:val="auto"/>
        </w:rPr>
      </w:pPr>
      <w:r>
        <w:rPr>
          <w:rFonts w:ascii="Times New Roman" w:cs="Times New Roman" w:eastAsia="Times New Roman" w:hAnsi="Times New Roman"/>
          <w:sz w:val="17"/>
          <w:szCs w:val="17"/>
          <w:color w:val="auto"/>
        </w:rPr>
        <w:t>involved in the most sensitive and proprietary matters affecting the Company, its subsidiaries, predecessors, and/or affiliates (collectively, “Northrop Grumman”), including from a technical, strategic and</w:t>
      </w:r>
    </w:p>
    <w:p>
      <w:pPr>
        <w:spacing w:after="0" w:line="2" w:lineRule="exact"/>
        <w:rPr>
          <w:sz w:val="20"/>
          <w:szCs w:val="20"/>
          <w:color w:val="auto"/>
        </w:rPr>
      </w:pPr>
    </w:p>
    <w:p>
      <w:pPr>
        <w:ind w:left="2" w:right="120"/>
        <w:spacing w:after="0" w:line="220" w:lineRule="auto"/>
        <w:rPr>
          <w:sz w:val="20"/>
          <w:szCs w:val="20"/>
          <w:color w:val="auto"/>
        </w:rPr>
      </w:pPr>
      <w:r>
        <w:rPr>
          <w:rFonts w:ascii="Times New Roman" w:cs="Times New Roman" w:eastAsia="Times New Roman" w:hAnsi="Times New Roman"/>
          <w:sz w:val="17"/>
          <w:szCs w:val="17"/>
          <w:color w:val="auto"/>
        </w:rPr>
        <w:t>financial perspective, and are widely exposed to confidential, sensitive and proprietary information concerning Northrop Grumman’s global operations, at the headquarters and each of the operating sectors,</w:t>
      </w:r>
    </w:p>
    <w:p>
      <w:pPr>
        <w:spacing w:after="0" w:line="2" w:lineRule="exact"/>
        <w:rPr>
          <w:sz w:val="20"/>
          <w:szCs w:val="20"/>
          <w:color w:val="auto"/>
        </w:rPr>
      </w:pPr>
    </w:p>
    <w:p>
      <w:pPr>
        <w:ind w:left="2" w:right="220"/>
        <w:spacing w:after="0" w:line="208" w:lineRule="auto"/>
        <w:rPr>
          <w:sz w:val="20"/>
          <w:szCs w:val="20"/>
          <w:color w:val="auto"/>
        </w:rPr>
      </w:pPr>
      <w:r>
        <w:rPr>
          <w:rFonts w:ascii="Times New Roman" w:cs="Times New Roman" w:eastAsia="Times New Roman" w:hAnsi="Times New Roman"/>
          <w:sz w:val="18"/>
          <w:szCs w:val="18"/>
          <w:color w:val="auto"/>
        </w:rPr>
        <w:t>including in the areas of autonomous systems, cyber, C4ISR, space, strike, sensors, electronics, and logistics and modernization. Your job responsibilities require that you have a primary office location in</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Virginia and/or you spend substantial time at the corporate headquarters in Virginia, among other things, attending ELT and other leadership meetings, and managing operations and employees in Virginia. You</w:t>
      </w:r>
    </w:p>
    <w:p>
      <w:pPr>
        <w:spacing w:after="0" w:line="2" w:lineRule="exact"/>
        <w:rPr>
          <w:sz w:val="20"/>
          <w:szCs w:val="20"/>
          <w:color w:val="auto"/>
        </w:rPr>
      </w:pPr>
    </w:p>
    <w:p>
      <w:pPr>
        <w:jc w:val="both"/>
        <w:ind w:left="2" w:right="100"/>
        <w:spacing w:after="0" w:line="208" w:lineRule="auto"/>
        <w:rPr>
          <w:sz w:val="20"/>
          <w:szCs w:val="20"/>
          <w:color w:val="auto"/>
        </w:rPr>
      </w:pPr>
      <w:r>
        <w:rPr>
          <w:rFonts w:ascii="Times New Roman" w:cs="Times New Roman" w:eastAsia="Times New Roman" w:hAnsi="Times New Roman"/>
          <w:sz w:val="18"/>
          <w:szCs w:val="18"/>
          <w:color w:val="auto"/>
        </w:rPr>
        <w:t>occupy one of the most senior executive positions in the Company and have far-reaching access to highly confidential, valuable and sensitive information, customer, vendor and employee relationships, intellectual</w:t>
      </w:r>
    </w:p>
    <w:p>
      <w:pPr>
        <w:spacing w:after="0" w:line="2" w:lineRule="exact"/>
        <w:rPr>
          <w:sz w:val="20"/>
          <w:szCs w:val="20"/>
          <w:color w:val="auto"/>
        </w:rPr>
      </w:pPr>
    </w:p>
    <w:p>
      <w:pPr>
        <w:jc w:val="both"/>
        <w:ind w:left="2" w:right="340"/>
        <w:spacing w:after="0" w:line="220" w:lineRule="auto"/>
        <w:rPr>
          <w:sz w:val="20"/>
          <w:szCs w:val="20"/>
          <w:color w:val="auto"/>
        </w:rPr>
      </w:pPr>
      <w:r>
        <w:rPr>
          <w:rFonts w:ascii="Times New Roman" w:cs="Times New Roman" w:eastAsia="Times New Roman" w:hAnsi="Times New Roman"/>
          <w:sz w:val="17"/>
          <w:szCs w:val="17"/>
          <w:color w:val="auto"/>
        </w:rPr>
        <w:t>property, strategic and tactical plans, and financial information and plans. The Company has a legitimate business interest in restricting your ability to compete in the specific manner set forth below. The</w:t>
      </w:r>
    </w:p>
    <w:p>
      <w:pPr>
        <w:spacing w:after="0" w:line="2" w:lineRule="exact"/>
        <w:rPr>
          <w:sz w:val="20"/>
          <w:szCs w:val="20"/>
          <w:color w:val="auto"/>
        </w:rPr>
      </w:pPr>
    </w:p>
    <w:p>
      <w:pPr>
        <w:ind w:left="2" w:right="60"/>
        <w:spacing w:after="0" w:line="226" w:lineRule="auto"/>
        <w:rPr>
          <w:sz w:val="20"/>
          <w:szCs w:val="20"/>
          <w:color w:val="auto"/>
        </w:rPr>
      </w:pPr>
      <w:r>
        <w:rPr>
          <w:rFonts w:ascii="Times New Roman" w:cs="Times New Roman" w:eastAsia="Times New Roman" w:hAnsi="Times New Roman"/>
          <w:sz w:val="18"/>
          <w:szCs w:val="18"/>
          <w:color w:val="auto"/>
        </w:rPr>
        <w:t>Company has provided you this grant, subject to this Agreement and as consideration for the restrictive covenants set forth in this Section 4.</w:t>
      </w:r>
    </w:p>
    <w:p>
      <w:pPr>
        <w:spacing w:after="0" w:line="180"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p>
    <w:p>
      <w:pPr>
        <w:spacing w:after="0" w:line="6"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date of the termination of Grantee’s employment for any reason (other than a Reduction-in-Force as determined at the Company’s sole discretion) (“Termination”), you will not, directly or indirectly, oversee,</w:t>
      </w:r>
    </w:p>
    <w:p>
      <w:pPr>
        <w:spacing w:after="0" w:line="2" w:lineRule="exact"/>
        <w:rPr>
          <w:sz w:val="20"/>
          <w:szCs w:val="20"/>
          <w:color w:val="auto"/>
        </w:rPr>
      </w:pPr>
    </w:p>
    <w:p>
      <w:pPr>
        <w:ind w:left="2" w:right="120"/>
        <w:spacing w:after="0" w:line="218" w:lineRule="auto"/>
        <w:rPr>
          <w:sz w:val="20"/>
          <w:szCs w:val="20"/>
          <w:color w:val="auto"/>
        </w:rPr>
      </w:pPr>
      <w:r>
        <w:rPr>
          <w:rFonts w:ascii="Times New Roman" w:cs="Times New Roman" w:eastAsia="Times New Roman" w:hAnsi="Times New Roman"/>
          <w:sz w:val="18"/>
          <w:szCs w:val="18"/>
          <w:color w:val="auto"/>
        </w:rPr>
        <w:t>control, participate in, or support the design, operation, research, manufacture, marketing, sale, or distribution of “Competitive Products and Services”. For</w:t>
      </w:r>
    </w:p>
    <w:p>
      <w:pPr>
        <w:sectPr>
          <w:pgSz w:w="11900" w:h="16838" w:orient="portrait"/>
          <w:cols w:equalWidth="0" w:num="2">
            <w:col w:w="5200" w:space="718"/>
            <w:col w:w="5202"/>
          </w:cols>
          <w:pgMar w:left="320" w:top="1143" w:right="459" w:bottom="1440" w:gutter="0" w:footer="0" w:header="0"/>
        </w:sectPr>
      </w:pPr>
    </w:p>
    <w:bookmarkStart w:id="47" w:name="page48"/>
    <w:bookmarkEnd w:id="47"/>
    <w:p>
      <w:pPr>
        <w:ind w:right="160"/>
        <w:spacing w:after="0" w:line="216" w:lineRule="auto"/>
        <w:rPr>
          <w:sz w:val="20"/>
          <w:szCs w:val="20"/>
          <w:color w:val="auto"/>
        </w:rPr>
      </w:pPr>
      <w:r>
        <w:rPr>
          <w:rFonts w:ascii="Times New Roman" w:cs="Times New Roman" w:eastAsia="Times New Roman" w:hAnsi="Times New Roman"/>
          <w:sz w:val="18"/>
          <w:szCs w:val="18"/>
          <w:color w:val="auto"/>
        </w:rPr>
        <w:t>the purpose of this section, “Competitive Products and Services” shall mean products or services that compete for resources with or are an alternative or potential alternative to, the products sold or services</w:t>
      </w:r>
    </w:p>
    <w:p>
      <w:pPr>
        <w:spacing w:after="0" w:line="1"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17"/>
          <w:szCs w:val="17"/>
          <w:color w:val="auto"/>
        </w:rPr>
        <w:t>provided by Northrop Grumman, including without limitation products and services in the areas of autonomous systems, cyber, C4ISR, space, strike, sensors, electronics, and logistics and modernization.</w:t>
      </w:r>
    </w:p>
    <w:p>
      <w:pPr>
        <w:spacing w:after="0" w:line="195" w:lineRule="exact"/>
        <w:rPr>
          <w:sz w:val="20"/>
          <w:szCs w:val="20"/>
          <w:color w:val="auto"/>
        </w:rPr>
      </w:pPr>
    </w:p>
    <w:p>
      <w:pPr>
        <w:ind w:right="14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w:t>
      </w:r>
    </w:p>
    <w:p>
      <w:pPr>
        <w:spacing w:after="0" w:line="3"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Grumman with whom you engaged, or about whom you received confidential, sensitive, or proprietary information, in the course of your employment with Northrop Grumman, for purposes of providing</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products or services in competition with Northrop Grumman. In the case of a governmental, regulatory or administrative agency, commission, department or other governmental authority, the customer</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is determined by reference to the specific program offices or activities for which Northrop Grumman provides goods or services.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6" w:lineRule="exact"/>
        <w:rPr>
          <w:sz w:val="20"/>
          <w:szCs w:val="20"/>
          <w:color w:val="auto"/>
        </w:rPr>
      </w:pPr>
    </w:p>
    <w:p>
      <w:pPr>
        <w:ind w:right="20" w:firstLine="8"/>
        <w:spacing w:after="0" w:line="228" w:lineRule="auto"/>
        <w:tabs>
          <w:tab w:leader="none" w:pos="34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p>
    <w:p>
      <w:pPr>
        <w:spacing w:after="0" w:line="6"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foregoing shall not apply to any truthful statements made in connection with a legal process, including government investigation or as otherwise provided by law.</w:t>
      </w:r>
    </w:p>
    <w:p>
      <w:pPr>
        <w:spacing w:after="0" w:line="195" w:lineRule="exact"/>
        <w:rPr>
          <w:sz w:val="20"/>
          <w:szCs w:val="20"/>
          <w:color w:val="auto"/>
        </w:rPr>
      </w:pPr>
    </w:p>
    <w:p>
      <w:pPr>
        <w:ind w:right="4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request an exception to the covenants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or 4.4 by making a written request to the Company’s Chief Human Resources Officer, with such exceptions being considered</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at the sole discretion of the Company and communicated in writing to you.</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p>
    <w:p>
      <w:pPr>
        <w:spacing w:after="0" w:line="6"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Sections 4.2, 4.3, and 4.4 are (i) reasonable and necessary in all respects, including duration, territory and scope of activity, in order to protect the Company’s legitimate business interests, (ii) that the parties</w:t>
      </w:r>
    </w:p>
    <w:p>
      <w:pPr>
        <w:spacing w:after="0" w:line="2"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7"/>
          <w:szCs w:val="17"/>
          <w:color w:val="auto"/>
        </w:rPr>
        <w:t>have attempted to limit your right to compete only to the extent necessary to protect the Company’s legitimate business interests, and</w:t>
      </w:r>
    </w:p>
    <w:p>
      <w:pPr>
        <w:spacing w:after="0" w:line="1" w:lineRule="exact"/>
        <w:rPr>
          <w:sz w:val="20"/>
          <w:szCs w:val="20"/>
          <w:color w:val="auto"/>
        </w:rPr>
      </w:pPr>
    </w:p>
    <w:p>
      <w:pPr>
        <w:ind w:right="260" w:firstLine="8"/>
        <w:spacing w:after="0" w:line="223" w:lineRule="auto"/>
        <w:tabs>
          <w:tab w:leader="none" w:pos="3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w:t>
      </w:r>
    </w:p>
    <w:p>
      <w:pPr>
        <w:spacing w:after="0" w:line="2" w:lineRule="exact"/>
        <w:rPr>
          <w:rFonts w:ascii="Times New Roman" w:cs="Times New Roman" w:eastAsia="Times New Roman" w:hAnsi="Times New Roman"/>
          <w:sz w:val="17"/>
          <w:szCs w:val="17"/>
          <w:color w:val="auto"/>
        </w:rPr>
      </w:pPr>
    </w:p>
    <w:p>
      <w:pPr>
        <w:ind w:right="20"/>
        <w:spacing w:after="0" w:line="2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spacing w:after="0" w:line="237" w:lineRule="auto"/>
        <w:rPr>
          <w:sz w:val="20"/>
          <w:szCs w:val="20"/>
          <w:color w:val="auto"/>
        </w:rPr>
      </w:pPr>
      <w:r>
        <w:rPr>
          <w:rFonts w:ascii="Times New Roman" w:cs="Times New Roman" w:eastAsia="Times New Roman" w:hAnsi="Times New Roman"/>
          <w:sz w:val="18"/>
          <w:szCs w:val="18"/>
          <w:color w:val="auto"/>
        </w:rPr>
        <w:t>maximum extent possible to achieve the objective of the parties, and the remainder of the section shall remain in full force and affect.</w:t>
      </w:r>
    </w:p>
    <w:p>
      <w:pPr>
        <w:spacing w:after="0" w:line="181"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p>
    <w:p>
      <w:pPr>
        <w:spacing w:after="0" w:line="6"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and/or 4.5 of this section, the Company shall have the right to terminate without payment to you any unvested and/or unpaid RPSRs (and associated Dividend Equivalents) and require that you immediately</w:t>
      </w:r>
    </w:p>
    <w:p>
      <w:pPr>
        <w:spacing w:after="0" w:line="2" w:lineRule="exact"/>
        <w:rPr>
          <w:sz w:val="20"/>
          <w:szCs w:val="20"/>
          <w:color w:val="auto"/>
        </w:rPr>
      </w:pPr>
    </w:p>
    <w:p>
      <w:pPr>
        <w:jc w:val="both"/>
        <w:ind w:left="2" w:right="180"/>
        <w:spacing w:after="0" w:line="220" w:lineRule="auto"/>
        <w:rPr>
          <w:sz w:val="20"/>
          <w:szCs w:val="20"/>
          <w:color w:val="auto"/>
        </w:rPr>
      </w:pPr>
      <w:r>
        <w:rPr>
          <w:rFonts w:ascii="Times New Roman" w:cs="Times New Roman" w:eastAsia="Times New Roman" w:hAnsi="Times New Roman"/>
          <w:sz w:val="17"/>
          <w:szCs w:val="17"/>
          <w:color w:val="auto"/>
        </w:rPr>
        <w:t>deliver to the Company an amount in cash equal to the aggregate Fair Market Value, determined as of the vesting and/or payment date of all RPSRs already received, including any Dividend Equivalents, within</w:t>
      </w:r>
    </w:p>
    <w:p>
      <w:pPr>
        <w:spacing w:after="0" w:line="2" w:lineRule="exact"/>
        <w:rPr>
          <w:sz w:val="20"/>
          <w:szCs w:val="20"/>
          <w:color w:val="auto"/>
        </w:rPr>
      </w:pPr>
    </w:p>
    <w:p>
      <w:pPr>
        <w:jc w:val="both"/>
        <w:ind w:left="2" w:right="80"/>
        <w:spacing w:after="0" w:line="220" w:lineRule="auto"/>
        <w:rPr>
          <w:sz w:val="20"/>
          <w:szCs w:val="20"/>
          <w:color w:val="auto"/>
        </w:rPr>
      </w:pPr>
      <w:r>
        <w:rPr>
          <w:rFonts w:ascii="Times New Roman" w:cs="Times New Roman" w:eastAsia="Times New Roman" w:hAnsi="Times New Roman"/>
          <w:sz w:val="17"/>
          <w:szCs w:val="17"/>
          <w:color w:val="auto"/>
        </w:rPr>
        <w:t>one year prior to the breach. Further, you acknowledge and agree that a breach of any of the provisions of this section will result in immediate, irreparable, and continuing damage to the Company for which there is</w:t>
      </w:r>
    </w:p>
    <w:p>
      <w:pPr>
        <w:spacing w:after="0" w:line="2" w:lineRule="exact"/>
        <w:rPr>
          <w:sz w:val="20"/>
          <w:szCs w:val="20"/>
          <w:color w:val="auto"/>
        </w:rPr>
      </w:pPr>
    </w:p>
    <w:p>
      <w:pPr>
        <w:ind w:left="2" w:right="240"/>
        <w:spacing w:after="0" w:line="220" w:lineRule="auto"/>
        <w:rPr>
          <w:sz w:val="20"/>
          <w:szCs w:val="20"/>
          <w:color w:val="auto"/>
        </w:rPr>
      </w:pPr>
      <w:r>
        <w:rPr>
          <w:rFonts w:ascii="Times New Roman" w:cs="Times New Roman" w:eastAsia="Times New Roman" w:hAnsi="Times New Roman"/>
          <w:sz w:val="17"/>
          <w:szCs w:val="17"/>
          <w:color w:val="auto"/>
        </w:rPr>
        <w:t>no adequate remedy at law, and the Company will be entitled to injunctive relief, a decree of specific performance, and other relief as may be proper, including monetary damages, to the maximum extent</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available.</w:t>
      </w:r>
    </w:p>
    <w:p>
      <w:pPr>
        <w:spacing w:after="0" w:line="188" w:lineRule="exact"/>
        <w:rPr>
          <w:sz w:val="20"/>
          <w:szCs w:val="20"/>
          <w:color w:val="auto"/>
        </w:rPr>
      </w:pPr>
    </w:p>
    <w:p>
      <w:pPr>
        <w:ind w:left="322" w:right="620" w:hanging="322"/>
        <w:spacing w:after="0" w:line="239" w:lineRule="auto"/>
        <w:tabs>
          <w:tab w:leader="none" w:pos="32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2" w:right="240" w:firstLine="405"/>
        <w:spacing w:after="0" w:line="236" w:lineRule="auto"/>
        <w:rPr>
          <w:sz w:val="20"/>
          <w:szCs w:val="20"/>
          <w:color w:val="auto"/>
        </w:rPr>
      </w:pPr>
      <w:r>
        <w:rPr>
          <w:rFonts w:ascii="Times New Roman" w:cs="Times New Roman" w:eastAsia="Times New Roman" w:hAnsi="Times New Roman"/>
          <w:sz w:val="17"/>
          <w:szCs w:val="17"/>
          <w:color w:val="auto"/>
        </w:rPr>
        <w:t>The Company’s obligation to make any payments or issue any shares with respect to the award is subject to full compliance with all</w:t>
      </w: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then applicable requirements of law, the Securities and Exchange Commission, or other regulatory agencies having jurisdiction over the Company and its shares, and of any exchange upon which stock of the</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Company may be listed. The Grantee shall not have the rights and privileges of a stockholder, including without limitation the right to vote or receive dividends (except as expressly provided in this Agreement</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with respect to Dividend Equivalents), with respect to any shares which may be issued in respect of the RPSRs until the date appearing on the certificate(s) for such shares (or, in the case of shares entered in book</w:t>
      </w:r>
    </w:p>
    <w:p>
      <w:pPr>
        <w:spacing w:after="0" w:line="2" w:lineRule="exact"/>
        <w:rPr>
          <w:sz w:val="20"/>
          <w:szCs w:val="20"/>
          <w:color w:val="auto"/>
        </w:rPr>
      </w:pPr>
    </w:p>
    <w:p>
      <w:pPr>
        <w:ind w:left="2" w:right="200"/>
        <w:spacing w:after="0" w:line="239" w:lineRule="auto"/>
        <w:rPr>
          <w:sz w:val="20"/>
          <w:szCs w:val="20"/>
          <w:color w:val="auto"/>
        </w:rPr>
      </w:pPr>
      <w:r>
        <w:rPr>
          <w:rFonts w:ascii="Times New Roman" w:cs="Times New Roman" w:eastAsia="Times New Roman" w:hAnsi="Times New Roman"/>
          <w:sz w:val="17"/>
          <w:szCs w:val="17"/>
          <w:color w:val="auto"/>
        </w:rPr>
        <w:t>entry form, the date that the shares are actually recorded in such form for the benefit of the Grantee), if such shares become deliverable.</w:t>
      </w:r>
    </w:p>
    <w:p>
      <w:pPr>
        <w:spacing w:after="0" w:line="154" w:lineRule="exact"/>
        <w:rPr>
          <w:sz w:val="20"/>
          <w:szCs w:val="20"/>
          <w:color w:val="auto"/>
        </w:rPr>
      </w:pPr>
    </w:p>
    <w:p>
      <w:pPr>
        <w:ind w:left="642" w:hanging="642"/>
        <w:spacing w:after="0"/>
        <w:tabs>
          <w:tab w:leader="none" w:pos="64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right="16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RPSRs and the shares subject to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adjustment upon the occurrence of events such as stock</w:t>
      </w: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splits, stock dividends and other changes in capitalization in accordance with Section 6(a) of the Plan. In addition, for RPSRs that do not use a relative total shareholder return metric as the applicable performance</w:t>
      </w:r>
    </w:p>
    <w:p>
      <w:pPr>
        <w:spacing w:after="0" w:line="2" w:lineRule="exact"/>
        <w:rPr>
          <w:sz w:val="20"/>
          <w:szCs w:val="20"/>
          <w:color w:val="auto"/>
        </w:rPr>
      </w:pPr>
    </w:p>
    <w:p>
      <w:pPr>
        <w:jc w:val="both"/>
        <w:ind w:left="2" w:right="220"/>
        <w:spacing w:after="0" w:line="208" w:lineRule="auto"/>
        <w:rPr>
          <w:sz w:val="20"/>
          <w:szCs w:val="20"/>
          <w:color w:val="auto"/>
        </w:rPr>
      </w:pPr>
      <w:r>
        <w:rPr>
          <w:rFonts w:ascii="Times New Roman" w:cs="Times New Roman" w:eastAsia="Times New Roman" w:hAnsi="Times New Roman"/>
          <w:sz w:val="18"/>
          <w:szCs w:val="18"/>
          <w:color w:val="auto"/>
        </w:rPr>
        <w:t>criterion, the applicable performance criteria and goals are subject to adjustment pursuant to Section 8 of the Plan. Any such adjustment or determination not to make any adjustment shall be conclusive and</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binding.</w:t>
      </w:r>
    </w:p>
    <w:p>
      <w:pPr>
        <w:spacing w:after="0" w:line="12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w:t>
      </w:r>
    </w:p>
    <w:p>
      <w:pPr>
        <w:spacing w:after="0" w:line="6"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the provisions of Section 2 hereof, and further subject to the Company’s ability to terminate the award as provided in Section 6.3 below, the Grantee shall be entitled to vesting of the award as provided below in</w:t>
      </w:r>
    </w:p>
    <w:p>
      <w:pPr>
        <w:spacing w:after="0" w:line="2" w:lineRule="exact"/>
        <w:rPr>
          <w:sz w:val="20"/>
          <w:szCs w:val="20"/>
          <w:color w:val="auto"/>
        </w:rPr>
      </w:pPr>
    </w:p>
    <w:p>
      <w:pPr>
        <w:ind w:left="2" w:right="180"/>
        <w:spacing w:after="0" w:line="218" w:lineRule="auto"/>
        <w:rPr>
          <w:sz w:val="20"/>
          <w:szCs w:val="20"/>
          <w:color w:val="auto"/>
        </w:rPr>
      </w:pPr>
      <w:r>
        <w:rPr>
          <w:rFonts w:ascii="Times New Roman" w:cs="Times New Roman" w:eastAsia="Times New Roman" w:hAnsi="Times New Roman"/>
          <w:sz w:val="18"/>
          <w:szCs w:val="18"/>
          <w:color w:val="auto"/>
        </w:rPr>
        <w:t>the event of the Grantee’s termination of employment if at the time of the termination, the termination occurs either within the Protected Period corresponding to a Change in Control of the Company or</w:t>
      </w:r>
    </w:p>
    <w:p>
      <w:pPr>
        <w:sectPr>
          <w:pgSz w:w="11900" w:h="16838" w:orient="portrait"/>
          <w:cols w:equalWidth="0" w:num="2">
            <w:col w:w="5220" w:space="698"/>
            <w:col w:w="5202"/>
          </w:cols>
          <w:pgMar w:left="320" w:top="1147" w:right="459" w:bottom="1440" w:gutter="0" w:footer="0" w:header="0"/>
        </w:sectPr>
      </w:pPr>
    </w:p>
    <w:bookmarkStart w:id="48" w:name="page49"/>
    <w:bookmarkEnd w:id="48"/>
    <w:p>
      <w:pPr>
        <w:spacing w:after="0" w:line="216" w:lineRule="auto"/>
        <w:rPr>
          <w:sz w:val="20"/>
          <w:szCs w:val="20"/>
          <w:color w:val="auto"/>
        </w:rPr>
      </w:pPr>
      <w:r>
        <w:rPr>
          <w:rFonts w:ascii="Times New Roman" w:cs="Times New Roman" w:eastAsia="Times New Roman" w:hAnsi="Times New Roman"/>
          <w:sz w:val="18"/>
          <w:szCs w:val="18"/>
          <w:color w:val="auto"/>
        </w:rPr>
        <w:t>within twenty-four (24) calendar months following the date of a Change in Control of the Company, and the Grantee’s employment by the Company and its subsidiaries is involuntarily terminated by the</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Company and its subsidiaries for reasons other than Cause or by the Grantee for Good Reason.</w:t>
      </w:r>
    </w:p>
    <w:p>
      <w:pPr>
        <w:spacing w:after="0" w:line="130" w:lineRule="exact"/>
        <w:rPr>
          <w:sz w:val="20"/>
          <w:szCs w:val="20"/>
          <w:color w:val="auto"/>
        </w:rPr>
      </w:pPr>
    </w:p>
    <w:p>
      <w:pPr>
        <w:jc w:val="both"/>
        <w:ind w:right="220" w:firstLine="405"/>
        <w:spacing w:after="0" w:line="229"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termination of the Grantee’s employment (or other events giving rise to Good Reason) shall not entitle the Grantee to any accelerated</w:t>
      </w:r>
    </w:p>
    <w:p>
      <w:pPr>
        <w:spacing w:after="0" w:line="208" w:lineRule="auto"/>
        <w:rPr>
          <w:sz w:val="20"/>
          <w:szCs w:val="20"/>
          <w:color w:val="auto"/>
        </w:rPr>
      </w:pPr>
      <w:r>
        <w:rPr>
          <w:rFonts w:ascii="Times New Roman" w:cs="Times New Roman" w:eastAsia="Times New Roman" w:hAnsi="Times New Roman"/>
          <w:sz w:val="18"/>
          <w:szCs w:val="18"/>
          <w:color w:val="auto"/>
        </w:rPr>
        <w:t>vesting pursuant to this Section 6.2 if there is objective evidence that, as of the commencement of the Protected Period, the Grantee had specifically been identified by the Company as an employee whose</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employment would be terminated as part of a corporate restructuring or downsizing program that commenced prior to the Protected Period and such termination of employment was expected at that time to occur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six (6) months.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event the Grantee is entitled to payment in accordance with</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the foregoing provisions of this Section 6.2, then the Grantee will be eligible for payment of a number of RPSRs (and related Dividend Equivalents) determined in accordance with the following formula: (a)</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Earnout Percentage determined in accordance with Section 1 but calculated based on performance for the portion of the three-year Performance Period ending on the last day of the month coinciding with</w:t>
      </w:r>
    </w:p>
    <w:p>
      <w:pPr>
        <w:spacing w:after="0" w:line="2" w:lineRule="exact"/>
        <w:rPr>
          <w:sz w:val="20"/>
          <w:szCs w:val="20"/>
          <w:color w:val="auto"/>
        </w:rPr>
      </w:pP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or immediately preceding the date of the termination of the Grantee’s employment, multiplied by (b) the target number of RPSRs subject to the award. Payment of any amount due under this Section 6.2 will be</w:t>
      </w:r>
    </w:p>
    <w:p>
      <w:pPr>
        <w:spacing w:after="0" w:line="2" w:lineRule="exact"/>
        <w:rPr>
          <w:sz w:val="20"/>
          <w:szCs w:val="20"/>
          <w:color w:val="auto"/>
        </w:rPr>
      </w:pPr>
    </w:p>
    <w:p>
      <w:pPr>
        <w:ind w:right="20"/>
        <w:spacing w:after="0" w:line="199" w:lineRule="auto"/>
        <w:rPr>
          <w:sz w:val="20"/>
          <w:szCs w:val="20"/>
          <w:color w:val="auto"/>
        </w:rPr>
      </w:pPr>
      <w:r>
        <w:rPr>
          <w:rFonts w:ascii="Times New Roman" w:cs="Times New Roman" w:eastAsia="Times New Roman" w:hAnsi="Times New Roman"/>
          <w:sz w:val="18"/>
          <w:szCs w:val="18"/>
          <w:color w:val="auto"/>
        </w:rPr>
        <w:t>made within 60 days of the date of the termination of Grantee’s employment,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Grantee’s termination of employment.</w:t>
      </w:r>
    </w:p>
    <w:p>
      <w:pPr>
        <w:spacing w:after="0" w:line="129" w:lineRule="exact"/>
        <w:rPr>
          <w:sz w:val="20"/>
          <w:szCs w:val="20"/>
          <w:color w:val="auto"/>
        </w:rPr>
      </w:pPr>
    </w:p>
    <w:p>
      <w:pPr>
        <w:ind w:right="10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color w:val="auto"/>
        </w:rPr>
        <w:t>. 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w:t>
      </w: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definition thereof and the Company is not the surviving entity and the successor to the Company (if any) (or a Parent thereof) does not agree in writing prior to the occurrence of the Change in Control to continue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and assume the award following the Change in Control, or if for any other reason the award would not continue after the Change in Control, then upon the Change in Control the Grantee shall be entitled to a</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payment of the RPSRs (and related Dividend Equivalents) as provided below and the award shall terminate. Unless the Committee expressly provides otherwise in the circumstances, no acceleration of vesting of</w:t>
      </w:r>
    </w:p>
    <w:p>
      <w:pPr>
        <w:spacing w:after="0" w:line="2" w:lineRule="exact"/>
        <w:rPr>
          <w:sz w:val="20"/>
          <w:szCs w:val="20"/>
          <w:color w:val="auto"/>
        </w:rPr>
      </w:pPr>
    </w:p>
    <w:p>
      <w:pPr>
        <w:ind w:right="140"/>
        <w:spacing w:after="0" w:line="203" w:lineRule="auto"/>
        <w:rPr>
          <w:sz w:val="20"/>
          <w:szCs w:val="20"/>
          <w:color w:val="auto"/>
        </w:rPr>
      </w:pPr>
      <w:r>
        <w:rPr>
          <w:rFonts w:ascii="Times New Roman" w:cs="Times New Roman" w:eastAsia="Times New Roman" w:hAnsi="Times New Roman"/>
          <w:sz w:val="18"/>
          <w:szCs w:val="18"/>
          <w:color w:val="auto"/>
        </w:rPr>
        <w:t>the award shall occur pursuant to this Section 6.3 in connection with a Change in Control if either (a) the Company is the surviving entity, or</w:t>
      </w:r>
    </w:p>
    <w:p>
      <w:pPr>
        <w:spacing w:after="0" w:line="1" w:lineRule="exact"/>
        <w:rPr>
          <w:sz w:val="20"/>
          <w:szCs w:val="20"/>
          <w:color w:val="auto"/>
        </w:rPr>
      </w:pPr>
    </w:p>
    <w:p>
      <w:pPr>
        <w:ind w:right="20" w:firstLine="8"/>
        <w:spacing w:after="0" w:line="213"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120" w:firstLine="405"/>
        <w:spacing w:after="0" w:line="229" w:lineRule="auto"/>
        <w:rPr>
          <w:sz w:val="20"/>
          <w:szCs w:val="20"/>
          <w:color w:val="auto"/>
        </w:rPr>
      </w:pPr>
      <w:r>
        <w:rPr>
          <w:rFonts w:ascii="Times New Roman" w:cs="Times New Roman" w:eastAsia="Times New Roman" w:hAnsi="Times New Roman"/>
          <w:sz w:val="17"/>
          <w:szCs w:val="17"/>
          <w:color w:val="auto"/>
        </w:rPr>
        <w:t>In the event the Grantee is entitled to a payment in accordance with the foregoing provisions of this Section 6.3, then the Grantee will be eligible for payment of a number of RPSRs (and related Dividend</w:t>
      </w: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Equivalents) determined in accordance with the following formula: (a) the Earnout Percentage determined in accordance with Section 1 but calculated based on performance for the portion of the three-year</w:t>
      </w:r>
    </w:p>
    <w:p>
      <w:pPr>
        <w:ind w:left="2"/>
        <w:spacing w:after="0" w:line="205" w:lineRule="auto"/>
        <w:rPr>
          <w:sz w:val="20"/>
          <w:szCs w:val="20"/>
          <w:color w:val="auto"/>
        </w:rPr>
      </w:pPr>
      <w:r>
        <w:rPr>
          <w:rFonts w:ascii="Times New Roman" w:cs="Times New Roman" w:eastAsia="Times New Roman" w:hAnsi="Times New Roman"/>
          <w:sz w:val="18"/>
          <w:szCs w:val="18"/>
          <w:color w:val="auto"/>
        </w:rPr>
        <w:t>Performance Period ending on the date of the Change in Control of the</w:t>
      </w:r>
    </w:p>
    <w:p>
      <w:pPr>
        <w:ind w:left="2"/>
        <w:spacing w:after="0" w:line="204" w:lineRule="auto"/>
        <w:rPr>
          <w:sz w:val="20"/>
          <w:szCs w:val="20"/>
          <w:color w:val="auto"/>
        </w:rPr>
      </w:pPr>
      <w:r>
        <w:rPr>
          <w:rFonts w:ascii="Times New Roman" w:cs="Times New Roman" w:eastAsia="Times New Roman" w:hAnsi="Times New Roman"/>
          <w:sz w:val="18"/>
          <w:szCs w:val="18"/>
          <w:color w:val="auto"/>
        </w:rPr>
        <w:t>Company, multiplied by (b) the target number of RPSRs subject to the</w:t>
      </w:r>
    </w:p>
    <w:p>
      <w:pPr>
        <w:ind w:left="2"/>
        <w:spacing w:after="0" w:line="219" w:lineRule="auto"/>
        <w:rPr>
          <w:sz w:val="20"/>
          <w:szCs w:val="20"/>
          <w:color w:val="auto"/>
        </w:rPr>
      </w:pPr>
      <w:r>
        <w:rPr>
          <w:rFonts w:ascii="Times New Roman" w:cs="Times New Roman" w:eastAsia="Times New Roman" w:hAnsi="Times New Roman"/>
          <w:sz w:val="18"/>
          <w:szCs w:val="18"/>
          <w:color w:val="auto"/>
        </w:rPr>
        <w:t>award. Payment of any amount due under this Section 6.3 will be made</w:t>
      </w: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within 60 days of the Change of Control, but in no event later than March 15 of the year following the Change in Control. In the event the Grantee is employed by the Company or a subsidiary immediately prior</w:t>
      </w:r>
    </w:p>
    <w:p>
      <w:pPr>
        <w:spacing w:after="0" w:line="2" w:lineRule="exact"/>
        <w:rPr>
          <w:sz w:val="20"/>
          <w:szCs w:val="20"/>
          <w:color w:val="auto"/>
        </w:rPr>
      </w:pPr>
    </w:p>
    <w:p>
      <w:pPr>
        <w:jc w:val="both"/>
        <w:ind w:left="2" w:right="120"/>
        <w:spacing w:after="0" w:line="208" w:lineRule="auto"/>
        <w:rPr>
          <w:sz w:val="20"/>
          <w:szCs w:val="20"/>
          <w:color w:val="auto"/>
        </w:rPr>
      </w:pPr>
      <w:r>
        <w:rPr>
          <w:rFonts w:ascii="Times New Roman" w:cs="Times New Roman" w:eastAsia="Times New Roman" w:hAnsi="Times New Roman"/>
          <w:sz w:val="18"/>
          <w:szCs w:val="18"/>
          <w:color w:val="auto"/>
        </w:rPr>
        <w:t>to the Change in Control and is entitled to payment in accordance with the foregoing provisions of this Section 6.3, then this Section 6.3 shall control as to the amount and timing of the payment of the award</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notwithstanding anything in Section 2.2 or 6.2 to the contrary. In the event of the Grantee’s Retirement pursuant to Section 2.2 prior to a Change in Control described in the first paragraph of this Section 6.3 in</w:t>
      </w:r>
    </w:p>
    <w:p>
      <w:pPr>
        <w:spacing w:after="0" w:line="2" w:lineRule="exact"/>
        <w:rPr>
          <w:sz w:val="20"/>
          <w:szCs w:val="20"/>
          <w:color w:val="auto"/>
        </w:rPr>
      </w:pPr>
    </w:p>
    <w:p>
      <w:pPr>
        <w:ind w:left="2" w:right="240"/>
        <w:spacing w:after="0" w:line="220" w:lineRule="auto"/>
        <w:rPr>
          <w:sz w:val="20"/>
          <w:szCs w:val="20"/>
          <w:color w:val="auto"/>
        </w:rPr>
      </w:pPr>
      <w:r>
        <w:rPr>
          <w:rFonts w:ascii="Times New Roman" w:cs="Times New Roman" w:eastAsia="Times New Roman" w:hAnsi="Times New Roman"/>
          <w:sz w:val="17"/>
          <w:szCs w:val="17"/>
          <w:color w:val="auto"/>
        </w:rPr>
        <w:t>which the award is to be terminated, the Earnout Percentage shall no longer be based on the portion of the Performance Period otherwise considered for purposes of Section 2.2 but shall instead be calculated</w:t>
      </w:r>
    </w:p>
    <w:p>
      <w:pPr>
        <w:spacing w:after="0" w:line="2" w:lineRule="exact"/>
        <w:rPr>
          <w:sz w:val="20"/>
          <w:szCs w:val="20"/>
          <w:color w:val="auto"/>
        </w:rPr>
      </w:pPr>
    </w:p>
    <w:p>
      <w:pPr>
        <w:jc w:val="both"/>
        <w:ind w:left="2" w:right="300"/>
        <w:spacing w:after="0" w:line="239" w:lineRule="auto"/>
        <w:rPr>
          <w:sz w:val="20"/>
          <w:szCs w:val="20"/>
          <w:color w:val="auto"/>
        </w:rPr>
      </w:pPr>
      <w:r>
        <w:rPr>
          <w:rFonts w:ascii="Times New Roman" w:cs="Times New Roman" w:eastAsia="Times New Roman" w:hAnsi="Times New Roman"/>
          <w:sz w:val="17"/>
          <w:szCs w:val="17"/>
          <w:color w:val="auto"/>
        </w:rPr>
        <w:t>based on performance for the portion of the three-year Performance Period ending on the date of the Change in Control of the Company.</w:t>
      </w:r>
    </w:p>
    <w:p>
      <w:pPr>
        <w:spacing w:after="0" w:line="127" w:lineRule="exact"/>
        <w:rPr>
          <w:sz w:val="20"/>
          <w:szCs w:val="20"/>
          <w:color w:val="auto"/>
        </w:rPr>
      </w:pPr>
    </w:p>
    <w:p>
      <w:pPr>
        <w:ind w:left="382" w:hanging="382"/>
        <w:spacing w:after="0"/>
        <w:tabs>
          <w:tab w:leader="none" w:pos="38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p>
    <w:p>
      <w:pPr>
        <w:spacing w:after="0" w:line="6" w:lineRule="exact"/>
        <w:rPr>
          <w:sz w:val="20"/>
          <w:szCs w:val="20"/>
          <w:color w:val="auto"/>
        </w:rPr>
      </w:pPr>
    </w:p>
    <w:p>
      <w:pPr>
        <w:ind w:left="2" w:right="80"/>
        <w:spacing w:after="0" w:line="208" w:lineRule="auto"/>
        <w:rPr>
          <w:sz w:val="20"/>
          <w:szCs w:val="20"/>
          <w:color w:val="auto"/>
        </w:rPr>
      </w:pP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RPSRs and related Dividend Equivalents, that the Grantee or other person</w:t>
      </w:r>
    </w:p>
    <w:p>
      <w:pPr>
        <w:spacing w:after="0" w:line="2" w:lineRule="exact"/>
        <w:rPr>
          <w:sz w:val="20"/>
          <w:szCs w:val="20"/>
          <w:color w:val="auto"/>
        </w:rPr>
      </w:pPr>
    </w:p>
    <w:p>
      <w:pPr>
        <w:ind w:left="2" w:right="240"/>
        <w:spacing w:after="0" w:line="208" w:lineRule="auto"/>
        <w:rPr>
          <w:sz w:val="20"/>
          <w:szCs w:val="20"/>
          <w:color w:val="auto"/>
        </w:rPr>
      </w:pPr>
      <w:r>
        <w:rPr>
          <w:rFonts w:ascii="Times New Roman" w:cs="Times New Roman" w:eastAsia="Times New Roman" w:hAnsi="Times New Roman"/>
          <w:sz w:val="18"/>
          <w:szCs w:val="18"/>
          <w:color w:val="auto"/>
        </w:rPr>
        <w:t>entitled to such shares or other payment pay the minimum sums required to be withheld by federal, state, local or other applicable tax law with respect to such vesting or payment. Alternatively, the</w:t>
      </w:r>
    </w:p>
    <w:p>
      <w:pPr>
        <w:spacing w:after="0" w:line="2" w:lineRule="exact"/>
        <w:rPr>
          <w:sz w:val="20"/>
          <w:szCs w:val="20"/>
          <w:color w:val="auto"/>
        </w:rPr>
      </w:pPr>
    </w:p>
    <w:p>
      <w:pPr>
        <w:jc w:val="both"/>
        <w:ind w:left="2" w:right="700"/>
        <w:spacing w:after="0" w:line="220" w:lineRule="auto"/>
        <w:rPr>
          <w:sz w:val="20"/>
          <w:szCs w:val="20"/>
          <w:color w:val="auto"/>
        </w:rPr>
      </w:pPr>
      <w:r>
        <w:rPr>
          <w:rFonts w:ascii="Times New Roman" w:cs="Times New Roman" w:eastAsia="Times New Roman" w:hAnsi="Times New Roman"/>
          <w:sz w:val="17"/>
          <w:szCs w:val="17"/>
          <w:color w:val="auto"/>
        </w:rPr>
        <w:t>Company or such subsidiary, in its discretion, may make such provisions for the withholding of taxes as it deems appropriate (including, without limitation, withholding the taxes due from</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compensation otherwise payable to the Grantee or reducing the number of shares otherwise deliverable with respect to the award (valued at their then Fair Market Value) by the amount necessary to satisfy such</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statutory minimum withholding obligations).</w:t>
      </w:r>
    </w:p>
    <w:p>
      <w:pPr>
        <w:spacing w:after="0" w:line="12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p>
    <w:p>
      <w:pPr>
        <w:spacing w:after="0" w:line="6" w:lineRule="exact"/>
        <w:rPr>
          <w:sz w:val="20"/>
          <w:szCs w:val="20"/>
          <w:color w:val="auto"/>
        </w:rPr>
      </w:pPr>
    </w:p>
    <w:p>
      <w:pPr>
        <w:ind w:left="2"/>
        <w:spacing w:after="0" w:line="226" w:lineRule="auto"/>
        <w:rPr>
          <w:sz w:val="20"/>
          <w:szCs w:val="20"/>
          <w:color w:val="auto"/>
        </w:rPr>
      </w:pP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RPSRs.</w:t>
      </w:r>
    </w:p>
    <w:p>
      <w:pPr>
        <w:spacing w:after="0" w:line="126" w:lineRule="exact"/>
        <w:rPr>
          <w:sz w:val="20"/>
          <w:szCs w:val="20"/>
          <w:color w:val="auto"/>
        </w:rPr>
      </w:pPr>
    </w:p>
    <w:p>
      <w:pPr>
        <w:jc w:val="both"/>
        <w:ind w:left="2" w:right="12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7.3</w:t>
      </w:r>
      <w:r>
        <w:rPr>
          <w:rFonts w:ascii="Times New Roman" w:cs="Times New Roman" w:eastAsia="Times New Roman" w:hAnsi="Times New Roman"/>
          <w:sz w:val="17"/>
          <w:szCs w:val="17"/>
          <w:b w:val="1"/>
          <w:bCs w:val="1"/>
          <w:i w:val="1"/>
          <w:iCs w:val="1"/>
          <w:color w:val="auto"/>
        </w:rPr>
        <w:t>Compliance</w:t>
      </w:r>
      <w:r>
        <w:rPr>
          <w:rFonts w:ascii="Times New Roman" w:cs="Times New Roman" w:eastAsia="Times New Roman" w:hAnsi="Times New Roman"/>
          <w:sz w:val="17"/>
          <w:szCs w:val="17"/>
          <w:color w:val="auto"/>
        </w:rPr>
        <w:t>. This Agreement is designed to be exempt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Code Section 409A, and the Committee shall administer and construe the award in such a way as to be exempt from and to avoid adverse tax</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consequences under Code Section 409A.</w:t>
      </w:r>
    </w:p>
    <w:p>
      <w:pPr>
        <w:spacing w:after="0" w:line="12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p>
    <w:p>
      <w:pPr>
        <w:spacing w:after="0" w:line="6" w:lineRule="exact"/>
        <w:rPr>
          <w:sz w:val="20"/>
          <w:szCs w:val="20"/>
          <w:color w:val="auto"/>
        </w:rPr>
      </w:pPr>
    </w:p>
    <w:p>
      <w:pPr>
        <w:ind w:left="2" w:right="200"/>
        <w:spacing w:after="0" w:line="218" w:lineRule="auto"/>
        <w:rPr>
          <w:sz w:val="20"/>
          <w:szCs w:val="20"/>
          <w:color w:val="auto"/>
        </w:rPr>
      </w:pP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w:t>
      </w:r>
    </w:p>
    <w:p>
      <w:pPr>
        <w:sectPr>
          <w:pgSz w:w="11900" w:h="16838" w:orient="portrait"/>
          <w:cols w:equalWidth="0" w:num="2">
            <w:col w:w="5200" w:space="718"/>
            <w:col w:w="5202"/>
          </w:cols>
          <w:pgMar w:left="320" w:top="1147" w:right="459" w:bottom="1440" w:gutter="0" w:footer="0" w:header="0"/>
        </w:sectPr>
      </w:pPr>
    </w:p>
    <w:bookmarkStart w:id="49" w:name="page50"/>
    <w:bookmarkEnd w:id="49"/>
    <w:p>
      <w:pPr>
        <w:spacing w:after="0" w:line="4"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any rights in or against any specific assets of the Company based on the award. Awards shall at all times be considered entirely unfunded for tax purposes.</w:t>
      </w:r>
    </w:p>
    <w:p>
      <w:pPr>
        <w:spacing w:after="0" w:line="127" w:lineRule="exact"/>
        <w:rPr>
          <w:sz w:val="20"/>
          <w:szCs w:val="20"/>
          <w:color w:val="auto"/>
        </w:rPr>
      </w:pPr>
    </w:p>
    <w:p>
      <w:pPr>
        <w:jc w:val="both"/>
        <w:ind w:right="4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7.5</w:t>
      </w:r>
      <w:r>
        <w:rPr>
          <w:rFonts w:ascii="Times New Roman" w:cs="Times New Roman" w:eastAsia="Times New Roman" w:hAnsi="Times New Roman"/>
          <w:sz w:val="17"/>
          <w:szCs w:val="17"/>
          <w:b w:val="1"/>
          <w:bCs w:val="1"/>
          <w:i w:val="1"/>
          <w:iCs w:val="1"/>
          <w:color w:val="auto"/>
        </w:rPr>
        <w:t>Code Section 280G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to the contrary, in the event that any amounts payable to</w:t>
      </w:r>
    </w:p>
    <w:p>
      <w:pPr>
        <w:spacing w:after="0" w:line="1" w:lineRule="exact"/>
        <w:rPr>
          <w:sz w:val="20"/>
          <w:szCs w:val="20"/>
          <w:color w:val="auto"/>
        </w:rPr>
      </w:pPr>
    </w:p>
    <w:p>
      <w:pPr>
        <w:jc w:val="both"/>
        <w:ind w:right="40"/>
        <w:spacing w:after="0" w:line="215" w:lineRule="auto"/>
        <w:rPr>
          <w:sz w:val="20"/>
          <w:szCs w:val="20"/>
          <w:color w:val="auto"/>
        </w:rPr>
      </w:pPr>
      <w:r>
        <w:rPr>
          <w:rFonts w:ascii="Times New Roman" w:cs="Times New Roman" w:eastAsia="Times New Roman" w:hAnsi="Times New Roman"/>
          <w:sz w:val="17"/>
          <w:szCs w:val="17"/>
          <w:color w:val="auto"/>
        </w:rPr>
        <w:t>you as a result of Section 6.2 or 6.3 hereof, either alone or together with amounts payable pursuant to any other plan, program or arrangement</w:t>
      </w:r>
    </w:p>
    <w:p>
      <w:pPr>
        <w:spacing w:after="0" w:line="1" w:lineRule="exact"/>
        <w:rPr>
          <w:sz w:val="20"/>
          <w:szCs w:val="20"/>
          <w:color w:val="auto"/>
        </w:rPr>
      </w:pPr>
    </w:p>
    <w:p>
      <w:pPr>
        <w:ind w:right="20" w:firstLine="8"/>
        <w:spacing w:after="0" w:line="210"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3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agreement shall be governed by the laws of the State of</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Delaware. Any cause of action or claim arising out of or related to the terms and conditions applicable to this grant will be determined through final and binding arbitration, in accordance with Northrop Grumman</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Manual USHR 2-32, provided that the prevailing party in the arbitration shall be entitled to receive from the losing party reasonably incurred attorneys’ fees and costs. You and the Company agree that any</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arbitration hearing and related proceedings shall be convened and conducted in Falls Church, VA. If you or the Company believes they require immediate relief to enforce or challenge this Agreement, before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arbitration is commenced or concluded, either party may seek injunctive or other provisional equitable relief from a state or federal court in the Commonwealth of Virginia. All court actions or proceedings arising</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under this Agreement shall be heard in a state or federal court in the Commonwealth of Virginia. The Company and you hereby agree to the jurisdiction of the state and federal courts in the Commonwealth of</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Virginia and waive any right to object to such actions on grounds of venue, jurisdiction or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The Committee has the discretionary authority to determine any</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questions as to the date when the Grantee’s employment terminated and the cause of such termination and to interpret any provision of this Agreement, the Grant Letter, the Stock Plan System, the Plan, and any</w:t>
      </w:r>
    </w:p>
    <w:p>
      <w:pPr>
        <w:spacing w:after="0" w:line="2" w:lineRule="exact"/>
        <w:rPr>
          <w:sz w:val="20"/>
          <w:szCs w:val="20"/>
          <w:color w:val="auto"/>
        </w:rPr>
      </w:pPr>
    </w:p>
    <w:p>
      <w:pPr>
        <w:ind w:left="2" w:right="160"/>
        <w:spacing w:after="0" w:line="220" w:lineRule="auto"/>
        <w:rPr>
          <w:sz w:val="20"/>
          <w:szCs w:val="20"/>
          <w:color w:val="auto"/>
        </w:rPr>
      </w:pPr>
      <w:r>
        <w:rPr>
          <w:rFonts w:ascii="Times New Roman" w:cs="Times New Roman" w:eastAsia="Times New Roman" w:hAnsi="Times New Roman"/>
          <w:sz w:val="17"/>
          <w:szCs w:val="17"/>
          <w:color w:val="auto"/>
        </w:rPr>
        <w:t>other applicable rules. Any action taken by, or inaction of, the Committee relating to or pursuant to this Agreement, the Grant Letter, the Stock Plan System, the Plan, or any other applicable rules shall be</w:t>
      </w:r>
    </w:p>
    <w:p>
      <w:pPr>
        <w:spacing w:after="0" w:line="2" w:lineRule="exact"/>
        <w:rPr>
          <w:sz w:val="20"/>
          <w:szCs w:val="20"/>
          <w:color w:val="auto"/>
        </w:rPr>
      </w:pPr>
    </w:p>
    <w:p>
      <w:pPr>
        <w:ind w:left="2" w:right="60"/>
        <w:spacing w:after="0" w:line="226" w:lineRule="auto"/>
        <w:rPr>
          <w:sz w:val="20"/>
          <w:szCs w:val="20"/>
          <w:color w:val="auto"/>
        </w:rPr>
      </w:pPr>
      <w:r>
        <w:rPr>
          <w:rFonts w:ascii="Times New Roman" w:cs="Times New Roman" w:eastAsia="Times New Roman" w:hAnsi="Times New Roman"/>
          <w:sz w:val="18"/>
          <w:szCs w:val="18"/>
          <w:color w:val="auto"/>
        </w:rPr>
        <w:t>within the absolute discretion of the Committee and shall be conclusive and binding on all persons.</w:t>
      </w:r>
    </w:p>
    <w:p>
      <w:pPr>
        <w:spacing w:after="0" w:line="126" w:lineRule="exact"/>
        <w:rPr>
          <w:sz w:val="20"/>
          <w:szCs w:val="20"/>
          <w:color w:val="auto"/>
        </w:rPr>
      </w:pPr>
    </w:p>
    <w:p>
      <w:pPr>
        <w:ind w:left="402" w:hanging="402"/>
        <w:spacing w:after="0"/>
        <w:tabs>
          <w:tab w:leader="none" w:pos="40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The RPSRs (and related Dividend Equivalents) subject to the</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award are governed by, and the Grantee’s rights are subject to, all of the terms and conditions of the Plan and any other rules adopted by the Committee, as the foregoing may be amended from time to time. The</w:t>
      </w:r>
    </w:p>
    <w:p>
      <w:pPr>
        <w:spacing w:after="0" w:line="2" w:lineRule="exact"/>
        <w:rPr>
          <w:sz w:val="20"/>
          <w:szCs w:val="20"/>
          <w:color w:val="auto"/>
        </w:rPr>
      </w:pPr>
    </w:p>
    <w:p>
      <w:pPr>
        <w:ind w:left="2" w:right="80"/>
        <w:spacing w:after="0" w:line="208" w:lineRule="auto"/>
        <w:rPr>
          <w:sz w:val="20"/>
          <w:szCs w:val="20"/>
          <w:color w:val="auto"/>
        </w:rPr>
      </w:pPr>
      <w:r>
        <w:rPr>
          <w:rFonts w:ascii="Times New Roman" w:cs="Times New Roman" w:eastAsia="Times New Roman" w:hAnsi="Times New Roman"/>
          <w:sz w:val="18"/>
          <w:szCs w:val="18"/>
          <w:color w:val="auto"/>
        </w:rPr>
        <w:t>Grantee shall have no rights with respect to any amendment of this Agreement or the Plan unless such amendment is in writing and signed by a duly authorized officer of the Company. In the event of a conflict</w:t>
      </w:r>
    </w:p>
    <w:p>
      <w:pPr>
        <w:spacing w:after="0" w:line="2" w:lineRule="exact"/>
        <w:rPr>
          <w:sz w:val="20"/>
          <w:szCs w:val="20"/>
          <w:color w:val="auto"/>
        </w:rPr>
      </w:pPr>
    </w:p>
    <w:p>
      <w:pPr>
        <w:jc w:val="both"/>
        <w:ind w:left="2" w:right="520"/>
        <w:spacing w:after="0" w:line="220" w:lineRule="auto"/>
        <w:rPr>
          <w:sz w:val="20"/>
          <w:szCs w:val="20"/>
          <w:color w:val="auto"/>
        </w:rPr>
      </w:pPr>
      <w:r>
        <w:rPr>
          <w:rFonts w:ascii="Times New Roman" w:cs="Times New Roman" w:eastAsia="Times New Roman" w:hAnsi="Times New Roman"/>
          <w:sz w:val="17"/>
          <w:szCs w:val="17"/>
          <w:color w:val="auto"/>
        </w:rPr>
        <w:t>between the provisions of the Grant Letter and/or the Stock Plan System and the provisions of this Agreement and/or the Plan, the provisions of this Agreement and/or the Plan, as applicable, shall</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control.</w:t>
      </w:r>
    </w:p>
    <w:p>
      <w:pPr>
        <w:spacing w:after="0" w:line="120" w:lineRule="exact"/>
        <w:rPr>
          <w:sz w:val="20"/>
          <w:szCs w:val="20"/>
          <w:color w:val="auto"/>
        </w:rPr>
      </w:pPr>
    </w:p>
    <w:p>
      <w:pPr>
        <w:ind w:left="382" w:hanging="382"/>
        <w:spacing w:after="0"/>
        <w:tabs>
          <w:tab w:leader="none" w:pos="38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2" w:right="180" w:firstLine="180"/>
        <w:spacing w:after="0" w:line="236" w:lineRule="auto"/>
        <w:rPr>
          <w:sz w:val="20"/>
          <w:szCs w:val="20"/>
          <w:color w:val="auto"/>
        </w:rPr>
      </w:pPr>
      <w:r>
        <w:rPr>
          <w:rFonts w:ascii="Times New Roman" w:cs="Times New Roman" w:eastAsia="Times New Roman" w:hAnsi="Times New Roman"/>
          <w:sz w:val="17"/>
          <w:szCs w:val="17"/>
          <w:color w:val="auto"/>
        </w:rPr>
        <w:t>The holding requirements of this Section 11 shall apply to any Grantee who is an elected or appointed officer of the Company on the</w:t>
      </w: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date any RPSRs are paid (or, if earlier, on the date the Grantee’s employment by the Company and its subsidiaries terminates for any reason). Any Grantee subject to this Section 11 shall not be permitted to</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sell, transfer, anticipate, alienate, assign, pledge, encumber or charge the number of shares equal to 50% of the total payout of Vested RPSRs (net of taxes withheld) until the earlier of (A) the third anniversary of</w:t>
      </w:r>
    </w:p>
    <w:p>
      <w:pPr>
        <w:spacing w:after="0" w:line="2"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the date such shares of Common Stock are paid to the Grantee, (B) the date the Grantee’s employment by the Company and its subsidiaries terminates due to the Grantee’s death or Disability, (C) the occurrence</w:t>
      </w:r>
    </w:p>
    <w:p>
      <w:pPr>
        <w:spacing w:after="0" w:line="2" w:lineRule="exact"/>
        <w:rPr>
          <w:sz w:val="20"/>
          <w:szCs w:val="20"/>
          <w:color w:val="auto"/>
        </w:rPr>
      </w:pPr>
    </w:p>
    <w:p>
      <w:pPr>
        <w:jc w:val="both"/>
        <w:ind w:left="2" w:right="160"/>
        <w:spacing w:after="0" w:line="208" w:lineRule="auto"/>
        <w:rPr>
          <w:sz w:val="20"/>
          <w:szCs w:val="20"/>
          <w:color w:val="auto"/>
        </w:rPr>
      </w:pPr>
      <w:r>
        <w:rPr>
          <w:rFonts w:ascii="Times New Roman" w:cs="Times New Roman" w:eastAsia="Times New Roman" w:hAnsi="Times New Roman"/>
          <w:sz w:val="18"/>
          <w:szCs w:val="18"/>
          <w:color w:val="auto"/>
        </w:rPr>
        <w:t>of a Change in Control that results in termination and payment under Section 6.2 or 6.3 above, or (D) with respected to Grantee’s entering a U.S. federal government position only, the latest of (i) the date the</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Grantee’s employment with the Company terminates, or (ii) the date the Grantee formally accepts the government position in writing, or (iii) the date the government confirms the Grantee (for positions requiring</w:t>
      </w:r>
    </w:p>
    <w:p>
      <w:pPr>
        <w:spacing w:after="0" w:line="2"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nomination and confirmation). Should the Grantee’s employment by the Company and its subsidiaries terminate (regardless of the reason for such termination, but other than due to the Grantee’s death or Disability</w:t>
      </w:r>
    </w:p>
    <w:p>
      <w:pPr>
        <w:spacing w:after="0" w:line="2"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or a Change in Control related termination under Section 6.2 or entering a U.S. federal government position), such holding period requirement shall not apply as to any shares acquired upon payment of RPSRs to the</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extent such payment is made more than one year after such termination of employment. (For purposes of clarity, in such circumstances the holding period requirement will apply as to any shares acquired upon</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payment of RPSRs within</w:t>
      </w:r>
    </w:p>
    <w:p>
      <w:pPr>
        <w:sectPr>
          <w:pgSz w:w="11900" w:h="16838" w:orient="portrait"/>
          <w:cols w:equalWidth="0" w:num="2">
            <w:col w:w="5220" w:space="698"/>
            <w:col w:w="5202"/>
          </w:cols>
          <w:pgMar w:left="320" w:top="1143" w:right="459" w:bottom="1440" w:gutter="0" w:footer="0" w:header="0"/>
        </w:sectPr>
      </w:pPr>
    </w:p>
    <w:bookmarkStart w:id="50" w:name="page51"/>
    <w:bookmarkEnd w:id="50"/>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year after such a termination of employment.) For purposes of this</w:t>
      </w:r>
    </w:p>
    <w:p>
      <w:pPr>
        <w:spacing w:after="0" w:line="1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Section 11, the total payout of Vested RPSRs shall be determined on a net basis after taking into account any shares otherwise deliverable with respect to the award that the Company withholds to satisfy tax</w:t>
      </w:r>
    </w:p>
    <w:p>
      <w:pPr>
        <w:spacing w:after="0" w:line="2"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obligations pursuant to Section 7.1. If Grantee is paid less than 50% of the total payout of Vested RPSRs (net of taxes) in shares, then all of the shares received will be subject to the holding period requirements in</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this Section 11. Any shares of Common Stock received in respect of shares that are covered by the holding period requirements of this Section 11 (such as shares received in respect of a stock split or stock</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dividend) shall be subject to the same holding period requirements as the shares to which they relate.</w:t>
      </w:r>
    </w:p>
    <w:p>
      <w:pPr>
        <w:spacing w:after="0" w:line="126"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Whenever used in this Agreement, the following terms shall have</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the meanings set forth below and, when the meaning is intended, the initial letter of the word is capitalized:</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62" w:lineRule="exact"/>
        <w:rPr>
          <w:sz w:val="20"/>
          <w:szCs w:val="20"/>
          <w:color w:val="auto"/>
        </w:rPr>
      </w:pPr>
    </w:p>
    <w:p>
      <w:pPr>
        <w:ind w:left="580" w:right="120" w:hanging="329"/>
        <w:spacing w:after="0" w:line="220" w:lineRule="auto"/>
        <w:tabs>
          <w:tab w:leader="none" w:pos="6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31" w:lineRule="exact"/>
        <w:rPr>
          <w:rFonts w:ascii="Times New Roman" w:cs="Times New Roman" w:eastAsia="Times New Roman" w:hAnsi="Times New Roman"/>
          <w:sz w:val="18"/>
          <w:szCs w:val="18"/>
          <w:color w:val="auto"/>
        </w:rPr>
      </w:pPr>
    </w:p>
    <w:p>
      <w:pPr>
        <w:ind w:left="580" w:right="40" w:hanging="329"/>
        <w:spacing w:after="0" w:line="220"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10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28"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Committee or any successor committee appointed by the Board to administer the Plan.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58" w:lineRule="exact"/>
        <w:rPr>
          <w:sz w:val="20"/>
          <w:szCs w:val="20"/>
          <w:color w:val="auto"/>
        </w:rPr>
      </w:pPr>
    </w:p>
    <w:p>
      <w:pPr>
        <w:ind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with respect to a Grantee, that the Grantee: (i) is unable to engage in any substantial gainful activity by reason of any medically determinable physical or mental impairment which can be</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expected to result in death or can be expected to last for a continuous period of not less than twelve months; or (ii) is, by reason of any medically determinable physical or mental impairment which can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result in death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jc w:val="both"/>
        <w:ind w:right="140"/>
        <w:spacing w:after="0" w:line="216" w:lineRule="auto"/>
        <w:rPr>
          <w:sz w:val="20"/>
          <w:szCs w:val="20"/>
          <w:color w:val="auto"/>
        </w:rPr>
      </w:pPr>
      <w:r>
        <w:rPr>
          <w:rFonts w:ascii="Times New Roman" w:cs="Times New Roman" w:eastAsia="Times New Roman" w:hAnsi="Times New Roman"/>
          <w:sz w:val="18"/>
          <w:szCs w:val="18"/>
          <w:color w:val="auto"/>
        </w:rPr>
        <w:t>can be expected to last for a continuous period of not less than twelve months, receiving income replacement benefits for a period of not less than three months under an accident and health plan covering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the Grantee’s employer.</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w:t>
      </w:r>
    </w:p>
    <w:p>
      <w:pPr>
        <w:spacing w:after="0" w:line="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terminates in any of the following circumstances, and other than a termination of employment that constitutes a Normal Retirement or occurs in connection with a termination by the Company or a subsidiary</w:t>
      </w:r>
    </w:p>
    <w:p>
      <w:pPr>
        <w:spacing w:after="0" w:line="205" w:lineRule="auto"/>
        <w:rPr>
          <w:sz w:val="20"/>
          <w:szCs w:val="20"/>
          <w:color w:val="auto"/>
        </w:rPr>
      </w:pPr>
      <w:r>
        <w:rPr>
          <w:rFonts w:ascii="Times New Roman" w:cs="Times New Roman" w:eastAsia="Times New Roman" w:hAnsi="Times New Roman"/>
          <w:sz w:val="18"/>
          <w:szCs w:val="18"/>
          <w:color w:val="auto"/>
        </w:rPr>
        <w:t>for Cause:</w:t>
      </w:r>
    </w:p>
    <w:p>
      <w:pPr>
        <w:spacing w:after="0" w:line="1" w:lineRule="exact"/>
        <w:rPr>
          <w:sz w:val="20"/>
          <w:szCs w:val="20"/>
          <w:color w:val="auto"/>
        </w:rPr>
      </w:pPr>
    </w:p>
    <w:p>
      <w:pPr>
        <w:ind w:right="80" w:firstLine="178"/>
        <w:spacing w:after="0" w:line="211" w:lineRule="auto"/>
        <w:tabs>
          <w:tab w:leader="none" w:pos="5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ind w:firstLine="178"/>
        <w:spacing w:after="0" w:line="208" w:lineRule="auto"/>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Times New Roman" w:cs="Times New Roman" w:eastAsia="Times New Roman" w:hAnsi="Times New Roman"/>
          <w:sz w:val="18"/>
          <w:szCs w:val="18"/>
          <w:color w:val="auto"/>
        </w:rPr>
      </w:pPr>
    </w:p>
    <w:p>
      <w:pPr>
        <w:ind w:right="40" w:firstLine="403"/>
        <w:spacing w:after="0" w:line="218" w:lineRule="auto"/>
        <w:tabs>
          <w:tab w:leader="none" w:pos="8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w:t>
      </w:r>
    </w:p>
    <w:p>
      <w:pPr>
        <w:spacing w:after="0" w:line="6"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however, the Committee in determining such Fair Market Value for purposes of the award may utilize such other exchange, market, or listing as it deems appropriate.</w:t>
      </w:r>
    </w:p>
    <w:p>
      <w:pPr>
        <w:spacing w:after="0" w:line="127" w:lineRule="exact"/>
        <w:rPr>
          <w:sz w:val="20"/>
          <w:szCs w:val="20"/>
          <w:color w:val="auto"/>
        </w:rPr>
      </w:pPr>
    </w:p>
    <w:p>
      <w:pPr>
        <w:ind w:right="320"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7" w:lineRule="exact"/>
        <w:rPr>
          <w:sz w:val="20"/>
          <w:szCs w:val="20"/>
          <w:color w:val="auto"/>
        </w:rPr>
      </w:pPr>
    </w:p>
    <w:p>
      <w:pPr>
        <w:ind w:left="560" w:right="140" w:hanging="319"/>
        <w:spacing w:after="0" w:line="212" w:lineRule="auto"/>
        <w:tabs>
          <w:tab w:leader="none" w:pos="5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60" w:right="20" w:hanging="143"/>
        <w:spacing w:after="0" w:line="229"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 that the loss of the title of “vice president” will not, in and of</w:t>
      </w:r>
    </w:p>
    <w:p>
      <w:pPr>
        <w:ind w:left="560" w:right="300"/>
        <w:spacing w:after="0" w:line="226" w:lineRule="auto"/>
        <w:rPr>
          <w:sz w:val="20"/>
          <w:szCs w:val="20"/>
          <w:color w:val="auto"/>
        </w:rPr>
      </w:pPr>
      <w:r>
        <w:rPr>
          <w:rFonts w:ascii="Times New Roman" w:cs="Times New Roman" w:eastAsia="Times New Roman" w:hAnsi="Times New Roman"/>
          <w:sz w:val="18"/>
          <w:szCs w:val="18"/>
          <w:color w:val="auto"/>
        </w:rPr>
        <w:t>itself, constitute Good Reason if the Grantee’s lack of a vice president title is generally</w:t>
      </w:r>
    </w:p>
    <w:p>
      <w:pPr>
        <w:sectPr>
          <w:pgSz w:w="11900" w:h="16838" w:orient="portrait"/>
          <w:cols w:equalWidth="0" w:num="2">
            <w:col w:w="5200" w:space="720"/>
            <w:col w:w="5200"/>
          </w:cols>
          <w:pgMar w:left="320" w:top="1147" w:right="459" w:bottom="1440" w:gutter="0" w:footer="0" w:header="0"/>
        </w:sectPr>
      </w:pPr>
    </w:p>
    <w:bookmarkStart w:id="51" w:name="page52"/>
    <w:bookmarkEnd w:id="51"/>
    <w:p>
      <w:pPr>
        <w:jc w:val="both"/>
        <w:ind w:left="580" w:right="40"/>
        <w:spacing w:after="0" w:line="216" w:lineRule="auto"/>
        <w:rPr>
          <w:sz w:val="20"/>
          <w:szCs w:val="20"/>
          <w:color w:val="auto"/>
        </w:rPr>
      </w:pPr>
      <w:r>
        <w:rPr>
          <w:rFonts w:ascii="Times New Roman" w:cs="Times New Roman" w:eastAsia="Times New Roman" w:hAnsi="Times New Roman"/>
          <w:sz w:val="18"/>
          <w:szCs w:val="18"/>
          <w:color w:val="auto"/>
        </w:rPr>
        <w:t>consistent with the manner in which the title of vice president is used within the Grantee’s business unit or if the loss of the title is the result of a promotion to a higher level office. For the</w:t>
      </w:r>
    </w:p>
    <w:p>
      <w:pPr>
        <w:spacing w:after="0" w:line="1" w:lineRule="exact"/>
        <w:rPr>
          <w:sz w:val="20"/>
          <w:szCs w:val="20"/>
          <w:color w:val="auto"/>
        </w:rPr>
      </w:pPr>
    </w:p>
    <w:p>
      <w:pPr>
        <w:jc w:val="both"/>
        <w:ind w:left="580" w:right="20"/>
        <w:spacing w:after="0" w:line="220" w:lineRule="auto"/>
        <w:rPr>
          <w:sz w:val="20"/>
          <w:szCs w:val="20"/>
          <w:color w:val="auto"/>
        </w:rPr>
      </w:pPr>
      <w:r>
        <w:rPr>
          <w:rFonts w:ascii="Times New Roman" w:cs="Times New Roman" w:eastAsia="Times New Roman" w:hAnsi="Times New Roman"/>
          <w:sz w:val="17"/>
          <w:szCs w:val="17"/>
          <w:color w:val="auto"/>
        </w:rPr>
        <w:t>purposes of the preceding sentence, the Grantee’s lack of a vice-president title will only be considered generally consistent with the manner in which such title is used if most persons in the</w:t>
      </w:r>
    </w:p>
    <w:p>
      <w:pPr>
        <w:spacing w:after="0" w:line="2" w:lineRule="exact"/>
        <w:rPr>
          <w:sz w:val="20"/>
          <w:szCs w:val="20"/>
          <w:color w:val="auto"/>
        </w:rPr>
      </w:pPr>
    </w:p>
    <w:p>
      <w:pPr>
        <w:ind w:left="580" w:right="140"/>
        <w:spacing w:after="0" w:line="220" w:lineRule="auto"/>
        <w:rPr>
          <w:sz w:val="20"/>
          <w:szCs w:val="20"/>
          <w:color w:val="auto"/>
        </w:rPr>
      </w:pPr>
      <w:r>
        <w:rPr>
          <w:rFonts w:ascii="Times New Roman" w:cs="Times New Roman" w:eastAsia="Times New Roman" w:hAnsi="Times New Roman"/>
          <w:sz w:val="17"/>
          <w:szCs w:val="17"/>
          <w:color w:val="auto"/>
        </w:rPr>
        <w:t>business unit with authorities, duties, and responsibilities comparable to those of the Grantee immediately prior to the commencement of the Protected Period do not have the title of</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vice-president.</w:t>
      </w:r>
    </w:p>
    <w:p>
      <w:pPr>
        <w:spacing w:after="0" w:line="124" w:lineRule="exact"/>
        <w:rPr>
          <w:sz w:val="20"/>
          <w:szCs w:val="20"/>
          <w:color w:val="auto"/>
        </w:rPr>
      </w:pPr>
    </w:p>
    <w:p>
      <w:pPr>
        <w:ind w:left="580" w:right="40" w:hanging="329"/>
        <w:spacing w:after="0" w:line="237" w:lineRule="auto"/>
        <w:tabs>
          <w:tab w:leader="none" w:pos="64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2" w:lineRule="exact"/>
        <w:rPr>
          <w:rFonts w:ascii="Times New Roman" w:cs="Times New Roman" w:eastAsia="Times New Roman" w:hAnsi="Times New Roman"/>
          <w:sz w:val="17"/>
          <w:szCs w:val="17"/>
          <w:color w:val="auto"/>
        </w:rPr>
      </w:pPr>
    </w:p>
    <w:p>
      <w:pPr>
        <w:ind w:left="580" w:right="40" w:hanging="329"/>
        <w:spacing w:after="0" w:line="214" w:lineRule="auto"/>
        <w:tabs>
          <w:tab w:leader="none" w:pos="6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20" w:lineRule="exact"/>
        <w:rPr>
          <w:rFonts w:ascii="Times New Roman" w:cs="Times New Roman" w:eastAsia="Times New Roman" w:hAnsi="Times New Roman"/>
          <w:sz w:val="18"/>
          <w:szCs w:val="18"/>
          <w:color w:val="auto"/>
        </w:rPr>
      </w:pPr>
    </w:p>
    <w:p>
      <w:pPr>
        <w:ind w:left="580" w:hanging="329"/>
        <w:spacing w:after="0" w:line="215" w:lineRule="auto"/>
        <w:tabs>
          <w:tab w:leader="none" w:pos="68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0" w:lineRule="exact"/>
        <w:rPr>
          <w:rFonts w:ascii="Times New Roman" w:cs="Times New Roman" w:eastAsia="Times New Roman" w:hAnsi="Times New Roman"/>
          <w:sz w:val="18"/>
          <w:szCs w:val="18"/>
          <w:color w:val="auto"/>
        </w:rPr>
      </w:pPr>
    </w:p>
    <w:p>
      <w:pPr>
        <w:ind w:left="580" w:right="120" w:hanging="329"/>
        <w:spacing w:after="0" w:line="216" w:lineRule="auto"/>
        <w:tabs>
          <w:tab w:leader="none" w:pos="6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19" w:lineRule="exact"/>
        <w:rPr>
          <w:sz w:val="20"/>
          <w:szCs w:val="20"/>
          <w:color w:val="auto"/>
        </w:rPr>
      </w:pPr>
    </w:p>
    <w:p>
      <w:pPr>
        <w:ind w:right="280" w:firstLine="405"/>
        <w:spacing w:after="0" w:line="250"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right="80"/>
        <w:spacing w:after="0" w:line="226" w:lineRule="auto"/>
        <w:rPr>
          <w:sz w:val="20"/>
          <w:szCs w:val="20"/>
          <w:color w:val="auto"/>
        </w:rPr>
      </w:pPr>
      <w:r>
        <w:rPr>
          <w:rFonts w:ascii="Times New Roman" w:cs="Times New Roman" w:eastAsia="Times New Roman" w:hAnsi="Times New Roman"/>
          <w:sz w:val="18"/>
          <w:szCs w:val="18"/>
          <w:color w:val="auto"/>
        </w:rPr>
        <w:t>incapacity due to physical or mental illness. The Grantee’s continued employment shall not constitute a consent to, or a waiver of rights with respect to, any circumstances constituting Good Reason herein.</w:t>
      </w:r>
    </w:p>
    <w:p>
      <w:pPr>
        <w:spacing w:after="0" w:line="127" w:lineRule="exact"/>
        <w:rPr>
          <w:sz w:val="20"/>
          <w:szCs w:val="20"/>
          <w:color w:val="auto"/>
        </w:rPr>
      </w:pPr>
    </w:p>
    <w:p>
      <w:pPr>
        <w:ind w:right="40" w:firstLine="405"/>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 Retirement by the Grantee where the Grantee accepts a position in the federal government</w:t>
      </w:r>
    </w:p>
    <w:p>
      <w:pPr>
        <w:spacing w:after="0" w:line="218" w:lineRule="auto"/>
        <w:rPr>
          <w:sz w:val="20"/>
          <w:szCs w:val="20"/>
          <w:color w:val="auto"/>
        </w:rPr>
      </w:pPr>
      <w:r>
        <w:rPr>
          <w:rFonts w:ascii="Times New Roman" w:cs="Times New Roman" w:eastAsia="Times New Roman" w:hAnsi="Times New Roman"/>
          <w:sz w:val="18"/>
          <w:szCs w:val="18"/>
          <w:color w:val="auto"/>
        </w:rPr>
        <w:t>or a state or local government and an accelerated distribution under the award is permitted under Code Section 409A based on such government employment and related ethics rules.</w:t>
      </w:r>
    </w:p>
    <w:p>
      <w:pPr>
        <w:spacing w:after="0" w:line="127" w:lineRule="exact"/>
        <w:rPr>
          <w:sz w:val="20"/>
          <w:szCs w:val="20"/>
          <w:color w:val="auto"/>
        </w:rPr>
      </w:pPr>
    </w:p>
    <w:p>
      <w:pPr>
        <w:ind w:right="42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“Normal Retirement</w:t>
      </w:r>
      <w:r>
        <w:rPr>
          <w:rFonts w:ascii="Times New Roman" w:cs="Times New Roman" w:eastAsia="Times New Roman" w:hAnsi="Times New Roman"/>
          <w:sz w:val="17"/>
          <w:szCs w:val="17"/>
          <w:color w:val="auto"/>
        </w:rPr>
        <w:t>” means that the Grantee terminates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after attaining age 65 with at least 10 years of service</w:t>
      </w:r>
    </w:p>
    <w:p>
      <w:pPr>
        <w:spacing w:after="0" w:line="1"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(other than in connection with a termination by the Company or a subsidiary for Cause). In the case of a Grantee who is an officer of the Company subject to the Company’s mandatory retirement at age 65</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policy and who, at the applicable time, is not otherwise eligible for Normal Retirement as defined in the preceding sentence, “Normal Retirement” as to that Grantee means that the Grantee’s employment is</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terminated pursuant to such mandatory retirement policy (regardless of the Grantee’s years of service and other than in connection with a termination by the Company or a subsidiary for Cause).</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28" w:lineRule="exact"/>
        <w:rPr>
          <w:sz w:val="20"/>
          <w:szCs w:val="20"/>
          <w:color w:val="auto"/>
        </w:rPr>
      </w:pPr>
    </w:p>
    <w:p>
      <w:pPr>
        <w:ind w:right="60" w:firstLine="405"/>
        <w:spacing w:after="0" w:line="22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2" w:lineRule="exact"/>
        <w:rPr>
          <w:sz w:val="20"/>
          <w:szCs w:val="20"/>
          <w:color w:val="auto"/>
        </w:rPr>
      </w:pPr>
    </w:p>
    <w:p>
      <w:pPr>
        <w:ind w:left="560" w:hanging="319"/>
        <w:spacing w:after="0" w:line="215" w:lineRule="auto"/>
        <w:tabs>
          <w:tab w:leader="none" w:pos="5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36" w:lineRule="exact"/>
        <w:rPr>
          <w:rFonts w:ascii="Times New Roman" w:cs="Times New Roman" w:eastAsia="Times New Roman" w:hAnsi="Times New Roman"/>
          <w:sz w:val="18"/>
          <w:szCs w:val="18"/>
          <w:color w:val="auto"/>
        </w:rPr>
      </w:pPr>
    </w:p>
    <w:p>
      <w:pPr>
        <w:ind w:left="560" w:hanging="319"/>
        <w:spacing w:after="0" w:line="216" w:lineRule="auto"/>
        <w:tabs>
          <w:tab w:leader="none" w:pos="6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18" w:lineRule="exact"/>
        <w:rPr>
          <w:rFonts w:ascii="Times New Roman" w:cs="Times New Roman" w:eastAsia="Times New Roman" w:hAnsi="Times New Roman"/>
          <w:sz w:val="18"/>
          <w:szCs w:val="18"/>
          <w:color w:val="auto"/>
        </w:rPr>
      </w:pPr>
    </w:p>
    <w:p>
      <w:pPr>
        <w:ind w:left="700" w:hanging="459"/>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 w:lineRule="exact"/>
        <w:rPr>
          <w:rFonts w:ascii="Times New Roman" w:cs="Times New Roman" w:eastAsia="Times New Roman" w:hAnsi="Times New Roman"/>
          <w:sz w:val="18"/>
          <w:szCs w:val="18"/>
          <w:color w:val="auto"/>
        </w:rPr>
      </w:pPr>
    </w:p>
    <w:p>
      <w:pPr>
        <w:jc w:val="both"/>
        <w:ind w:left="560" w:right="240" w:firstLine="5"/>
        <w:spacing w:after="0" w:line="218" w:lineRule="auto"/>
        <w:tabs>
          <w:tab w:leader="none" w:pos="77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include the date of the Change in Control.</w:t>
      </w:r>
    </w:p>
    <w:p>
      <w:pPr>
        <w:sectPr>
          <w:pgSz w:w="11900" w:h="16838" w:orient="portrait"/>
          <w:cols w:equalWidth="0" w:num="2">
            <w:col w:w="5220" w:space="700"/>
            <w:col w:w="5200"/>
          </w:cols>
          <w:pgMar w:left="320" w:top="1147" w:right="45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w:t>
      </w:r>
      <w:r>
        <w:rPr>
          <w:rFonts w:ascii="Times New Roman" w:cs="Times New Roman" w:eastAsia="Times New Roman" w:hAnsi="Times New Roman"/>
          <w:sz w:val="17"/>
          <w:szCs w:val="17"/>
          <w:color w:val="auto"/>
        </w:rPr>
        <w:t>” means the person acquiring a Grantee’s rights to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114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GROUP PERSONAL EXCESS LIABILITY POLICY</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20" w:right="360" w:hanging="3"/>
        <w:spacing w:after="0" w:line="237" w:lineRule="auto"/>
        <w:rPr>
          <w:sz w:val="20"/>
          <w:szCs w:val="20"/>
          <w:color w:val="auto"/>
        </w:rPr>
      </w:pPr>
      <w:r>
        <w:rPr>
          <w:rFonts w:ascii="Times New Roman" w:cs="Times New Roman" w:eastAsia="Times New Roman" w:hAnsi="Times New Roman"/>
          <w:sz w:val="18"/>
          <w:szCs w:val="18"/>
          <w:color w:val="auto"/>
        </w:rPr>
        <w:t>This is your Chubb Group Personal Excess Liability Policy. Together with your Coverage Summary, it explains your coverages and other conditions of your insurance in detail.</w:t>
      </w:r>
    </w:p>
    <w:p>
      <w:pPr>
        <w:spacing w:after="0" w:line="172" w:lineRule="exact"/>
        <w:rPr>
          <w:sz w:val="20"/>
          <w:szCs w:val="20"/>
          <w:color w:val="auto"/>
        </w:rPr>
      </w:pPr>
    </w:p>
    <w:p>
      <w:pPr>
        <w:ind w:left="20" w:right="1760"/>
        <w:spacing w:after="0" w:line="453" w:lineRule="auto"/>
        <w:rPr>
          <w:sz w:val="20"/>
          <w:szCs w:val="20"/>
          <w:color w:val="auto"/>
        </w:rPr>
      </w:pPr>
      <w:r>
        <w:rPr>
          <w:rFonts w:ascii="Times New Roman" w:cs="Times New Roman" w:eastAsia="Times New Roman" w:hAnsi="Times New Roman"/>
          <w:sz w:val="18"/>
          <w:szCs w:val="18"/>
          <w:color w:val="auto"/>
        </w:rPr>
        <w:t xml:space="preserve">This policy is a contract between you and us. READ YOUR POLICY CAREFULLY and keep it in a safe place. </w:t>
      </w:r>
      <w:r>
        <w:rPr>
          <w:rFonts w:ascii="Times New Roman" w:cs="Times New Roman" w:eastAsia="Times New Roman" w:hAnsi="Times New Roman"/>
          <w:sz w:val="18"/>
          <w:szCs w:val="18"/>
          <w:b w:val="1"/>
          <w:bCs w:val="1"/>
          <w:i w:val="1"/>
          <w:iCs w:val="1"/>
          <w:color w:val="auto"/>
        </w:rPr>
        <w:t>Agreement</w:t>
      </w:r>
    </w:p>
    <w:p>
      <w:pPr>
        <w:spacing w:after="0" w:line="2" w:lineRule="exact"/>
        <w:rPr>
          <w:sz w:val="20"/>
          <w:szCs w:val="20"/>
          <w:color w:val="auto"/>
        </w:rPr>
      </w:pPr>
    </w:p>
    <w:p>
      <w:pPr>
        <w:ind w:left="20" w:right="280" w:hanging="9"/>
        <w:spacing w:after="0" w:line="250" w:lineRule="auto"/>
        <w:rPr>
          <w:sz w:val="20"/>
          <w:szCs w:val="20"/>
          <w:color w:val="auto"/>
        </w:rPr>
      </w:pPr>
      <w:r>
        <w:rPr>
          <w:rFonts w:ascii="Times New Roman" w:cs="Times New Roman" w:eastAsia="Times New Roman" w:hAnsi="Times New Roman"/>
          <w:sz w:val="18"/>
          <w:szCs w:val="18"/>
          <w:color w:val="auto"/>
        </w:rPr>
        <w:t>We agree to provide the insurance described in this policy in return for the premium paid by you or the Sponsoring Organization and your compliance with the policy conditions.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189" w:lineRule="exact"/>
        <w:rPr>
          <w:sz w:val="20"/>
          <w:szCs w:val="20"/>
          <w:color w:val="auto"/>
        </w:rPr>
      </w:pPr>
    </w:p>
    <w:p>
      <w:pPr>
        <w:ind w:left="20" w:right="340" w:hanging="5"/>
        <w:spacing w:after="0" w:line="237" w:lineRule="auto"/>
        <w:rPr>
          <w:sz w:val="20"/>
          <w:szCs w:val="20"/>
          <w:color w:val="auto"/>
        </w:rPr>
      </w:pPr>
      <w:r>
        <w:rPr>
          <w:rFonts w:ascii="Times New Roman" w:cs="Times New Roman" w:eastAsia="Times New Roman" w:hAnsi="Times New Roman"/>
          <w:sz w:val="18"/>
          <w:szCs w:val="18"/>
          <w:color w:val="auto"/>
        </w:rPr>
        <w:t>In this policy, we use words in their plain English meaning. Words with special meanings are defined in the part of the policy where they are used. The few defined terms used throughout the policy are defined here: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You </w:t>
      </w:r>
      <w:r>
        <w:rPr>
          <w:rFonts w:ascii="Times New Roman" w:cs="Times New Roman" w:eastAsia="Times New Roman" w:hAnsi="Times New Roman"/>
          <w:sz w:val="18"/>
          <w:szCs w:val="18"/>
          <w:color w:val="auto"/>
        </w:rPr>
        <w:t>means the individual who is a member of the Defined Group shown as the Insured named in the Coverage Summary.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Spouse </w:t>
      </w:r>
      <w:r>
        <w:rPr>
          <w:rFonts w:ascii="Times New Roman" w:cs="Times New Roman" w:eastAsia="Times New Roman" w:hAnsi="Times New Roman"/>
          <w:sz w:val="18"/>
          <w:szCs w:val="18"/>
          <w:color w:val="auto"/>
        </w:rPr>
        <w:t>means a partner in marriage or a partner in a civil union recognized under state law and who lives with you.</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 and us </w:t>
      </w:r>
      <w:r>
        <w:rPr>
          <w:rFonts w:ascii="Times New Roman" w:cs="Times New Roman" w:eastAsia="Times New Roman" w:hAnsi="Times New Roman"/>
          <w:sz w:val="18"/>
          <w:szCs w:val="18"/>
          <w:color w:val="auto"/>
        </w:rPr>
        <w:t>mean the insurance company named in the Coverage Summary.</w:t>
      </w:r>
    </w:p>
    <w:p>
      <w:pPr>
        <w:spacing w:after="0" w:line="198" w:lineRule="exact"/>
        <w:rPr>
          <w:sz w:val="20"/>
          <w:szCs w:val="20"/>
          <w:color w:val="auto"/>
        </w:rPr>
      </w:pPr>
    </w:p>
    <w:p>
      <w:pPr>
        <w:ind w:left="20" w:right="60" w:hanging="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means your spouse or domestic partner or other relative who lives with you, or any other person under 25 in your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your relative's care who lives with you.</w:t>
      </w:r>
    </w:p>
    <w:p>
      <w:pPr>
        <w:spacing w:after="0" w:line="155" w:lineRule="exact"/>
        <w:rPr>
          <w:sz w:val="20"/>
          <w:szCs w:val="20"/>
          <w:color w:val="auto"/>
        </w:rPr>
      </w:pPr>
    </w:p>
    <w:p>
      <w:pPr>
        <w:ind w:left="20" w:right="160" w:firstLine="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Domestic partner </w:t>
      </w:r>
      <w:r>
        <w:rPr>
          <w:rFonts w:ascii="Times New Roman" w:cs="Times New Roman" w:eastAsia="Times New Roman" w:hAnsi="Times New Roman"/>
          <w:sz w:val="18"/>
          <w:szCs w:val="18"/>
          <w:color w:val="auto"/>
        </w:rPr>
        <w:t>means a person in a legal or personal relationship with you, who lives with you and shares a common domestic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you, and meeting all of the benefits eligibility criteria as defined by the Sponsoring Organization.</w:t>
      </w:r>
    </w:p>
    <w:p>
      <w:pPr>
        <w:spacing w:after="0" w:line="141" w:lineRule="exact"/>
        <w:rPr>
          <w:sz w:val="20"/>
          <w:szCs w:val="20"/>
          <w:color w:val="auto"/>
        </w:rPr>
      </w:pPr>
    </w:p>
    <w:p>
      <w:pPr>
        <w:ind w:left="20" w:right="400" w:hanging="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Sponsoring Organization </w:t>
      </w:r>
      <w:r>
        <w:rPr>
          <w:rFonts w:ascii="Times New Roman" w:cs="Times New Roman" w:eastAsia="Times New Roman" w:hAnsi="Times New Roman"/>
          <w:sz w:val="18"/>
          <w:szCs w:val="18"/>
          <w:color w:val="auto"/>
        </w:rPr>
        <w:t>means the entity, corporation, partnership or sole proprietorship sponsoring and defining the criteria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 as an Insured.</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Policy </w:t>
      </w:r>
      <w:r>
        <w:rPr>
          <w:rFonts w:ascii="Times New Roman" w:cs="Times New Roman" w:eastAsia="Times New Roman" w:hAnsi="Times New Roman"/>
          <w:sz w:val="18"/>
          <w:szCs w:val="18"/>
          <w:color w:val="auto"/>
        </w:rPr>
        <w:t>means your entire Group Personal Excess Liability Policy, including the Coverage Summary.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Coverage Summary </w:t>
      </w:r>
      <w:r>
        <w:rPr>
          <w:rFonts w:ascii="Times New Roman" w:cs="Times New Roman" w:eastAsia="Times New Roman" w:hAnsi="Times New Roman"/>
          <w:sz w:val="18"/>
          <w:szCs w:val="18"/>
          <w:color w:val="auto"/>
        </w:rPr>
        <w:t>means the most recent Coverage Summary we issued to you, including any endorsements.</w:t>
      </w:r>
    </w:p>
    <w:p>
      <w:pPr>
        <w:spacing w:after="0" w:line="185" w:lineRule="exact"/>
        <w:rPr>
          <w:sz w:val="20"/>
          <w:szCs w:val="20"/>
          <w:color w:val="auto"/>
        </w:rPr>
      </w:pPr>
    </w:p>
    <w:p>
      <w:pPr>
        <w:ind w:left="20" w:right="3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Occurrence </w:t>
      </w:r>
      <w:r>
        <w:rPr>
          <w:rFonts w:ascii="Times New Roman" w:cs="Times New Roman" w:eastAsia="Times New Roman" w:hAnsi="Times New Roman"/>
          <w:sz w:val="18"/>
          <w:szCs w:val="18"/>
          <w:color w:val="auto"/>
        </w:rPr>
        <w:t>means an accident or offense to which this insurance applies and which begins within the policy period. Continuous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repeated exposure to substantially the same general conditions unless excluded is considered to be one occurrence.</w:t>
      </w:r>
    </w:p>
    <w:p>
      <w:pPr>
        <w:spacing w:after="0" w:line="141" w:lineRule="exact"/>
        <w:rPr>
          <w:sz w:val="20"/>
          <w:szCs w:val="20"/>
          <w:color w:val="auto"/>
        </w:rPr>
      </w:pPr>
    </w:p>
    <w:p>
      <w:pPr>
        <w:ind w:left="20" w:right="540" w:hanging="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means any employment, trade, occupation, profession, or farm operation including the raising or care of animals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intended to realize a benefit or financial gain engaged in on a full-time, part-time or occasional basis.</w:t>
      </w:r>
    </w:p>
    <w:p>
      <w:pPr>
        <w:spacing w:after="0" w:line="168" w:lineRule="exact"/>
        <w:rPr>
          <w:sz w:val="20"/>
          <w:szCs w:val="20"/>
          <w:color w:val="auto"/>
        </w:rPr>
      </w:pPr>
    </w:p>
    <w:p>
      <w:pPr>
        <w:ind w:left="20" w:right="140" w:firstLine="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Defined Group </w:t>
      </w:r>
      <w:r>
        <w:rPr>
          <w:rFonts w:ascii="Times New Roman" w:cs="Times New Roman" w:eastAsia="Times New Roman" w:hAnsi="Times New Roman"/>
          <w:sz w:val="18"/>
          <w:szCs w:val="18"/>
          <w:color w:val="auto"/>
        </w:rPr>
        <w:t>means those individuals meeting the criteria for qualification as an Insured as defined by the Sponsoring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accepted by us.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Follow form </w:t>
      </w:r>
      <w:r>
        <w:rPr>
          <w:rFonts w:ascii="Times New Roman" w:cs="Times New Roman" w:eastAsia="Times New Roman" w:hAnsi="Times New Roman"/>
          <w:sz w:val="18"/>
          <w:szCs w:val="18"/>
          <w:color w:val="auto"/>
        </w:rPr>
        <w:t>means we cover damages to the extent they are both covered under the Required Primary Underlying Insurance and, not</w:t>
      </w:r>
    </w:p>
    <w:p>
      <w:pPr>
        <w:spacing w:after="0" w:line="6" w:lineRule="exact"/>
        <w:rPr>
          <w:sz w:val="20"/>
          <w:szCs w:val="20"/>
          <w:color w:val="auto"/>
        </w:rPr>
      </w:pPr>
    </w:p>
    <w:p>
      <w:pPr>
        <w:jc w:val="both"/>
        <w:ind w:left="20"/>
        <w:spacing w:after="0" w:line="208" w:lineRule="auto"/>
        <w:rPr>
          <w:sz w:val="20"/>
          <w:szCs w:val="20"/>
          <w:color w:val="auto"/>
        </w:rPr>
      </w:pPr>
      <w:r>
        <w:rPr>
          <w:rFonts w:ascii="Times New Roman" w:cs="Times New Roman" w:eastAsia="Times New Roman" w:hAnsi="Times New Roman"/>
          <w:sz w:val="18"/>
          <w:szCs w:val="18"/>
          <w:color w:val="auto"/>
        </w:rPr>
        <w:t>excluded 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w:t>
      </w:r>
    </w:p>
    <w:p>
      <w:pPr>
        <w:spacing w:after="0" w:line="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such policies. When no primary underlying coverage exists, the extent of coverage provided on a follow form basis will be determined as if the required primary underlying insurance had been purchased from us.</w:t>
      </w:r>
    </w:p>
    <w:p>
      <w:pPr>
        <w:sectPr>
          <w:pgSz w:w="11900" w:h="16838" w:orient="portrait"/>
          <w:cols w:equalWidth="0" w:num="1">
            <w:col w:w="9840"/>
          </w:cols>
          <w:pgMar w:left="960" w:top="1116" w:right="109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Covered person </w:t>
      </w:r>
      <w:r>
        <w:rPr>
          <w:rFonts w:ascii="Times New Roman" w:cs="Times New Roman" w:eastAsia="Times New Roman" w:hAnsi="Times New Roman"/>
          <w:sz w:val="18"/>
          <w:szCs w:val="18"/>
          <w:color w:val="auto"/>
        </w:rPr>
        <w:t>means:</w:t>
      </w:r>
    </w:p>
    <w:p>
      <w:pPr>
        <w:spacing w:after="0" w:line="189" w:lineRule="exact"/>
        <w:rPr>
          <w:sz w:val="20"/>
          <w:szCs w:val="20"/>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198" w:lineRule="exact"/>
        <w:rPr>
          <w:rFonts w:ascii="Times New Roman" w:cs="Times New Roman" w:eastAsia="Times New Roman" w:hAnsi="Times New Roman"/>
          <w:sz w:val="18"/>
          <w:szCs w:val="18"/>
          <w:color w:val="auto"/>
        </w:rPr>
      </w:pPr>
    </w:p>
    <w:p>
      <w:pPr>
        <w:ind w:left="324" w:right="280" w:hanging="324"/>
        <w:spacing w:after="0" w:line="237"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using a vehicle or watercraft covered under this policy with permission from you or a family member with respect to their legal responsibility arising out of its use;</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is a covered person under your Required Primary Underlying Insurance;</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organization with respect to their legal responsibility for covered acts or omissions of you or a family member; or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181" w:lineRule="exact"/>
        <w:rPr>
          <w:sz w:val="20"/>
          <w:szCs w:val="20"/>
          <w:color w:val="auto"/>
        </w:rPr>
      </w:pPr>
    </w:p>
    <w:p>
      <w:pPr>
        <w:ind w:left="4" w:right="140" w:firstLine="1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Damages </w:t>
      </w:r>
      <w:r>
        <w:rPr>
          <w:rFonts w:ascii="Times New Roman" w:cs="Times New Roman" w:eastAsia="Times New Roman" w:hAnsi="Times New Roman"/>
          <w:sz w:val="18"/>
          <w:szCs w:val="18"/>
          <w:color w:val="auto"/>
        </w:rPr>
        <w:t>mean the sum that is paid or is payable to satisfy a claim settled by us or resolved by judicial procedure or by a compromise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agree to in writing.</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Personal injury </w:t>
      </w:r>
      <w:r>
        <w:rPr>
          <w:rFonts w:ascii="Times New Roman" w:cs="Times New Roman" w:eastAsia="Times New Roman" w:hAnsi="Times New Roman"/>
          <w:sz w:val="18"/>
          <w:szCs w:val="18"/>
          <w:color w:val="auto"/>
        </w:rPr>
        <w:t>means the following injuries, and resulting death:</w:t>
      </w:r>
    </w:p>
    <w:p>
      <w:pPr>
        <w:spacing w:after="0" w:line="189" w:lineRule="exact"/>
        <w:rPr>
          <w:sz w:val="20"/>
          <w:szCs w:val="20"/>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bodily injury;</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shock, mental anguish, or mental injury;</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arrest, false imprisonment, or wrongful detention;</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entry or eviction;</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prosecution or humiliation; and</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libel, slander, defamation of character, or invasion of privacy.</w:t>
      </w:r>
    </w:p>
    <w:p>
      <w:pPr>
        <w:spacing w:after="0" w:line="181" w:lineRule="exact"/>
        <w:rPr>
          <w:sz w:val="20"/>
          <w:szCs w:val="20"/>
          <w:color w:val="auto"/>
        </w:rPr>
      </w:pPr>
    </w:p>
    <w:p>
      <w:pPr>
        <w:ind w:left="4" w:right="360" w:hanging="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Bodily injury </w:t>
      </w:r>
      <w:r>
        <w:rPr>
          <w:rFonts w:ascii="Times New Roman" w:cs="Times New Roman" w:eastAsia="Times New Roman" w:hAnsi="Times New Roman"/>
          <w:sz w:val="18"/>
          <w:szCs w:val="18"/>
          <w:color w:val="auto"/>
        </w:rPr>
        <w:t>means physical bodily harm, including sickness or disease that results from it, and required care, loss of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death.</w:t>
      </w:r>
    </w:p>
    <w:p>
      <w:pPr>
        <w:spacing w:after="0" w:line="168" w:lineRule="exact"/>
        <w:rPr>
          <w:sz w:val="20"/>
          <w:szCs w:val="20"/>
          <w:color w:val="auto"/>
        </w:rPr>
      </w:pPr>
    </w:p>
    <w:p>
      <w:pPr>
        <w:jc w:val="both"/>
        <w:ind w:left="4"/>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Property damage </w:t>
      </w:r>
      <w:r>
        <w:rPr>
          <w:rFonts w:ascii="Times New Roman" w:cs="Times New Roman" w:eastAsia="Times New Roman" w:hAnsi="Times New Roman"/>
          <w:sz w:val="17"/>
          <w:szCs w:val="17"/>
          <w:color w:val="auto"/>
        </w:rPr>
        <w:t>means physical injury to or destruction of tangible property and the resulting loss of its use. Tangible property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includes the cost of recreating or replacing stocks, bonds, deeds, mortgages, bank deposits, and similar instruments, but does not include the value represented by such instruments. Tangible property does not include the cost of recreating or replacing any software, data or</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information that is in electronic form.</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Registered vehicle </w:t>
      </w:r>
      <w:r>
        <w:rPr>
          <w:rFonts w:ascii="Times New Roman" w:cs="Times New Roman" w:eastAsia="Times New Roman" w:hAnsi="Times New Roman"/>
          <w:sz w:val="18"/>
          <w:szCs w:val="18"/>
          <w:color w:val="auto"/>
        </w:rPr>
        <w:t>means any motorized land vehicle not described in "unregistered vehicle."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Unregistered vehicle </w:t>
      </w:r>
      <w:r>
        <w:rPr>
          <w:rFonts w:ascii="Times New Roman" w:cs="Times New Roman" w:eastAsia="Times New Roman" w:hAnsi="Times New Roman"/>
          <w:sz w:val="18"/>
          <w:szCs w:val="18"/>
          <w:color w:val="auto"/>
        </w:rPr>
        <w:t>means:</w:t>
      </w:r>
    </w:p>
    <w:p>
      <w:pPr>
        <w:spacing w:after="0" w:line="202" w:lineRule="exact"/>
        <w:rPr>
          <w:sz w:val="20"/>
          <w:szCs w:val="20"/>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not designed for or required to be registered for use on public roads;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which is in dead storage at your residence;</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solely on and to service your residence premises;</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to assist the disabled that is not designed for or required to be registered for use on public roads; or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carts.</w:t>
      </w:r>
    </w:p>
    <w:p>
      <w:pPr>
        <w:sectPr>
          <w:pgSz w:w="11900" w:h="16838" w:orient="portrait"/>
          <w:cols w:equalWidth="0" w:num="1">
            <w:col w:w="9824"/>
          </w:cols>
          <w:pgMar w:left="976" w:top="1116" w:right="1099" w:bottom="1440" w:gutter="0" w:footer="0" w:header="0"/>
        </w:sectPr>
      </w:pPr>
    </w:p>
    <w:bookmarkStart w:id="55" w:name="page56"/>
    <w:bookmarkEnd w:id="5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GROUP PERSONAL EXCESS COVERAGE</w:t>
      </w:r>
    </w:p>
    <w:p>
      <w:pPr>
        <w:spacing w:after="0" w:line="189"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This part of your Group Personal Excess Liability Policy provides you or a family member with liability coverage in excess of your underlying insurance anywhere in the world unless stated otherwise or an exclusion applies.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Payment for a Loss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Amount of coverage</w:t>
      </w:r>
    </w:p>
    <w:p>
      <w:pPr>
        <w:spacing w:after="0" w:line="20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Any costs we pay for legal expenses (see </w:t>
      </w:r>
      <w:r>
        <w:rPr>
          <w:rFonts w:ascii="Times New Roman" w:cs="Times New Roman" w:eastAsia="Times New Roman" w:hAnsi="Times New Roman"/>
          <w:sz w:val="18"/>
          <w:szCs w:val="18"/>
          <w:b w:val="1"/>
          <w:bCs w:val="1"/>
          <w:color w:val="auto"/>
        </w:rPr>
        <w:t>Defense coverages)</w:t>
      </w:r>
      <w:r>
        <w:rPr>
          <w:rFonts w:ascii="Times New Roman" w:cs="Times New Roman" w:eastAsia="Times New Roman" w:hAnsi="Times New Roman"/>
          <w:sz w:val="18"/>
          <w:szCs w:val="18"/>
          <w:color w:val="auto"/>
        </w:rPr>
        <w:t xml:space="preserve"> are in addition to the amount of coverage.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Underlying Insurance</w:t>
      </w:r>
    </w:p>
    <w:p>
      <w:pPr>
        <w:spacing w:after="0" w:line="189" w:lineRule="exact"/>
        <w:rPr>
          <w:sz w:val="20"/>
          <w:szCs w:val="20"/>
          <w:color w:val="auto"/>
        </w:rPr>
      </w:pPr>
    </w:p>
    <w:p>
      <w:pPr>
        <w:jc w:val="both"/>
        <w:ind w:left="20" w:hanging="13"/>
        <w:spacing w:after="0" w:line="237" w:lineRule="auto"/>
        <w:rPr>
          <w:sz w:val="20"/>
          <w:szCs w:val="20"/>
          <w:color w:val="auto"/>
        </w:rPr>
      </w:pPr>
      <w:r>
        <w:rPr>
          <w:rFonts w:ascii="Times New Roman" w:cs="Times New Roman" w:eastAsia="Times New Roman" w:hAnsi="Times New Roman"/>
          <w:sz w:val="18"/>
          <w:szCs w:val="18"/>
          <w:color w:val="auto"/>
        </w:rPr>
        <w:t>We will pay only for covered damages in excess of all underlying insurance covering those damages, even if the underlying coverage is for more than the minimum amount.</w:t>
      </w:r>
    </w:p>
    <w:p>
      <w:pPr>
        <w:spacing w:after="0" w:line="172" w:lineRule="exact"/>
        <w:rPr>
          <w:sz w:val="20"/>
          <w:szCs w:val="20"/>
          <w:color w:val="auto"/>
        </w:rPr>
      </w:pPr>
    </w:p>
    <w:p>
      <w:pPr>
        <w:jc w:val="both"/>
        <w:ind w:left="20" w:firstLine="4"/>
        <w:spacing w:after="0" w:line="237" w:lineRule="auto"/>
        <w:rPr>
          <w:sz w:val="20"/>
          <w:szCs w:val="20"/>
          <w:color w:val="auto"/>
        </w:rPr>
      </w:pPr>
      <w:r>
        <w:rPr>
          <w:rFonts w:ascii="Times New Roman" w:cs="Times New Roman" w:eastAsia="Times New Roman" w:hAnsi="Times New Roman"/>
          <w:sz w:val="18"/>
          <w:szCs w:val="18"/>
          <w:color w:val="auto"/>
        </w:rPr>
        <w:t>"Underlying insurance" includes all liability coverage that applies to the covered damages, except for other insurance purchased in excess of this policy.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Required primary underlying insurance</w:t>
      </w:r>
    </w:p>
    <w:p>
      <w:pPr>
        <w:spacing w:after="0" w:line="202" w:lineRule="exact"/>
        <w:rPr>
          <w:sz w:val="20"/>
          <w:szCs w:val="20"/>
          <w:color w:val="auto"/>
        </w:rPr>
      </w:pPr>
    </w:p>
    <w:p>
      <w:pPr>
        <w:jc w:val="both"/>
        <w:ind w:left="20" w:hanging="5"/>
        <w:spacing w:after="0" w:line="216" w:lineRule="auto"/>
        <w:rPr>
          <w:sz w:val="20"/>
          <w:szCs w:val="20"/>
          <w:color w:val="auto"/>
        </w:rPr>
      </w:pPr>
      <w:r>
        <w:rPr>
          <w:rFonts w:ascii="Times New Roman" w:cs="Times New Roman" w:eastAsia="Times New Roman" w:hAnsi="Times New Roman"/>
          <w:sz w:val="18"/>
          <w:szCs w:val="18"/>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w:t>
      </w:r>
    </w:p>
    <w:p>
      <w:pPr>
        <w:spacing w:after="0" w:line="1"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extent you or a family member have such liability exposures, all vehicles and watercraft you or your family members own, or rent for longer than 60 days, or have furnished for longer than 60 days, as follows: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liability(homeowners) for personal injury and property damage in the minimum amount of $300,000 each occurrence.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vehicles in the minimum amount of:</w:t>
      </w:r>
    </w:p>
    <w:p>
      <w:pPr>
        <w:spacing w:after="0" w:line="173" w:lineRule="exact"/>
        <w:rPr>
          <w:sz w:val="20"/>
          <w:szCs w:val="20"/>
          <w:color w:val="auto"/>
        </w:rPr>
      </w:pPr>
    </w:p>
    <w:p>
      <w:pPr>
        <w:ind w:left="660" w:hanging="320"/>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ind w:left="660" w:hanging="320"/>
        <w:spacing w:after="0" w:line="219"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ind w:left="660" w:hanging="320"/>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vehicles in the minimum amount of $300,000 bodily injury and property damage each occurrence.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vehicles with less than four wheels and motorhomes in the minimum amount of:</w:t>
      </w:r>
    </w:p>
    <w:p>
      <w:pPr>
        <w:spacing w:after="0" w:line="187" w:lineRule="exact"/>
        <w:rPr>
          <w:sz w:val="20"/>
          <w:szCs w:val="20"/>
          <w:color w:val="auto"/>
        </w:rPr>
      </w:pPr>
    </w:p>
    <w:p>
      <w:pPr>
        <w:ind w:left="660" w:hanging="320"/>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ind w:left="660" w:hanging="320"/>
        <w:spacing w:after="0" w:line="20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ind w:left="660" w:hanging="320"/>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205" w:lineRule="exact"/>
        <w:rPr>
          <w:sz w:val="20"/>
          <w:szCs w:val="20"/>
          <w:color w:val="auto"/>
        </w:rPr>
      </w:pPr>
    </w:p>
    <w:p>
      <w:pPr>
        <w:ind w:left="20" w:hanging="5"/>
        <w:spacing w:after="0" w:line="237" w:lineRule="auto"/>
        <w:rPr>
          <w:sz w:val="20"/>
          <w:szCs w:val="20"/>
          <w:color w:val="auto"/>
        </w:rPr>
      </w:pPr>
      <w:r>
        <w:rPr>
          <w:rFonts w:ascii="Times New Roman" w:cs="Times New Roman" w:eastAsia="Times New Roman" w:hAnsi="Times New Roman"/>
          <w:sz w:val="18"/>
          <w:szCs w:val="18"/>
          <w:color w:val="auto"/>
        </w:rPr>
        <w:t>Watercraft less than 26 feet and 50 engine rated horsepower or less for bodily injury and property damage in the minimum amount of $300,000 each occurrence.</w:t>
      </w:r>
    </w:p>
    <w:p>
      <w:pPr>
        <w:spacing w:after="0" w:line="158" w:lineRule="exact"/>
        <w:rPr>
          <w:sz w:val="20"/>
          <w:szCs w:val="20"/>
          <w:color w:val="auto"/>
        </w:rPr>
      </w:pPr>
    </w:p>
    <w:p>
      <w:pPr>
        <w:ind w:left="20" w:hanging="5"/>
        <w:spacing w:after="0" w:line="250" w:lineRule="auto"/>
        <w:rPr>
          <w:sz w:val="20"/>
          <w:szCs w:val="20"/>
          <w:color w:val="auto"/>
        </w:rPr>
      </w:pPr>
      <w:r>
        <w:rPr>
          <w:rFonts w:ascii="Times New Roman" w:cs="Times New Roman" w:eastAsia="Times New Roman" w:hAnsi="Times New Roman"/>
          <w:sz w:val="18"/>
          <w:szCs w:val="18"/>
          <w:color w:val="auto"/>
        </w:rPr>
        <w:t>Watercraft 26 feet or longer or more than 50 engine rated horsepower for bodily injury and property damage in the minimum amount of $500,000 each occurrence.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motorists/underinsure d motorist protection in the minimum amounts of:</w:t>
      </w:r>
    </w:p>
    <w:p>
      <w:pPr>
        <w:spacing w:after="0" w:line="185" w:lineRule="exact"/>
        <w:rPr>
          <w:sz w:val="20"/>
          <w:szCs w:val="20"/>
          <w:color w:val="auto"/>
        </w:rPr>
      </w:pPr>
    </w:p>
    <w:p>
      <w:pPr>
        <w:ind w:left="660" w:hanging="320"/>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pacing w:after="0" w:line="2" w:lineRule="exact"/>
        <w:rPr>
          <w:rFonts w:ascii="Times New Roman" w:cs="Times New Roman" w:eastAsia="Times New Roman" w:hAnsi="Times New Roman"/>
          <w:sz w:val="18"/>
          <w:szCs w:val="18"/>
          <w:color w:val="auto"/>
        </w:rPr>
      </w:pPr>
    </w:p>
    <w:p>
      <w:pPr>
        <w:ind w:left="660" w:hanging="320"/>
        <w:spacing w:after="0" w:line="203"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ind w:left="660" w:hanging="320"/>
        <w:spacing w:after="0" w:line="203"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219" w:lineRule="auto"/>
        <w:rPr>
          <w:sz w:val="20"/>
          <w:szCs w:val="20"/>
          <w:color w:val="auto"/>
        </w:rPr>
      </w:pPr>
      <w:r>
        <w:rPr>
          <w:rFonts w:ascii="Times New Roman" w:cs="Times New Roman" w:eastAsia="Times New Roman" w:hAnsi="Times New Roman"/>
          <w:sz w:val="18"/>
          <w:szCs w:val="18"/>
          <w:color w:val="auto"/>
        </w:rPr>
        <w:t>With respect to you and your family members residing outside of the United States, the required primary underlying insurance limits of</w:t>
      </w:r>
    </w:p>
    <w:p>
      <w:pPr>
        <w:spacing w:after="0" w:line="1" w:lineRule="exact"/>
        <w:rPr>
          <w:sz w:val="20"/>
          <w:szCs w:val="20"/>
          <w:color w:val="auto"/>
        </w:rPr>
      </w:pPr>
    </w:p>
    <w:p>
      <w:pPr>
        <w:jc w:val="both"/>
        <w:ind w:left="20"/>
        <w:spacing w:after="0" w:line="208" w:lineRule="auto"/>
        <w:rPr>
          <w:sz w:val="20"/>
          <w:szCs w:val="20"/>
          <w:color w:val="auto"/>
        </w:rPr>
      </w:pPr>
      <w:r>
        <w:rPr>
          <w:rFonts w:ascii="Times New Roman" w:cs="Times New Roman" w:eastAsia="Times New Roman" w:hAnsi="Times New Roman"/>
          <w:sz w:val="18"/>
          <w:szCs w:val="18"/>
          <w:color w:val="auto"/>
        </w:rPr>
        <w:t>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w:t>
      </w:r>
    </w:p>
    <w:p>
      <w:pPr>
        <w:spacing w:after="0" w:line="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country for all coverages up to the minimum required primary underlying limits shown in the Coverage Summary under Required Primary Underlying Insurance.</w:t>
      </w:r>
    </w:p>
    <w:p>
      <w:pPr>
        <w:sectPr>
          <w:pgSz w:w="11900" w:h="16838" w:orient="portrait"/>
          <w:cols w:equalWidth="0" w:num="1">
            <w:col w:w="9840"/>
          </w:cols>
          <w:pgMar w:left="960" w:top="1116" w:right="1099" w:bottom="1440" w:gutter="0" w:footer="0" w:header="0"/>
        </w:sectPr>
      </w:pPr>
    </w:p>
    <w:bookmarkStart w:id="56" w:name="page57"/>
    <w:bookmarkEnd w:id="56"/>
    <w:p>
      <w:pPr>
        <w:ind w:left="20" w:hanging="5"/>
        <w:spacing w:after="0" w:line="222" w:lineRule="auto"/>
        <w:rPr>
          <w:sz w:val="20"/>
          <w:szCs w:val="20"/>
          <w:color w:val="auto"/>
        </w:rPr>
      </w:pPr>
      <w:r>
        <w:rPr>
          <w:rFonts w:ascii="Times New Roman" w:cs="Times New Roman" w:eastAsia="Times New Roman" w:hAnsi="Times New Roman"/>
          <w:sz w:val="18"/>
          <w:szCs w:val="18"/>
          <w:color w:val="auto"/>
        </w:rPr>
        <w:t>Failure by you or your family members to comply with this condition, or failure of any of your primary underlying insurers due to insolvency or bankruptcy, shall not invalidate this policy. In the event of any such failure, we shall only be liable in excess of the</w:t>
      </w:r>
    </w:p>
    <w:p>
      <w:pPr>
        <w:spacing w:after="0" w:line="2"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foregoing minimum amounts and to no greater extent with respect to coverages, amounts and defense costs than we would have been had this failure not occurred.</w:t>
      </w:r>
    </w:p>
    <w:p>
      <w:pPr>
        <w:spacing w:after="0" w:line="157" w:lineRule="exact"/>
        <w:rPr>
          <w:sz w:val="20"/>
          <w:szCs w:val="20"/>
          <w:color w:val="auto"/>
        </w:rPr>
      </w:pPr>
    </w:p>
    <w:p>
      <w:pPr>
        <w:ind w:left="20" w:hanging="5"/>
        <w:spacing w:after="0" w:line="250" w:lineRule="auto"/>
        <w:rPr>
          <w:sz w:val="20"/>
          <w:szCs w:val="20"/>
          <w:color w:val="auto"/>
        </w:rPr>
      </w:pPr>
      <w:r>
        <w:rPr>
          <w:rFonts w:ascii="Times New Roman" w:cs="Times New Roman" w:eastAsia="Times New Roman" w:hAnsi="Times New Roman"/>
          <w:sz w:val="18"/>
          <w:szCs w:val="18"/>
          <w:color w:val="auto"/>
        </w:rPr>
        <w:t>You must also give notice of losses and otherwise cooperate and comply with the terms and conditions of such primary underlying insurance.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cover damages a covered person is legally obligated to pay for bodily injury and property damage, caused by an occurrence:</w:t>
      </w:r>
    </w:p>
    <w:p>
      <w:pPr>
        <w:spacing w:after="0" w:line="185" w:lineRule="exact"/>
        <w:rPr>
          <w:sz w:val="20"/>
          <w:szCs w:val="20"/>
          <w:color w:val="auto"/>
        </w:rPr>
      </w:pPr>
    </w:p>
    <w:p>
      <w:pPr>
        <w:ind w:left="1300" w:hanging="649"/>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damages covered by the underlying insurance; or</w:t>
      </w:r>
    </w:p>
    <w:p>
      <w:pPr>
        <w:spacing w:after="0" w:line="2" w:lineRule="exact"/>
        <w:rPr>
          <w:rFonts w:ascii="Times New Roman" w:cs="Times New Roman" w:eastAsia="Times New Roman" w:hAnsi="Times New Roman"/>
          <w:sz w:val="18"/>
          <w:szCs w:val="18"/>
          <w:color w:val="auto"/>
        </w:rPr>
      </w:pPr>
    </w:p>
    <w:p>
      <w:pPr>
        <w:ind w:left="1300" w:hanging="649"/>
        <w:spacing w:after="0" w:line="203" w:lineRule="auto"/>
        <w:tabs>
          <w:tab w:leader="none" w:pos="1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no underlying insurance is required under this policy and no underlying insurance exists; or</w:t>
      </w:r>
    </w:p>
    <w:p>
      <w:pPr>
        <w:ind w:left="1300" w:hanging="649"/>
        <w:spacing w:after="0" w:line="211" w:lineRule="auto"/>
        <w:tabs>
          <w:tab w:leader="none" w:pos="1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underlying insurance is required under this policy but no coverage is provided by the underlying insurance for a particular occurrence;</w:t>
      </w:r>
    </w:p>
    <w:p>
      <w:pPr>
        <w:ind w:left="660"/>
        <w:spacing w:after="0" w:line="204" w:lineRule="auto"/>
        <w:rPr>
          <w:sz w:val="20"/>
          <w:szCs w:val="20"/>
          <w:color w:val="auto"/>
        </w:rPr>
      </w:pPr>
      <w:r>
        <w:rPr>
          <w:rFonts w:ascii="Times New Roman" w:cs="Times New Roman" w:eastAsia="Times New Roman" w:hAnsi="Times New Roman"/>
          <w:sz w:val="18"/>
          <w:szCs w:val="18"/>
          <w:color w:val="auto"/>
        </w:rPr>
        <w:t>•</w:t>
      </w:r>
    </w:p>
    <w:p>
      <w:pPr>
        <w:ind w:left="20"/>
        <w:spacing w:after="0"/>
        <w:rPr>
          <w:sz w:val="20"/>
          <w:szCs w:val="20"/>
          <w:color w:val="auto"/>
        </w:rPr>
      </w:pPr>
      <w:r>
        <w:rPr>
          <w:rFonts w:ascii="Times New Roman" w:cs="Times New Roman" w:eastAsia="Times New Roman" w:hAnsi="Times New Roman"/>
          <w:sz w:val="18"/>
          <w:szCs w:val="18"/>
          <w:color w:val="auto"/>
        </w:rPr>
        <w:t>unless stated otherwise or an exclusion applies. Exclusions to this coverage are described in Exclusions.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Excess uninsured motorists/underinsured motorist protection</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motorists/underinsured motorists protection is shown in the Coverage Summary.</w:t>
      </w:r>
    </w:p>
    <w:p>
      <w:pPr>
        <w:spacing w:after="0" w:line="185" w:lineRule="exact"/>
        <w:rPr>
          <w:sz w:val="20"/>
          <w:szCs w:val="20"/>
          <w:color w:val="auto"/>
        </w:rPr>
      </w:pPr>
    </w:p>
    <w:p>
      <w:pPr>
        <w:jc w:val="both"/>
        <w:ind w:left="20"/>
        <w:spacing w:after="0" w:line="222" w:lineRule="auto"/>
        <w:rPr>
          <w:sz w:val="20"/>
          <w:szCs w:val="20"/>
          <w:color w:val="auto"/>
        </w:rPr>
      </w:pPr>
      <w:r>
        <w:rPr>
          <w:rFonts w:ascii="Times New Roman" w:cs="Times New Roman" w:eastAsia="Times New Roman" w:hAnsi="Times New Roman"/>
          <w:sz w:val="18"/>
          <w:szCs w:val="18"/>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w:t>
      </w:r>
    </w:p>
    <w:p>
      <w:pPr>
        <w:spacing w:after="0" w:line="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Required Primary Underlying Insurance, whichever is greater, if they are caused by an occurrence during the policy period, unless otherwise stated.</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Amount of coverage. </w:t>
      </w:r>
      <w:r>
        <w:rPr>
          <w:rFonts w:ascii="Times New Roman" w:cs="Times New Roman" w:eastAsia="Times New Roman" w:hAnsi="Times New Roman"/>
          <w:sz w:val="18"/>
          <w:szCs w:val="18"/>
          <w:color w:val="auto"/>
        </w:rPr>
        <w:t>The maximum amount of excess uninsured motorists/underinsure d motorists protection available for any one</w:t>
      </w:r>
    </w:p>
    <w:p>
      <w:pPr>
        <w:spacing w:after="0" w:line="6" w:lineRule="exact"/>
        <w:rPr>
          <w:sz w:val="20"/>
          <w:szCs w:val="20"/>
          <w:color w:val="auto"/>
        </w:rPr>
      </w:pPr>
    </w:p>
    <w:p>
      <w:pPr>
        <w:jc w:val="both"/>
        <w:ind w:left="20"/>
        <w:spacing w:after="0" w:line="208" w:lineRule="auto"/>
        <w:rPr>
          <w:sz w:val="20"/>
          <w:szCs w:val="20"/>
          <w:color w:val="auto"/>
        </w:rPr>
      </w:pPr>
      <w:r>
        <w:rPr>
          <w:rFonts w:ascii="Times New Roman" w:cs="Times New Roman" w:eastAsia="Times New Roman" w:hAnsi="Times New Roman"/>
          <w:sz w:val="18"/>
          <w:szCs w:val="18"/>
          <w:color w:val="auto"/>
        </w:rPr>
        <w:t>occurrence is the excess uninsured motorists/underinsured motorists protection amount shown in the Coverage Summary regardless of the number of vehicles covered by the Required Primary Underlying Insurance. We will not pay more than this amount in any one occurrence for covered damages regardless of how many claims, vehicles or people are involved in the occurrence. This coverage will</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follow form.</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Uninsured motorists/underinsured motorists protection arbitration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and a covered person disagree whether that person is legally entitled to recover damages from the owner or operator of an</w:t>
      </w:r>
    </w:p>
    <w:p>
      <w:pPr>
        <w:spacing w:after="0" w:line="2" w:lineRule="exact"/>
        <w:rPr>
          <w:sz w:val="20"/>
          <w:szCs w:val="20"/>
          <w:color w:val="auto"/>
        </w:rPr>
      </w:pPr>
    </w:p>
    <w:p>
      <w:pPr>
        <w:jc w:val="both"/>
        <w:ind w:left="20"/>
        <w:spacing w:after="0" w:line="208" w:lineRule="auto"/>
        <w:rPr>
          <w:sz w:val="20"/>
          <w:szCs w:val="20"/>
          <w:color w:val="auto"/>
        </w:rPr>
      </w:pPr>
      <w:r>
        <w:rPr>
          <w:rFonts w:ascii="Times New Roman" w:cs="Times New Roman" w:eastAsia="Times New Roman" w:hAnsi="Times New Roman"/>
          <w:sz w:val="18"/>
          <w:szCs w:val="18"/>
          <w:color w:val="auto"/>
        </w:rPr>
        <w:t>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w:t>
      </w:r>
    </w:p>
    <w:p>
      <w:pPr>
        <w:spacing w:after="0" w:line="2" w:lineRule="exact"/>
        <w:rPr>
          <w:sz w:val="20"/>
          <w:szCs w:val="20"/>
          <w:color w:val="auto"/>
        </w:rPr>
      </w:pPr>
    </w:p>
    <w:p>
      <w:pPr>
        <w:jc w:val="both"/>
        <w:ind w:left="20"/>
        <w:spacing w:after="0" w:line="218" w:lineRule="auto"/>
        <w:rPr>
          <w:sz w:val="20"/>
          <w:szCs w:val="20"/>
          <w:color w:val="auto"/>
        </w:rPr>
      </w:pPr>
      <w:r>
        <w:rPr>
          <w:rFonts w:ascii="Times New Roman" w:cs="Times New Roman" w:eastAsia="Times New Roman" w:hAnsi="Times New Roman"/>
          <w:sz w:val="18"/>
          <w:szCs w:val="18"/>
          <w:color w:val="auto"/>
        </w:rPr>
        <w:t>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172" w:lineRule="exact"/>
        <w:rPr>
          <w:sz w:val="20"/>
          <w:szCs w:val="20"/>
          <w:color w:val="auto"/>
        </w:rPr>
      </w:pPr>
    </w:p>
    <w:p>
      <w:pPr>
        <w:jc w:val="both"/>
        <w:ind w:left="20"/>
        <w:spacing w:after="0" w:line="216" w:lineRule="auto"/>
        <w:rPr>
          <w:sz w:val="20"/>
          <w:szCs w:val="20"/>
          <w:color w:val="auto"/>
        </w:rPr>
      </w:pPr>
      <w:r>
        <w:rPr>
          <w:rFonts w:ascii="Times New Roman" w:cs="Times New Roman" w:eastAsia="Times New Roman" w:hAnsi="Times New Roman"/>
          <w:sz w:val="18"/>
          <w:szCs w:val="18"/>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w:t>
      </w:r>
    </w:p>
    <w:p>
      <w:pPr>
        <w:spacing w:after="0" w:line="1"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that limit, either party may demand the right to a trial. This demand must be made within 60 days of the arbitrator's decision. If this demand is not made, the amount of damages agreed to by the arbitrators will be binding.</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Uninsured/underinsured liability coverage</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motorists/underinsured motorists protection is shown in the Coverage Summary.</w:t>
      </w:r>
    </w:p>
    <w:p>
      <w:pPr>
        <w:spacing w:after="0" w:line="185" w:lineRule="exact"/>
        <w:rPr>
          <w:sz w:val="20"/>
          <w:szCs w:val="20"/>
          <w:color w:val="auto"/>
        </w:rPr>
      </w:pPr>
    </w:p>
    <w:p>
      <w:pPr>
        <w:jc w:val="both"/>
        <w:ind w:left="20"/>
        <w:spacing w:after="0" w:line="222" w:lineRule="auto"/>
        <w:rPr>
          <w:sz w:val="20"/>
          <w:szCs w:val="20"/>
          <w:color w:val="auto"/>
        </w:rPr>
      </w:pPr>
      <w:r>
        <w:rPr>
          <w:rFonts w:ascii="Times New Roman" w:cs="Times New Roman" w:eastAsia="Times New Roman" w:hAnsi="Times New Roman"/>
          <w:sz w:val="18"/>
          <w:szCs w:val="18"/>
          <w:color w:val="auto"/>
        </w:rPr>
        <w:t>We cover up to a maximum of $1 million for bodily injury and personal injury you or a family member are legally entitled to receive from an uninsured or underinsured negligent person caused by an occurrence, unless stated otherwise or an exclusion applies. We will</w:t>
      </w:r>
    </w:p>
    <w:p>
      <w:pPr>
        <w:spacing w:after="0" w:line="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not pay more than this amount for covered damages from any one occurrence, regardless of how many claims or people are involved in the occurrence. This coverage is excess over the total of any other collectible insurance that covers damages from the occurrence.</w:t>
      </w:r>
    </w:p>
    <w:p>
      <w:pPr>
        <w:sectPr>
          <w:pgSz w:w="11900" w:h="16838" w:orient="portrait"/>
          <w:cols w:equalWidth="0" w:num="1">
            <w:col w:w="9840"/>
          </w:cols>
          <w:pgMar w:left="960" w:top="1120" w:right="1099" w:bottom="1440" w:gutter="0" w:footer="0" w:header="0"/>
        </w:sectPr>
      </w:pPr>
    </w:p>
    <w:bookmarkStart w:id="57" w:name="page58"/>
    <w:bookmarkEnd w:id="57"/>
    <w:p>
      <w:pPr>
        <w:jc w:val="both"/>
        <w:ind w:left="4" w:firstLine="9"/>
        <w:spacing w:after="0" w:line="222" w:lineRule="auto"/>
        <w:rPr>
          <w:sz w:val="20"/>
          <w:szCs w:val="20"/>
          <w:color w:val="auto"/>
        </w:rPr>
      </w:pPr>
      <w:r>
        <w:rPr>
          <w:rFonts w:ascii="Times New Roman" w:cs="Times New Roman" w:eastAsia="Times New Roman" w:hAnsi="Times New Roman"/>
          <w:sz w:val="18"/>
          <w:szCs w:val="18"/>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w:t>
      </w:r>
    </w:p>
    <w:p>
      <w:pPr>
        <w:spacing w:after="0" w:line="2" w:lineRule="exact"/>
        <w:rPr>
          <w:sz w:val="20"/>
          <w:szCs w:val="20"/>
          <w:color w:val="auto"/>
        </w:rPr>
      </w:pPr>
    </w:p>
    <w:p>
      <w:pPr>
        <w:jc w:val="both"/>
        <w:ind w:left="4"/>
        <w:spacing w:after="0" w:line="208" w:lineRule="auto"/>
        <w:rPr>
          <w:sz w:val="20"/>
          <w:szCs w:val="20"/>
          <w:color w:val="auto"/>
        </w:rPr>
      </w:pPr>
      <w:r>
        <w:rPr>
          <w:rFonts w:ascii="Times New Roman" w:cs="Times New Roman" w:eastAsia="Times New Roman" w:hAnsi="Times New Roman"/>
          <w:sz w:val="18"/>
          <w:szCs w:val="18"/>
          <w:color w:val="auto"/>
        </w:rPr>
        <w:t>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w:t>
      </w:r>
    </w:p>
    <w:p>
      <w:pPr>
        <w:spacing w:after="0" w:line="2"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breach of an oral or written employment contract or agreement or violation of any state or federal wrongful employment practices act or similar law.</w:t>
      </w:r>
    </w:p>
    <w:p>
      <w:pPr>
        <w:spacing w:after="0" w:line="153" w:lineRule="exact"/>
        <w:rPr>
          <w:sz w:val="20"/>
          <w:szCs w:val="20"/>
          <w:color w:val="auto"/>
        </w:rPr>
      </w:pPr>
    </w:p>
    <w:p>
      <w:pPr>
        <w:ind w:left="4" w:right="100" w:hanging="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also do not cover any fines, penalties, taxes, punitive, exemplary or multiplied damages, or any claim or suit seeking non monetary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relief, including but not limited to, injunctive relief, declaratory relief or other equitable remedies.</w:t>
      </w:r>
    </w:p>
    <w:p>
      <w:pPr>
        <w:spacing w:after="0" w:line="145" w:lineRule="exact"/>
        <w:rPr>
          <w:sz w:val="20"/>
          <w:szCs w:val="20"/>
          <w:color w:val="auto"/>
        </w:rPr>
      </w:pPr>
    </w:p>
    <w:p>
      <w:pPr>
        <w:ind w:left="4" w:right="160" w:hanging="5"/>
        <w:spacing w:after="0" w:line="237" w:lineRule="auto"/>
        <w:rPr>
          <w:sz w:val="20"/>
          <w:szCs w:val="20"/>
          <w:color w:val="auto"/>
        </w:rPr>
      </w:pPr>
      <w:r>
        <w:rPr>
          <w:rFonts w:ascii="Times New Roman" w:cs="Times New Roman" w:eastAsia="Times New Roman" w:hAnsi="Times New Roman"/>
          <w:sz w:val="18"/>
          <w:szCs w:val="18"/>
          <w:color w:val="auto"/>
        </w:rPr>
        <w:t>"Negligent person" means an identifiable natural person by legal name who is not a family member, and who is legally responsible for damages sustained by you or a family member caused by an occurrence.</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 xml:space="preserve">Duplication of coverage. </w:t>
      </w:r>
      <w:r>
        <w:rPr>
          <w:rFonts w:ascii="Times New Roman" w:cs="Times New Roman" w:eastAsia="Times New Roman" w:hAnsi="Times New Roman"/>
          <w:sz w:val="17"/>
          <w:szCs w:val="17"/>
          <w:color w:val="auto"/>
        </w:rPr>
        <w:t>We will not make a duplicate payment for any portion of damages for which payment has been made by or on</w:t>
      </w:r>
    </w:p>
    <w:p>
      <w:pPr>
        <w:spacing w:after="0" w:line="18"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auto"/>
        </w:rPr>
        <w:t>behalf of persons who may 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Defense coverages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will defend a covered person against any suit seeking covered damages for personal injury or property damage that is either:</w:t>
      </w:r>
    </w:p>
    <w:p>
      <w:pPr>
        <w:spacing w:after="0" w:line="185" w:lineRule="exact"/>
        <w:rPr>
          <w:sz w:val="20"/>
          <w:szCs w:val="20"/>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covered by any underlying insurance; or</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an underlying policy. This will apply to each Defense Coverage as it has been exhausted by payment of claims.</w:t>
      </w:r>
    </w:p>
    <w:p>
      <w:pPr>
        <w:spacing w:after="0" w:line="185" w:lineRule="exact"/>
        <w:rPr>
          <w:sz w:val="20"/>
          <w:szCs w:val="20"/>
          <w:color w:val="auto"/>
        </w:rPr>
      </w:pPr>
    </w:p>
    <w:p>
      <w:pPr>
        <w:ind w:left="4" w:right="740" w:hanging="5"/>
        <w:spacing w:after="0" w:line="237" w:lineRule="auto"/>
        <w:rPr>
          <w:sz w:val="20"/>
          <w:szCs w:val="20"/>
          <w:color w:val="auto"/>
        </w:rPr>
      </w:pPr>
      <w:r>
        <w:rPr>
          <w:rFonts w:ascii="Times New Roman" w:cs="Times New Roman" w:eastAsia="Times New Roman" w:hAnsi="Times New Roman"/>
          <w:sz w:val="18"/>
          <w:szCs w:val="18"/>
          <w:color w:val="auto"/>
        </w:rPr>
        <w:t>We provide this defense at our expense, with counsel of our choice, even if the suit is groundless, false, or fraudulent. We may investigate, negotiate, and settle any such claim or suit at our discretion.</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part of our investigation, defense, negotiation, or settlement, we will pay:</w:t>
      </w:r>
    </w:p>
    <w:p>
      <w:pPr>
        <w:spacing w:after="0" w:line="185" w:lineRule="exact"/>
        <w:rPr>
          <w:sz w:val="20"/>
          <w:szCs w:val="20"/>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appeal bonds required in any suit we defend;</w:t>
      </w:r>
    </w:p>
    <w:p>
      <w:pPr>
        <w:spacing w:after="0" w:line="184" w:lineRule="exact"/>
        <w:rPr>
          <w:rFonts w:ascii="Times New Roman" w:cs="Times New Roman" w:eastAsia="Times New Roman" w:hAnsi="Times New Roman"/>
          <w:sz w:val="18"/>
          <w:szCs w:val="18"/>
          <w:color w:val="auto"/>
        </w:rPr>
      </w:pPr>
    </w:p>
    <w:p>
      <w:pPr>
        <w:ind w:left="324" w:right="20" w:hanging="324"/>
        <w:spacing w:after="0" w:line="250" w:lineRule="auto"/>
        <w:tabs>
          <w:tab w:leader="none" w:pos="3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bonds to release attachments for any amount up to the amount of coverage (but we are not obligated to apply for or furnish any bond);</w:t>
      </w:r>
    </w:p>
    <w:p>
      <w:pPr>
        <w:spacing w:after="0" w:line="14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us;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taxed against a covered person;</w:t>
      </w:r>
    </w:p>
    <w:p>
      <w:pPr>
        <w:spacing w:after="0" w:line="198" w:lineRule="exact"/>
        <w:rPr>
          <w:rFonts w:ascii="Times New Roman" w:cs="Times New Roman" w:eastAsia="Times New Roman" w:hAnsi="Times New Roman"/>
          <w:sz w:val="18"/>
          <w:szCs w:val="18"/>
          <w:color w:val="auto"/>
        </w:rPr>
      </w:pPr>
    </w:p>
    <w:p>
      <w:pPr>
        <w:ind w:left="324" w:right="80" w:hanging="324"/>
        <w:spacing w:after="0" w:line="237" w:lineRule="auto"/>
        <w:tabs>
          <w:tab w:leader="none" w:pos="3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accruing after a judgment is entered in a suit we defend on only that part of the judgment we are responsible for paying. We will not pay interest accruing after we have paid the judgment up to the amount of coverage;</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prejudgment interest awarded against a covered person on that part of the judgment we pay or offer to pay.</w:t>
      </w:r>
    </w:p>
    <w:p>
      <w:pPr>
        <w:spacing w:after="0" w:line="198" w:lineRule="exact"/>
        <w:rPr>
          <w:sz w:val="20"/>
          <w:szCs w:val="20"/>
          <w:color w:val="auto"/>
        </w:rPr>
      </w:pPr>
    </w:p>
    <w:p>
      <w:pPr>
        <w:ind w:left="964" w:right="620" w:hanging="316"/>
        <w:spacing w:after="0" w:line="236" w:lineRule="auto"/>
        <w:tabs>
          <w:tab w:leader="none" w:pos="961" w:val="left"/>
        </w:tabs>
        <w:numPr>
          <w:ilvl w:val="1"/>
          <w:numId w:val="7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will not pay any prejudgment interest based on that period of time after we make an offer to pay the amount of coverage;</w:t>
      </w:r>
    </w:p>
    <w:p>
      <w:pPr>
        <w:spacing w:after="0" w:line="158"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earnings lost by each covered person at our request, up to $25,000;</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reasonable expenses incurred by a covered person at our request; and</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bail bonds required of a covered person because of a covered loss.</w:t>
      </w:r>
    </w:p>
    <w:p>
      <w:pPr>
        <w:spacing w:after="0" w:line="185" w:lineRule="exact"/>
        <w:rPr>
          <w:sz w:val="20"/>
          <w:szCs w:val="20"/>
          <w:color w:val="auto"/>
        </w:rPr>
      </w:pPr>
    </w:p>
    <w:p>
      <w:pPr>
        <w:ind w:left="4" w:right="260" w:firstLine="4"/>
        <w:spacing w:after="0" w:line="250" w:lineRule="auto"/>
        <w:rPr>
          <w:sz w:val="20"/>
          <w:szCs w:val="20"/>
          <w:color w:val="auto"/>
        </w:rPr>
      </w:pPr>
      <w:r>
        <w:rPr>
          <w:rFonts w:ascii="Times New Roman" w:cs="Times New Roman" w:eastAsia="Times New Roman" w:hAnsi="Times New Roman"/>
          <w:sz w:val="18"/>
          <w:szCs w:val="18"/>
          <w:color w:val="auto"/>
        </w:rPr>
        <w:t>In jurisdictions where we may be prevented by local law from carrying out these Defense Coverages, we will pay only those defense expenses that we agree in writing to pay and that are incurred by you.</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Extra Coverages</w:t>
      </w:r>
    </w:p>
    <w:p>
      <w:pPr>
        <w:spacing w:after="0" w:line="189" w:lineRule="exact"/>
        <w:rPr>
          <w:sz w:val="20"/>
          <w:szCs w:val="20"/>
          <w:color w:val="auto"/>
        </w:rPr>
      </w:pPr>
    </w:p>
    <w:p>
      <w:pPr>
        <w:ind w:left="4" w:right="440"/>
        <w:spacing w:after="0" w:line="250" w:lineRule="auto"/>
        <w:rPr>
          <w:sz w:val="20"/>
          <w:szCs w:val="20"/>
          <w:color w:val="auto"/>
        </w:rPr>
      </w:pPr>
      <w:r>
        <w:rPr>
          <w:rFonts w:ascii="Times New Roman" w:cs="Times New Roman" w:eastAsia="Times New Roman" w:hAnsi="Times New Roman"/>
          <w:sz w:val="18"/>
          <w:szCs w:val="18"/>
          <w:color w:val="auto"/>
        </w:rPr>
        <w:t>In addition to covering damages and defense costs, we also provide other related coverages. These coverages are in addition to the amount of coverage for damages and defense costs unless stated otherwise.</w:t>
      </w:r>
    </w:p>
    <w:p>
      <w:pPr>
        <w:sectPr>
          <w:pgSz w:w="11900" w:h="16838" w:orient="portrait"/>
          <w:cols w:equalWidth="0" w:num="1">
            <w:col w:w="9824"/>
          </w:cols>
          <w:pgMar w:left="976" w:top="1120" w:right="109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b w:val="1"/>
          <w:bCs w:val="1"/>
          <w:color w:val="auto"/>
        </w:rPr>
        <w:t>Shadow defense coverage</w:t>
      </w:r>
    </w:p>
    <w:p>
      <w:pPr>
        <w:spacing w:after="0" w:line="189"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If we are defending you or a family member in a suit seeking covered damages, we will pay reasonable expenses you or a family</w:t>
      </w:r>
    </w:p>
    <w:p>
      <w:pPr>
        <w:spacing w:after="0" w:line="2"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auto"/>
        </w:rPr>
        <w:t>member incur up to $10,000 or the amount shown in the Coverage Summary for a law firm of your choice to review and monitor the defense. However any recommendation by your personal attorney is not binding on us. We will pay these costs provided that you obtain prior approval from us before incurring any fees or expenses.</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Identity fraud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will pay for your or a family member's identity fraud expenses, up to a maximum of $25,000, for each identity fraud occurrence.</w:t>
      </w:r>
    </w:p>
    <w:p>
      <w:pPr>
        <w:spacing w:after="0" w:line="185" w:lineRule="exact"/>
        <w:rPr>
          <w:sz w:val="20"/>
          <w:szCs w:val="20"/>
          <w:color w:val="auto"/>
        </w:rPr>
      </w:pPr>
    </w:p>
    <w:p>
      <w:pPr>
        <w:jc w:val="both"/>
        <w:ind w:left="4" w:firstLine="7"/>
        <w:spacing w:after="0" w:line="250" w:lineRule="auto"/>
        <w:rPr>
          <w:sz w:val="20"/>
          <w:szCs w:val="20"/>
          <w:color w:val="auto"/>
        </w:rPr>
      </w:pPr>
      <w:r>
        <w:rPr>
          <w:rFonts w:ascii="Times New Roman" w:cs="Times New Roman" w:eastAsia="Times New Roman" w:hAnsi="Times New Roman"/>
          <w:sz w:val="18"/>
          <w:szCs w:val="18"/>
          <w:color w:val="auto"/>
        </w:rPr>
        <w:t>"Identity fraud" means the act of knowingly transferring or using, without lawful authority, your or a family member's means of identity which constitutes a violation of federal law or a crime under any applicable state or local law.</w:t>
      </w:r>
    </w:p>
    <w:p>
      <w:pPr>
        <w:spacing w:after="0" w:line="1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"Identity fraud occurrence" means any act or series of acts of identity fraud by a person or group commencing in the policy period.</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"Identity fraud expenses" means:</w:t>
      </w:r>
    </w:p>
    <w:p>
      <w:pPr>
        <w:spacing w:after="0" w:line="185" w:lineRule="exact"/>
        <w:rPr>
          <w:sz w:val="20"/>
          <w:szCs w:val="20"/>
          <w:color w:val="auto"/>
        </w:rPr>
      </w:pPr>
    </w:p>
    <w:p>
      <w:pPr>
        <w:ind w:left="324" w:right="640" w:hanging="324"/>
        <w:spacing w:after="0" w:line="250"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notarizing affidavits or similar documents for law enforcement agencies, financial institutions or similar credit grantors, and credit agencies;</w:t>
      </w:r>
    </w:p>
    <w:p>
      <w:pPr>
        <w:spacing w:after="0" w:line="14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for sending certified mail to law enforcement agencies, financial institutions or similar credit grantors, and credit agencies;</w:t>
      </w:r>
    </w:p>
    <w:p>
      <w:pPr>
        <w:spacing w:after="0" w:line="196" w:lineRule="exact"/>
        <w:rPr>
          <w:rFonts w:ascii="Times New Roman" w:cs="Times New Roman" w:eastAsia="Times New Roman" w:hAnsi="Times New Roman"/>
          <w:sz w:val="17"/>
          <w:szCs w:val="17"/>
          <w:color w:val="auto"/>
        </w:rPr>
      </w:pPr>
    </w:p>
    <w:p>
      <w:pPr>
        <w:ind w:left="324" w:right="520" w:hanging="324"/>
        <w:spacing w:after="0" w:line="250"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application fees for reapplying for loan(s) due to the rejection of the original application because the lender received incorrect credit information;</w:t>
      </w:r>
    </w:p>
    <w:p>
      <w:pPr>
        <w:spacing w:after="0" w:line="149" w:lineRule="exact"/>
        <w:rPr>
          <w:rFonts w:ascii="Times New Roman" w:cs="Times New Roman" w:eastAsia="Times New Roman" w:hAnsi="Times New Roman"/>
          <w:sz w:val="18"/>
          <w:szCs w:val="18"/>
          <w:color w:val="auto"/>
        </w:rPr>
      </w:pPr>
    </w:p>
    <w:p>
      <w:pPr>
        <w:ind w:left="324" w:right="80" w:hanging="324"/>
        <w:spacing w:after="0" w:line="237"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expenses for calls to businesses, law enforcement agencies, financial institutions or similar credit grantors, and credit agencies;</w:t>
      </w:r>
    </w:p>
    <w:p>
      <w:pPr>
        <w:spacing w:after="0" w:line="171" w:lineRule="exact"/>
        <w:rPr>
          <w:rFonts w:ascii="Times New Roman" w:cs="Times New Roman" w:eastAsia="Times New Roman" w:hAnsi="Times New Roman"/>
          <w:sz w:val="18"/>
          <w:szCs w:val="18"/>
          <w:color w:val="auto"/>
        </w:rPr>
      </w:pPr>
    </w:p>
    <w:p>
      <w:pPr>
        <w:ind w:left="324" w:right="100" w:hanging="324"/>
        <w:spacing w:after="0" w:line="237"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as a result of time off from work to complete fraud affidavits, meet with law enforcement agencies, credit agencies, merchants, or legal counsel;</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attorney fees incurred with prior notice to us for:</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you or a family member against any suit(s) by businesses or their collection agencies;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any criminal or civil judgements wrongly entered against you or a family member;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challenge to the information in your or a family member's consumer credit report; and</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incurred with prior notice to us by an identity fraud mitigation entity to:</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for the activities described above;</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accounts or credit standing with financial institutions or similar credit grantors and credit agencies; and</w:t>
      </w:r>
    </w:p>
    <w:p>
      <w:pPr>
        <w:spacing w:after="0" w:line="198" w:lineRule="exact"/>
        <w:rPr>
          <w:rFonts w:ascii="Times New Roman" w:cs="Times New Roman" w:eastAsia="Times New Roman" w:hAnsi="Times New Roman"/>
          <w:sz w:val="18"/>
          <w:szCs w:val="18"/>
          <w:color w:val="auto"/>
        </w:rPr>
      </w:pPr>
    </w:p>
    <w:p>
      <w:pPr>
        <w:ind w:left="324" w:right="380" w:hanging="324"/>
        <w:spacing w:after="0" w:line="237"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for up to one year the effectiveness of the fraud mitigation and to detect additional identity fraud activity after the first identify fraud occurrence.</w:t>
      </w:r>
    </w:p>
    <w:p>
      <w:pPr>
        <w:spacing w:after="0" w:line="158" w:lineRule="exact"/>
        <w:rPr>
          <w:sz w:val="20"/>
          <w:szCs w:val="20"/>
          <w:color w:val="auto"/>
        </w:rPr>
      </w:pPr>
    </w:p>
    <w:p>
      <w:pPr>
        <w:ind w:left="4" w:firstLine="3"/>
        <w:spacing w:after="0" w:line="250" w:lineRule="auto"/>
        <w:rPr>
          <w:sz w:val="20"/>
          <w:szCs w:val="20"/>
          <w:color w:val="auto"/>
        </w:rPr>
      </w:pPr>
      <w:r>
        <w:rPr>
          <w:rFonts w:ascii="Times New Roman" w:cs="Times New Roman" w:eastAsia="Times New Roman" w:hAnsi="Times New Roman"/>
          <w:sz w:val="18"/>
          <w:szCs w:val="18"/>
          <w:color w:val="auto"/>
        </w:rPr>
        <w:t>However, such monitoring must begin no later than one year after you or a family member first report an identity fraud occurrence to us.</w:t>
      </w:r>
    </w:p>
    <w:p>
      <w:pPr>
        <w:spacing w:after="0" w:line="149" w:lineRule="exact"/>
        <w:rPr>
          <w:sz w:val="20"/>
          <w:szCs w:val="20"/>
          <w:color w:val="auto"/>
        </w:rPr>
      </w:pPr>
    </w:p>
    <w:p>
      <w:pPr>
        <w:ind w:left="4" w:firstLine="3"/>
        <w:spacing w:after="0" w:line="222" w:lineRule="auto"/>
        <w:rPr>
          <w:sz w:val="20"/>
          <w:szCs w:val="20"/>
          <w:color w:val="auto"/>
        </w:rPr>
      </w:pPr>
      <w:r>
        <w:rPr>
          <w:rFonts w:ascii="Times New Roman" w:cs="Times New Roman" w:eastAsia="Times New Roman" w:hAnsi="Times New Roman"/>
          <w:sz w:val="18"/>
          <w:szCs w:val="18"/>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collusion with others.</w:t>
      </w:r>
    </w:p>
    <w:p>
      <w:pPr>
        <w:spacing w:after="0" w:line="165" w:lineRule="exact"/>
        <w:rPr>
          <w:sz w:val="20"/>
          <w:szCs w:val="20"/>
          <w:color w:val="auto"/>
        </w:rPr>
      </w:pPr>
    </w:p>
    <w:p>
      <w:pPr>
        <w:ind w:left="4" w:firstLine="2"/>
        <w:spacing w:after="0" w:line="237" w:lineRule="auto"/>
        <w:rPr>
          <w:sz w:val="20"/>
          <w:szCs w:val="20"/>
          <w:color w:val="auto"/>
        </w:rPr>
      </w:pPr>
      <w:r>
        <w:rPr>
          <w:rFonts w:ascii="Times New Roman" w:cs="Times New Roman" w:eastAsia="Times New Roman" w:hAnsi="Times New Roman"/>
          <w:sz w:val="18"/>
          <w:szCs w:val="18"/>
          <w:color w:val="auto"/>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72" w:lineRule="exact"/>
        <w:rPr>
          <w:sz w:val="20"/>
          <w:szCs w:val="20"/>
          <w:color w:val="auto"/>
        </w:rPr>
      </w:pPr>
    </w:p>
    <w:p>
      <w:pPr>
        <w:ind w:left="4" w:hanging="9"/>
        <w:spacing w:after="0" w:line="237" w:lineRule="auto"/>
        <w:rPr>
          <w:sz w:val="20"/>
          <w:szCs w:val="20"/>
          <w:color w:val="auto"/>
        </w:rPr>
      </w:pPr>
      <w:r>
        <w:rPr>
          <w:rFonts w:ascii="Times New Roman" w:cs="Times New Roman" w:eastAsia="Times New Roman" w:hAnsi="Times New Roman"/>
          <w:sz w:val="18"/>
          <w:szCs w:val="18"/>
          <w:color w:val="auto"/>
        </w:rPr>
        <w:t>In addition to the duties described in Policy Terms, Liability Conditions, Your duties after a loss, you shall notify an applicable law enforcement agency.</w:t>
      </w:r>
    </w:p>
    <w:p>
      <w:pPr>
        <w:sectPr>
          <w:pgSz w:w="11900" w:h="16838" w:orient="portrait"/>
          <w:cols w:equalWidth="0" w:num="1">
            <w:col w:w="9824"/>
          </w:cols>
          <w:pgMar w:left="976" w:top="1116" w:right="1099" w:bottom="1440" w:gutter="0" w:footer="0" w:header="0"/>
        </w:sectPr>
      </w:pPr>
    </w:p>
    <w:bookmarkStart w:id="59" w:name="page60"/>
    <w:bookmarkEnd w:id="59"/>
    <w:p>
      <w:pPr>
        <w:ind w:left="5"/>
        <w:spacing w:after="0"/>
        <w:rPr>
          <w:sz w:val="20"/>
          <w:szCs w:val="20"/>
          <w:color w:val="auto"/>
        </w:rPr>
      </w:pPr>
      <w:r>
        <w:rPr>
          <w:rFonts w:ascii="Times New Roman" w:cs="Times New Roman" w:eastAsia="Times New Roman" w:hAnsi="Times New Roman"/>
          <w:sz w:val="18"/>
          <w:szCs w:val="18"/>
          <w:b w:val="1"/>
          <w:bCs w:val="1"/>
          <w:color w:val="auto"/>
        </w:rPr>
        <w:t>Kidnap expenses</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We will pay up to a maximum of $100,000 for kidnap expenses you or a family member incurs solely and directly as a result of a</w:t>
      </w:r>
    </w:p>
    <w:p>
      <w:pPr>
        <w:spacing w:after="0" w:line="2" w:lineRule="exact"/>
        <w:rPr>
          <w:sz w:val="20"/>
          <w:szCs w:val="20"/>
          <w:color w:val="auto"/>
        </w:rPr>
      </w:pPr>
    </w:p>
    <w:p>
      <w:pPr>
        <w:jc w:val="both"/>
        <w:ind w:left="5"/>
        <w:spacing w:after="0" w:line="218" w:lineRule="auto"/>
        <w:rPr>
          <w:sz w:val="20"/>
          <w:szCs w:val="20"/>
          <w:color w:val="auto"/>
        </w:rPr>
      </w:pPr>
      <w:r>
        <w:rPr>
          <w:rFonts w:ascii="Times New Roman" w:cs="Times New Roman" w:eastAsia="Times New Roman" w:hAnsi="Times New Roman"/>
          <w:sz w:val="18"/>
          <w:szCs w:val="18"/>
          <w:color w:val="auto"/>
        </w:rPr>
        <w:t>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172" w:lineRule="exact"/>
        <w:rPr>
          <w:sz w:val="20"/>
          <w:szCs w:val="20"/>
          <w:color w:val="auto"/>
        </w:rPr>
      </w:pPr>
    </w:p>
    <w:p>
      <w:pPr>
        <w:ind w:left="325" w:hanging="325"/>
        <w:spacing w:after="0"/>
        <w:tabs>
          <w:tab w:leader="none" w:pos="3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or</w:t>
      </w:r>
    </w:p>
    <w:p>
      <w:pPr>
        <w:spacing w:after="0" w:line="184"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 who witnessed the occurrence.</w:t>
      </w:r>
    </w:p>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"Kidnap and ransom occurrence" means the actual or alleged wrongful taking of:</w:t>
      </w:r>
    </w:p>
    <w:p>
      <w:pPr>
        <w:spacing w:after="0" w:line="198" w:lineRule="exact"/>
        <w:rPr>
          <w:sz w:val="20"/>
          <w:szCs w:val="20"/>
          <w:color w:val="auto"/>
        </w:rPr>
      </w:pPr>
    </w:p>
    <w:p>
      <w:pPr>
        <w:ind w:left="325" w:hanging="324"/>
        <w:spacing w:after="0"/>
        <w:tabs>
          <w:tab w:leader="none" w:pos="3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family members; or</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covered relatives while visiting or legally traveling with you or a family member;</w:t>
      </w:r>
    </w:p>
    <w:p>
      <w:pPr>
        <w:spacing w:after="0" w:line="184" w:lineRule="exact"/>
        <w:rPr>
          <w:rFonts w:ascii="Times New Roman" w:cs="Times New Roman" w:eastAsia="Times New Roman" w:hAnsi="Times New Roman"/>
          <w:sz w:val="18"/>
          <w:szCs w:val="18"/>
          <w:color w:val="auto"/>
        </w:rPr>
      </w:pPr>
    </w:p>
    <w:p>
      <w:pPr>
        <w:jc w:val="both"/>
        <w:ind w:left="325" w:hanging="324"/>
        <w:spacing w:after="0" w:line="231" w:lineRule="auto"/>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"Kidnap expenses" means the reasonable costs for:</w:t>
      </w:r>
    </w:p>
    <w:p>
      <w:pPr>
        <w:spacing w:after="0" w:line="198" w:lineRule="exact"/>
        <w:rPr>
          <w:sz w:val="20"/>
          <w:szCs w:val="20"/>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negotiator;</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security consultant;</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security guard services;</w:t>
      </w:r>
    </w:p>
    <w:p>
      <w:pPr>
        <w:spacing w:after="0" w:line="198"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public relations consultant;</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meals, lodging and phone expenses incurred by you or a family member;</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communications and recording equipment;</w:t>
      </w:r>
    </w:p>
    <w:p>
      <w:pPr>
        <w:spacing w:after="0" w:line="198" w:lineRule="exact"/>
        <w:rPr>
          <w:rFonts w:ascii="Times New Roman" w:cs="Times New Roman" w:eastAsia="Times New Roman" w:hAnsi="Times New Roman"/>
          <w:sz w:val="18"/>
          <w:szCs w:val="18"/>
          <w:color w:val="auto"/>
        </w:rPr>
      </w:pPr>
    </w:p>
    <w:p>
      <w:pPr>
        <w:ind w:left="325" w:right="360" w:hanging="324"/>
        <w:spacing w:after="0" w:line="237"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medical, cosmetic, psychiatric and dental expenses incurred by a kidnapped person within 12 months from that person's release;</w:t>
      </w:r>
    </w:p>
    <w:p>
      <w:pPr>
        <w:spacing w:after="0" w:line="158"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w:t>
      </w:r>
    </w:p>
    <w:p>
      <w:pPr>
        <w:spacing w:after="0" w:line="198"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forensic analyst;</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up to $25,000.</w:t>
      </w:r>
    </w:p>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However, "kidnap expenses" does not include expenses incurred due to any kidnap and ransom occurrence caused by:</w:t>
      </w:r>
    </w:p>
    <w:p>
      <w:pPr>
        <w:spacing w:after="0" w:line="198" w:lineRule="exact"/>
        <w:rPr>
          <w:sz w:val="20"/>
          <w:szCs w:val="20"/>
          <w:color w:val="auto"/>
        </w:rPr>
      </w:pPr>
    </w:p>
    <w:p>
      <w:pPr>
        <w:ind w:left="325" w:hanging="324"/>
        <w:spacing w:after="0"/>
        <w:tabs>
          <w:tab w:leader="none" w:pos="3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w:t>
      </w:r>
    </w:p>
    <w:p>
      <w:pPr>
        <w:spacing w:after="0" w:line="184"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guardian, or former guardian of you, a family member or covered relative;</w:t>
      </w:r>
    </w:p>
    <w:p>
      <w:pPr>
        <w:spacing w:after="0" w:line="198"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estranged spouse or domestic partner, or former spouse or domestic partner of you or a family member;</w:t>
      </w:r>
    </w:p>
    <w:p>
      <w:pPr>
        <w:spacing w:after="0" w:line="184" w:lineRule="exact"/>
        <w:rPr>
          <w:rFonts w:ascii="Times New Roman" w:cs="Times New Roman" w:eastAsia="Times New Roman" w:hAnsi="Times New Roman"/>
          <w:sz w:val="18"/>
          <w:szCs w:val="18"/>
          <w:color w:val="auto"/>
        </w:rPr>
      </w:pPr>
    </w:p>
    <w:p>
      <w:pPr>
        <w:jc w:val="both"/>
        <w:ind w:left="325" w:hanging="324"/>
        <w:spacing w:after="0" w:line="231"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spacing w:after="0" w:line="158" w:lineRule="exact"/>
        <w:rPr>
          <w:rFonts w:ascii="Times New Roman" w:cs="Times New Roman" w:eastAsia="Times New Roman" w:hAnsi="Times New Roman"/>
          <w:sz w:val="18"/>
          <w:szCs w:val="18"/>
          <w:color w:val="auto"/>
        </w:rPr>
      </w:pPr>
    </w:p>
    <w:p>
      <w:pPr>
        <w:ind w:left="325" w:hanging="324"/>
        <w:spacing w:after="0"/>
        <w:tabs>
          <w:tab w:leader="none" w:pos="3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authority,</w:t>
      </w:r>
    </w:p>
    <w:p>
      <w:pPr>
        <w:spacing w:after="0" w:line="185" w:lineRule="exact"/>
        <w:rPr>
          <w:sz w:val="20"/>
          <w:szCs w:val="20"/>
          <w:color w:val="auto"/>
        </w:rPr>
      </w:pPr>
    </w:p>
    <w:p>
      <w:pPr>
        <w:ind w:left="965" w:hanging="316"/>
        <w:spacing w:after="0"/>
        <w:tabs>
          <w:tab w:leader="none" w:pos="965" w:val="left"/>
        </w:tabs>
        <w:numPr>
          <w:ilvl w:val="0"/>
          <w:numId w:val="8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or any person acting on behalf of any of the above, whether acting alone or in collusion with others.</w:t>
      </w:r>
    </w:p>
    <w:p>
      <w:pPr>
        <w:sectPr>
          <w:pgSz w:w="11900" w:h="16838" w:orient="portrait"/>
          <w:cols w:equalWidth="0" w:num="1">
            <w:col w:w="9825"/>
          </w:cols>
          <w:pgMar w:left="975" w:top="1116" w:right="1099" w:bottom="1440" w:gutter="0" w:footer="0" w:header="0"/>
        </w:sectPr>
      </w:pPr>
    </w:p>
    <w:bookmarkStart w:id="60" w:name="page61"/>
    <w:bookmarkEnd w:id="60"/>
    <w:p>
      <w:pPr>
        <w:ind w:left="9"/>
        <w:spacing w:after="0"/>
        <w:rPr>
          <w:sz w:val="20"/>
          <w:szCs w:val="20"/>
          <w:color w:val="auto"/>
        </w:rPr>
      </w:pPr>
      <w:r>
        <w:rPr>
          <w:rFonts w:ascii="Times New Roman" w:cs="Times New Roman" w:eastAsia="Times New Roman" w:hAnsi="Times New Roman"/>
          <w:sz w:val="18"/>
          <w:szCs w:val="18"/>
          <w:color w:val="auto"/>
        </w:rPr>
        <w:t>"Covered relative" means the following relatives of you, or a spouse or domestic partner who lives with you, or any family member:</w:t>
      </w:r>
    </w:p>
    <w:p>
      <w:pPr>
        <w:spacing w:after="0" w:line="185" w:lineRule="exact"/>
        <w:rPr>
          <w:sz w:val="20"/>
          <w:szCs w:val="20"/>
          <w:color w:val="auto"/>
        </w:rPr>
      </w:pPr>
    </w:p>
    <w:p>
      <w:pPr>
        <w:ind w:left="329" w:hanging="324"/>
        <w:spacing w:after="0"/>
        <w:tabs>
          <w:tab w:leader="none" w:pos="3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their children or other descendents of theirs;</w:t>
      </w:r>
    </w:p>
    <w:p>
      <w:pPr>
        <w:spacing w:after="0" w:line="198" w:lineRule="exact"/>
        <w:rPr>
          <w:rFonts w:ascii="Times New Roman" w:cs="Times New Roman" w:eastAsia="Times New Roman" w:hAnsi="Times New Roman"/>
          <w:sz w:val="18"/>
          <w:szCs w:val="18"/>
          <w:color w:val="auto"/>
        </w:rPr>
      </w:pPr>
    </w:p>
    <w:p>
      <w:pPr>
        <w:ind w:left="329" w:hanging="324"/>
        <w:spacing w:after="0"/>
        <w:tabs>
          <w:tab w:leader="none" w:pos="3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grandparents or other ancestors of theirs; or</w:t>
      </w:r>
    </w:p>
    <w:p>
      <w:pPr>
        <w:spacing w:after="0" w:line="184" w:lineRule="exact"/>
        <w:rPr>
          <w:rFonts w:ascii="Times New Roman" w:cs="Times New Roman" w:eastAsia="Times New Roman" w:hAnsi="Times New Roman"/>
          <w:sz w:val="18"/>
          <w:szCs w:val="18"/>
          <w:color w:val="auto"/>
        </w:rPr>
      </w:pPr>
    </w:p>
    <w:p>
      <w:pPr>
        <w:ind w:left="329" w:hanging="324"/>
        <w:spacing w:after="0"/>
        <w:tabs>
          <w:tab w:leader="none" w:pos="3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siblings, their children or other descendents of theirs;</w:t>
      </w:r>
    </w:p>
    <w:p>
      <w:pPr>
        <w:spacing w:after="0" w:line="185" w:lineRule="exact"/>
        <w:rPr>
          <w:sz w:val="20"/>
          <w:szCs w:val="20"/>
          <w:color w:val="auto"/>
        </w:rPr>
      </w:pPr>
    </w:p>
    <w:p>
      <w:pPr>
        <w:ind w:left="9" w:right="120" w:firstLine="4"/>
        <w:spacing w:after="0" w:line="250" w:lineRule="auto"/>
        <w:rPr>
          <w:sz w:val="20"/>
          <w:szCs w:val="20"/>
          <w:color w:val="auto"/>
        </w:rPr>
      </w:pPr>
      <w:r>
        <w:rPr>
          <w:rFonts w:ascii="Times New Roman" w:cs="Times New Roman" w:eastAsia="Times New Roman" w:hAnsi="Times New Roman"/>
          <w:sz w:val="18"/>
          <w:szCs w:val="18"/>
          <w:color w:val="auto"/>
        </w:rPr>
        <w:t>who do not live with you, including spouses or domestic partners of all of the above. Parents, grandparents and other ancestors include adoptive parents, stepparents and stepgrandparents.</w:t>
      </w:r>
    </w:p>
    <w:p>
      <w:pPr>
        <w:spacing w:after="0" w:line="145" w:lineRule="exact"/>
        <w:rPr>
          <w:sz w:val="20"/>
          <w:szCs w:val="20"/>
          <w:color w:val="auto"/>
        </w:rPr>
      </w:pPr>
    </w:p>
    <w:p>
      <w:pPr>
        <w:ind w:left="9" w:firstLine="11"/>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Reputational injury. </w:t>
      </w:r>
      <w:r>
        <w:rPr>
          <w:rFonts w:ascii="Times New Roman" w:cs="Times New Roman" w:eastAsia="Times New Roman" w:hAnsi="Times New Roman"/>
          <w:sz w:val="18"/>
          <w:szCs w:val="18"/>
          <w:color w:val="auto"/>
        </w:rPr>
        <w:t>If we are defending you or a family member in a suit seeking covered damages, we will pay reasonable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fees or expenses that you or a family member incur for services provided by a reputation management firm to minimize</w:t>
      </w:r>
    </w:p>
    <w:p>
      <w:pPr>
        <w:ind w:left="9"/>
        <w:spacing w:after="0" w:line="226" w:lineRule="auto"/>
        <w:rPr>
          <w:sz w:val="20"/>
          <w:szCs w:val="20"/>
          <w:color w:val="auto"/>
        </w:rPr>
      </w:pPr>
      <w:r>
        <w:rPr>
          <w:rFonts w:ascii="Times New Roman" w:cs="Times New Roman" w:eastAsia="Times New Roman" w:hAnsi="Times New Roman"/>
          <w:sz w:val="18"/>
          <w:szCs w:val="18"/>
          <w:color w:val="auto"/>
        </w:rPr>
        <w:t>potential injury to the reputation of you or a family member solely as a result of personal injury or property damage, caused by an occurrence if:</w:t>
      </w:r>
    </w:p>
    <w:p>
      <w:pPr>
        <w:spacing w:after="0" w:line="157" w:lineRule="exact"/>
        <w:rPr>
          <w:sz w:val="20"/>
          <w:szCs w:val="20"/>
          <w:color w:val="auto"/>
        </w:rPr>
      </w:pPr>
    </w:p>
    <w:p>
      <w:pPr>
        <w:ind w:left="329" w:hanging="329"/>
        <w:spacing w:after="0" w:line="237" w:lineRule="auto"/>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reputational injury is reported to us as soon as reasonably possible but not later than 30 days after the personal injury or property damage occurrence; and</w:t>
      </w:r>
    </w:p>
    <w:p>
      <w:pPr>
        <w:spacing w:after="0" w:line="171" w:lineRule="exact"/>
        <w:rPr>
          <w:rFonts w:ascii="Times New Roman" w:cs="Times New Roman" w:eastAsia="Times New Roman" w:hAnsi="Times New Roman"/>
          <w:sz w:val="18"/>
          <w:szCs w:val="18"/>
          <w:color w:val="auto"/>
        </w:rPr>
      </w:pPr>
    </w:p>
    <w:p>
      <w:pPr>
        <w:ind w:left="329" w:hanging="329"/>
        <w:spacing w:after="0" w:line="237" w:lineRule="auto"/>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obtain approval of the reputation management firm from us before incurring any fees or expenses, unless stated otherwise or an exclusion applies. There is no deductible for this coverage.</w:t>
      </w:r>
    </w:p>
    <w:p>
      <w:pPr>
        <w:spacing w:after="0" w:line="158" w:lineRule="exact"/>
        <w:rPr>
          <w:sz w:val="20"/>
          <w:szCs w:val="20"/>
          <w:color w:val="auto"/>
        </w:rPr>
      </w:pPr>
    </w:p>
    <w:p>
      <w:pPr>
        <w:ind w:left="9" w:firstLine="4"/>
        <w:spacing w:after="0" w:line="250" w:lineRule="auto"/>
        <w:rPr>
          <w:sz w:val="20"/>
          <w:szCs w:val="20"/>
          <w:color w:val="auto"/>
        </w:rPr>
      </w:pPr>
      <w:r>
        <w:rPr>
          <w:rFonts w:ascii="Times New Roman" w:cs="Times New Roman" w:eastAsia="Times New Roman" w:hAnsi="Times New Roman"/>
          <w:sz w:val="18"/>
          <w:szCs w:val="18"/>
          <w:color w:val="auto"/>
        </w:rPr>
        <w:t>A Reputation management firm means a professional public relations consulting firm, a professional security consulting firm or a professional media management consulting firm.</w:t>
      </w:r>
    </w:p>
    <w:p>
      <w:pPr>
        <w:spacing w:after="0" w:line="149" w:lineRule="exact"/>
        <w:rPr>
          <w:sz w:val="20"/>
          <w:szCs w:val="20"/>
          <w:color w:val="auto"/>
        </w:rPr>
      </w:pPr>
    </w:p>
    <w:p>
      <w:pPr>
        <w:ind w:left="9" w:firstLine="4"/>
        <w:spacing w:after="0" w:line="222" w:lineRule="auto"/>
        <w:rPr>
          <w:sz w:val="20"/>
          <w:szCs w:val="20"/>
          <w:color w:val="auto"/>
        </w:rPr>
      </w:pPr>
      <w:r>
        <w:rPr>
          <w:rFonts w:ascii="Times New Roman" w:cs="Times New Roman" w:eastAsia="Times New Roman" w:hAnsi="Times New Roman"/>
          <w:sz w:val="18"/>
          <w:szCs w:val="18"/>
          <w:color w:val="auto"/>
        </w:rPr>
        <w:t>The maximum amount of coverage for Reputational injury available for any one occurrence is $25,000 or the amount shown in the Coverage Summary. We will not pay more than this amount in any one occurrence for covered damages regardless of how many claims</w:t>
      </w:r>
    </w:p>
    <w:p>
      <w:pPr>
        <w:spacing w:after="0" w:line="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or people are involved in the occurrence.</w:t>
      </w:r>
    </w:p>
    <w:p>
      <w:pPr>
        <w:spacing w:after="0" w:line="165" w:lineRule="exact"/>
        <w:rPr>
          <w:sz w:val="20"/>
          <w:szCs w:val="20"/>
          <w:color w:val="auto"/>
        </w:rPr>
      </w:pPr>
    </w:p>
    <w:p>
      <w:pPr>
        <w:ind w:left="9" w:hanging="1"/>
        <w:spacing w:after="0" w:line="222" w:lineRule="auto"/>
        <w:rPr>
          <w:sz w:val="20"/>
          <w:szCs w:val="20"/>
          <w:color w:val="auto"/>
        </w:rPr>
      </w:pPr>
      <w:r>
        <w:rPr>
          <w:rFonts w:ascii="Times New Roman" w:cs="Times New Roman" w:eastAsia="Times New Roman" w:hAnsi="Times New Roman"/>
          <w:sz w:val="18"/>
          <w:szCs w:val="18"/>
          <w:color w:val="auto"/>
        </w:rPr>
        <w:t>The maximum annual amount of coverage for Reputational injury shown in the Coverage Summary is the most we will pay for the sum of all covered damages you or a family member incur during the policy period regardless of the number of claims, people, or</w:t>
      </w:r>
    </w:p>
    <w:p>
      <w:pPr>
        <w:spacing w:after="0" w:line="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occurrences.</w:t>
      </w:r>
    </w:p>
    <w:p>
      <w:pPr>
        <w:spacing w:after="0" w:line="16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This coverage does not apply to loss caused by a wrongful employment act covered by Employment Practices Liability Insurance.</w:t>
      </w:r>
    </w:p>
    <w:p>
      <w:pPr>
        <w:sectPr>
          <w:pgSz w:w="11900" w:h="16838" w:orient="portrait"/>
          <w:cols w:equalWidth="0" w:num="1">
            <w:col w:w="9829"/>
          </w:cols>
          <w:pgMar w:left="971" w:top="1120" w:right="1099" w:bottom="1440" w:gutter="0" w:footer="0" w:header="0"/>
        </w:sectPr>
      </w:pPr>
    </w:p>
    <w:bookmarkStart w:id="61" w:name="page62"/>
    <w:bookmarkEnd w:id="61"/>
    <w:p>
      <w:pPr>
        <w:ind w:left="14"/>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p>
      <w:pPr>
        <w:spacing w:after="0" w:line="216"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These exclusions apply to your Group Personal Excess Liability Coverage, unless stated otherwise.</w:t>
      </w:r>
    </w:p>
    <w:p>
      <w:pPr>
        <w:spacing w:after="0" w:line="194" w:lineRule="exact"/>
        <w:rPr>
          <w:sz w:val="20"/>
          <w:szCs w:val="20"/>
          <w:color w:val="auto"/>
        </w:rPr>
      </w:pPr>
    </w:p>
    <w:p>
      <w:pPr>
        <w:jc w:val="both"/>
        <w:ind w:left="14" w:hanging="3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Aircraft. </w:t>
      </w:r>
      <w:r>
        <w:rPr>
          <w:rFonts w:ascii="Times New Roman" w:cs="Times New Roman" w:eastAsia="Times New Roman" w:hAnsi="Times New Roman"/>
          <w:sz w:val="18"/>
          <w:szCs w:val="18"/>
          <w:color w:val="auto"/>
        </w:rPr>
        <w:t>We do not cover any damages arising out of the ownership, maintenance, use, loading, unloading, or towing of any aircraft,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aircraft chartered with crew by you. We do not cover any property damages to aircraft rented to, owned by, or in the care, custody or control of a covered person.</w:t>
      </w:r>
    </w:p>
    <w:p>
      <w:pPr>
        <w:spacing w:after="0" w:line="169" w:lineRule="exact"/>
        <w:rPr>
          <w:sz w:val="20"/>
          <w:szCs w:val="20"/>
          <w:color w:val="auto"/>
        </w:rPr>
      </w:pPr>
    </w:p>
    <w:p>
      <w:pPr>
        <w:jc w:val="both"/>
        <w:ind w:left="14" w:firstLine="2"/>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Hovercraft. </w:t>
      </w:r>
      <w:r>
        <w:rPr>
          <w:rFonts w:ascii="Times New Roman" w:cs="Times New Roman" w:eastAsia="Times New Roman" w:hAnsi="Times New Roman"/>
          <w:sz w:val="18"/>
          <w:szCs w:val="18"/>
          <w:color w:val="auto"/>
        </w:rPr>
        <w:t>We do not cover any damages arising out of the ownership, maintenance, use, loading, unloading or towing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hovercraft. We do not cover any property damages to hovercraft rented to, owned by, or in the care, custody or control of a covered person.</w:t>
      </w:r>
    </w:p>
    <w:p>
      <w:pPr>
        <w:spacing w:after="0" w:line="169" w:lineRule="exact"/>
        <w:rPr>
          <w:sz w:val="20"/>
          <w:szCs w:val="20"/>
          <w:color w:val="auto"/>
        </w:rPr>
      </w:pPr>
    </w:p>
    <w:p>
      <w:pPr>
        <w:jc w:val="both"/>
        <w:ind w:left="14" w:firstLine="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motorized land vehicle:</w:t>
      </w:r>
    </w:p>
    <w:p>
      <w:pPr>
        <w:spacing w:after="0" w:line="159" w:lineRule="exact"/>
        <w:rPr>
          <w:sz w:val="20"/>
          <w:szCs w:val="20"/>
          <w:color w:val="auto"/>
        </w:rPr>
      </w:pPr>
    </w:p>
    <w:p>
      <w:pPr>
        <w:ind w:left="334" w:right="580" w:hanging="324"/>
        <w:spacing w:after="0" w:line="237" w:lineRule="auto"/>
        <w:tabs>
          <w:tab w:leader="none" w:pos="32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instruction, practice, preparation for, or participation in, any competitive, prearranged or organized racing, speed contest, rally, gymkhana, sports event, stunting activity, or timed event of any kind; or</w:t>
      </w:r>
    </w:p>
    <w:p>
      <w:pPr>
        <w:spacing w:after="0" w:line="171"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racetrack, test track or other course of any kind.</w:t>
      </w:r>
    </w:p>
    <w:p>
      <w:pPr>
        <w:spacing w:after="0" w:line="181" w:lineRule="exact"/>
        <w:rPr>
          <w:sz w:val="20"/>
          <w:szCs w:val="20"/>
          <w:color w:val="auto"/>
        </w:rPr>
      </w:pPr>
    </w:p>
    <w:p>
      <w:pPr>
        <w:jc w:val="both"/>
        <w:ind w:left="1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Watercraft and aircraft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watercraft or aircraft during any instruction, practice, preparation for, or participation in, any competitive, prearranged or organized</w:t>
      </w:r>
    </w:p>
    <w:p>
      <w:pPr>
        <w:jc w:val="both"/>
        <w:ind w:left="14"/>
        <w:spacing w:after="0" w:line="226" w:lineRule="auto"/>
        <w:rPr>
          <w:sz w:val="20"/>
          <w:szCs w:val="20"/>
          <w:color w:val="auto"/>
        </w:rPr>
      </w:pPr>
      <w:r>
        <w:rPr>
          <w:rFonts w:ascii="Times New Roman" w:cs="Times New Roman" w:eastAsia="Times New Roman" w:hAnsi="Times New Roman"/>
          <w:sz w:val="18"/>
          <w:szCs w:val="18"/>
          <w:color w:val="auto"/>
        </w:rPr>
        <w:t>racing, speed contest, rally, sports event, stunting activity or timed event of any kind. This exclusion does not apply to you or a family member for sailboatracing even if the sailboat is equipped with an auxiliary motor.</w:t>
      </w:r>
    </w:p>
    <w:p>
      <w:pPr>
        <w:spacing w:after="0" w:line="153"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Motorized land vehicle-related jobs. </w:t>
      </w:r>
      <w:r>
        <w:rPr>
          <w:rFonts w:ascii="Times New Roman" w:cs="Times New Roman" w:eastAsia="Times New Roman" w:hAnsi="Times New Roman"/>
          <w:sz w:val="18"/>
          <w:szCs w:val="18"/>
          <w:color w:val="auto"/>
        </w:rPr>
        <w:t>We do not cover any damages arising out of the ownership, maintenance, or use of a motorized</w:t>
      </w:r>
    </w:p>
    <w:p>
      <w:pPr>
        <w:spacing w:after="0" w:line="6" w:lineRule="exact"/>
        <w:rPr>
          <w:sz w:val="20"/>
          <w:szCs w:val="20"/>
          <w:color w:val="auto"/>
        </w:rPr>
      </w:pPr>
    </w:p>
    <w:p>
      <w:pPr>
        <w:jc w:val="both"/>
        <w:ind w:left="14"/>
        <w:spacing w:after="0" w:line="220" w:lineRule="auto"/>
        <w:rPr>
          <w:sz w:val="20"/>
          <w:szCs w:val="20"/>
          <w:color w:val="auto"/>
        </w:rPr>
      </w:pPr>
      <w:r>
        <w:rPr>
          <w:rFonts w:ascii="Times New Roman" w:cs="Times New Roman" w:eastAsia="Times New Roman" w:hAnsi="Times New Roman"/>
          <w:sz w:val="17"/>
          <w:szCs w:val="17"/>
          <w:color w:val="auto"/>
        </w:rPr>
        <w:t>land vehicle by 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w:t>
      </w:r>
    </w:p>
    <w:p>
      <w:pPr>
        <w:spacing w:after="0" w:line="2"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furnished to you or a family member.</w:t>
      </w:r>
    </w:p>
    <w:p>
      <w:pPr>
        <w:spacing w:after="0" w:line="161" w:lineRule="exact"/>
        <w:rPr>
          <w:sz w:val="20"/>
          <w:szCs w:val="20"/>
          <w:color w:val="auto"/>
        </w:rPr>
      </w:pPr>
    </w:p>
    <w:p>
      <w:pPr>
        <w:jc w:val="both"/>
        <w:ind w:left="14" w:firstLine="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Watercraft related jobs. </w:t>
      </w:r>
      <w:r>
        <w:rPr>
          <w:rFonts w:ascii="Times New Roman" w:cs="Times New Roman" w:eastAsia="Times New Roman" w:hAnsi="Times New Roman"/>
          <w:sz w:val="18"/>
          <w:szCs w:val="18"/>
          <w:color w:val="auto"/>
        </w:rPr>
        <w:t>We do not cover any damages arising out of the ownership, maintenance, or use of a watercraft by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is engaged by or employed by, or is operating a marina, boat repair yard, shipyard, yacht club, boat sales agency, boat service</w:t>
      </w:r>
    </w:p>
    <w:p>
      <w:pPr>
        <w:jc w:val="both"/>
        <w:ind w:left="14"/>
        <w:spacing w:after="0" w:line="218" w:lineRule="auto"/>
        <w:rPr>
          <w:sz w:val="20"/>
          <w:szCs w:val="20"/>
          <w:color w:val="auto"/>
        </w:rPr>
      </w:pPr>
      <w:r>
        <w:rPr>
          <w:rFonts w:ascii="Times New Roman" w:cs="Times New Roman" w:eastAsia="Times New Roman" w:hAnsi="Times New Roman"/>
          <w:sz w:val="18"/>
          <w:szCs w:val="18"/>
          <w:color w:val="auto"/>
        </w:rPr>
        <w:t>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168" w:lineRule="exact"/>
        <w:rPr>
          <w:sz w:val="20"/>
          <w:szCs w:val="20"/>
          <w:color w:val="auto"/>
        </w:rPr>
      </w:pPr>
    </w:p>
    <w:p>
      <w:pPr>
        <w:jc w:val="both"/>
        <w:ind w:left="14" w:firstLine="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and watercraft loading. </w:t>
      </w:r>
      <w:r>
        <w:rPr>
          <w:rFonts w:ascii="Times New Roman" w:cs="Times New Roman" w:eastAsia="Times New Roman" w:hAnsi="Times New Roman"/>
          <w:sz w:val="18"/>
          <w:szCs w:val="18"/>
          <w:color w:val="auto"/>
        </w:rPr>
        <w:t>We do not cover any person or organization, other than you or a family member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or a family member's employees, with respect to the loading or unloading of motorized land vehicles or watercraft.</w:t>
      </w:r>
    </w:p>
    <w:p>
      <w:pPr>
        <w:spacing w:after="0" w:line="155"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Workers' compensation or disability. </w:t>
      </w:r>
      <w:r>
        <w:rPr>
          <w:rFonts w:ascii="Times New Roman" w:cs="Times New Roman" w:eastAsia="Times New Roman" w:hAnsi="Times New Roman"/>
          <w:sz w:val="18"/>
          <w:szCs w:val="18"/>
          <w:color w:val="auto"/>
        </w:rPr>
        <w:t>We do not cover any damages a covered person is legally:</w:t>
      </w:r>
    </w:p>
    <w:p>
      <w:pPr>
        <w:spacing w:after="0" w:line="202" w:lineRule="exact"/>
        <w:rPr>
          <w:sz w:val="20"/>
          <w:szCs w:val="20"/>
          <w:color w:val="auto"/>
        </w:rPr>
      </w:pPr>
    </w:p>
    <w:p>
      <w:pPr>
        <w:ind w:left="334" w:hanging="324"/>
        <w:spacing w:after="0"/>
        <w:tabs>
          <w:tab w:leader="none" w:pos="33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provide; or</w:t>
      </w:r>
    </w:p>
    <w:p>
      <w:pPr>
        <w:spacing w:after="0" w:line="185" w:lineRule="exact"/>
        <w:rPr>
          <w:sz w:val="20"/>
          <w:szCs w:val="20"/>
          <w:color w:val="auto"/>
        </w:rPr>
      </w:pPr>
    </w:p>
    <w:p>
      <w:pPr>
        <w:ind w:left="974" w:hanging="316"/>
        <w:spacing w:after="0"/>
        <w:tabs>
          <w:tab w:leader="none" w:pos="974" w:val="left"/>
        </w:tabs>
        <w:numPr>
          <w:ilvl w:val="1"/>
          <w:numId w:val="8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voluntarily provides under any:</w:t>
      </w:r>
    </w:p>
    <w:p>
      <w:pPr>
        <w:spacing w:after="0" w:line="182" w:lineRule="exact"/>
        <w:rPr>
          <w:rFonts w:ascii="Courier New" w:cs="Courier New" w:eastAsia="Courier New" w:hAnsi="Courier New"/>
          <w:sz w:val="18"/>
          <w:szCs w:val="18"/>
          <w:color w:val="auto"/>
        </w:rPr>
      </w:pPr>
    </w:p>
    <w:p>
      <w:pPr>
        <w:ind w:left="334" w:hanging="324"/>
        <w:spacing w:after="0"/>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198"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w:t>
      </w:r>
    </w:p>
    <w:p>
      <w:pPr>
        <w:spacing w:after="0" w:line="184"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compensation; or</w:t>
      </w:r>
    </w:p>
    <w:p>
      <w:pPr>
        <w:spacing w:after="0" w:line="184"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laws.</w:t>
      </w:r>
    </w:p>
    <w:p>
      <w:pPr>
        <w:spacing w:after="0" w:line="198" w:lineRule="exact"/>
        <w:rPr>
          <w:sz w:val="20"/>
          <w:szCs w:val="20"/>
          <w:color w:val="auto"/>
        </w:rPr>
      </w:pPr>
    </w:p>
    <w:p>
      <w:pPr>
        <w:jc w:val="both"/>
        <w:ind w:left="14" w:firstLine="12"/>
        <w:spacing w:after="0" w:line="226" w:lineRule="auto"/>
        <w:rPr>
          <w:sz w:val="20"/>
          <w:szCs w:val="20"/>
          <w:color w:val="auto"/>
        </w:rPr>
      </w:pPr>
      <w:r>
        <w:rPr>
          <w:rFonts w:ascii="Times New Roman" w:cs="Times New Roman" w:eastAsia="Times New Roman" w:hAnsi="Times New Roman"/>
          <w:sz w:val="18"/>
          <w:szCs w:val="18"/>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167" w:lineRule="exact"/>
        <w:rPr>
          <w:sz w:val="20"/>
          <w:szCs w:val="20"/>
          <w:color w:val="auto"/>
        </w:rPr>
      </w:pPr>
    </w:p>
    <w:p>
      <w:pPr>
        <w:jc w:val="both"/>
        <w:ind w:left="14"/>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Director's liability, </w:t>
      </w:r>
      <w:r>
        <w:rPr>
          <w:rFonts w:ascii="Times New Roman" w:cs="Times New Roman" w:eastAsia="Times New Roman" w:hAnsi="Times New Roman"/>
          <w:sz w:val="18"/>
          <w:szCs w:val="18"/>
          <w:color w:val="auto"/>
        </w:rPr>
        <w:t>We do not cover any damages for any covered person's actions or failure to act as an officer or member of a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of any corporation or organization. However, we do cover such damages if you are or a family member is an officer or member of a board of directors of a:</w:t>
      </w:r>
    </w:p>
    <w:p>
      <w:pPr>
        <w:spacing w:after="0" w:line="173" w:lineRule="exact"/>
        <w:rPr>
          <w:sz w:val="20"/>
          <w:szCs w:val="20"/>
          <w:color w:val="auto"/>
        </w:rPr>
      </w:pPr>
    </w:p>
    <w:p>
      <w:pPr>
        <w:ind w:left="314" w:hanging="314"/>
        <w:spacing w:after="0"/>
        <w:tabs>
          <w:tab w:leader="none" w:pos="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homeowner, condominium or cooperative association; or</w:t>
      </w:r>
    </w:p>
    <w:p>
      <w:pPr>
        <w:sectPr>
          <w:pgSz w:w="11900" w:h="16838" w:orient="portrait"/>
          <w:cols w:equalWidth="0" w:num="1">
            <w:col w:w="9834"/>
          </w:cols>
          <w:pgMar w:left="966" w:top="1116" w:right="1099" w:bottom="1440" w:gutter="0" w:footer="0" w:header="0"/>
        </w:sectPr>
      </w:pPr>
    </w:p>
    <w:bookmarkStart w:id="62" w:name="page63"/>
    <w:bookmarkEnd w:id="62"/>
    <w:p>
      <w:pPr>
        <w:ind w:left="314" w:hanging="314"/>
        <w:spacing w:after="0"/>
        <w:tabs>
          <w:tab w:leader="none" w:pos="3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profit corporation or organization for which he or she is not compensated; unless another exclusion applies.</w:t>
      </w:r>
    </w:p>
    <w:p>
      <w:pPr>
        <w:spacing w:after="0" w:line="18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Damage to covered person's property. </w:t>
      </w:r>
      <w:r>
        <w:rPr>
          <w:rFonts w:ascii="Times New Roman" w:cs="Times New Roman" w:eastAsia="Times New Roman" w:hAnsi="Times New Roman"/>
          <w:sz w:val="18"/>
          <w:szCs w:val="18"/>
          <w:color w:val="auto"/>
        </w:rPr>
        <w:t>We do not cover any person for property damage to property owned by any covered person.</w:t>
      </w:r>
    </w:p>
    <w:p>
      <w:pPr>
        <w:spacing w:after="0" w:line="198" w:lineRule="exact"/>
        <w:rPr>
          <w:sz w:val="20"/>
          <w:szCs w:val="20"/>
          <w:color w:val="auto"/>
        </w:rPr>
      </w:pPr>
    </w:p>
    <w:p>
      <w:pPr>
        <w:jc w:val="both"/>
        <w:ind w:left="14" w:firstLine="1"/>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Damage to property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your care. </w:t>
      </w:r>
      <w:r>
        <w:rPr>
          <w:rFonts w:ascii="Times New Roman" w:cs="Times New Roman" w:eastAsia="Times New Roman" w:hAnsi="Times New Roman"/>
          <w:sz w:val="18"/>
          <w:szCs w:val="18"/>
          <w:color w:val="auto"/>
        </w:rPr>
        <w:t>We do not cover any person for property damage to property rented to, occupied by, used by,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care of any covered person, to the extent that the covered person is required by contract to provide insurance. But we do cover such damages for loss caused by fire, smoke, or explosion unless another exclusion applies.</w:t>
      </w:r>
    </w:p>
    <w:p>
      <w:pPr>
        <w:spacing w:after="0" w:line="169" w:lineRule="exact"/>
        <w:rPr>
          <w:sz w:val="20"/>
          <w:szCs w:val="20"/>
          <w:color w:val="auto"/>
        </w:rPr>
      </w:pPr>
    </w:p>
    <w:p>
      <w:pPr>
        <w:jc w:val="both"/>
        <w:ind w:left="14" w:firstLine="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Wrongful employment act. </w:t>
      </w:r>
      <w:r>
        <w:rPr>
          <w:rFonts w:ascii="Times New Roman" w:cs="Times New Roman" w:eastAsia="Times New Roman" w:hAnsi="Times New Roman"/>
          <w:sz w:val="18"/>
          <w:szCs w:val="18"/>
          <w:color w:val="auto"/>
        </w:rPr>
        <w:t>We do not cover any damages arising out of a wrongful employment act. A wrongful employment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employment discrimination, sexual harassment, or wrongful termination of any residential staff actually or allegedly committed or attempted by a covered person while acting in the capacity as an employer, that violates applicable employment law of</w:t>
      </w:r>
    </w:p>
    <w:p>
      <w:pPr>
        <w:spacing w:after="0" w:line="3" w:lineRule="exact"/>
        <w:rPr>
          <w:sz w:val="20"/>
          <w:szCs w:val="20"/>
          <w:color w:val="auto"/>
        </w:rPr>
      </w:pPr>
    </w:p>
    <w:p>
      <w:pPr>
        <w:jc w:val="both"/>
        <w:ind w:left="14"/>
        <w:spacing w:after="0" w:line="226" w:lineRule="auto"/>
        <w:rPr>
          <w:sz w:val="20"/>
          <w:szCs w:val="20"/>
          <w:color w:val="auto"/>
        </w:rPr>
      </w:pPr>
      <w:r>
        <w:rPr>
          <w:rFonts w:ascii="Times New Roman" w:cs="Times New Roman" w:eastAsia="Times New Roman" w:hAnsi="Times New Roman"/>
          <w:sz w:val="18"/>
          <w:szCs w:val="18"/>
          <w:color w:val="auto"/>
        </w:rPr>
        <w:t>any federal, state, or local statute, regulation, ordinance, or common law of the United States of America, its territories or possessions, or Puerto Rico.</w:t>
      </w:r>
    </w:p>
    <w:p>
      <w:pPr>
        <w:spacing w:after="0" w:line="153"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Employment discrimination </w:t>
      </w:r>
      <w:r>
        <w:rPr>
          <w:rFonts w:ascii="Times New Roman" w:cs="Times New Roman" w:eastAsia="Times New Roman" w:hAnsi="Times New Roman"/>
          <w:sz w:val="18"/>
          <w:szCs w:val="18"/>
          <w:color w:val="auto"/>
        </w:rPr>
        <w:t>as it relates solely to a wrongful employment act means a violation of applicable employment</w:t>
      </w:r>
    </w:p>
    <w:p>
      <w:pPr>
        <w:spacing w:after="0" w:line="6" w:lineRule="exact"/>
        <w:rPr>
          <w:sz w:val="20"/>
          <w:szCs w:val="20"/>
          <w:color w:val="auto"/>
        </w:rPr>
      </w:pPr>
    </w:p>
    <w:p>
      <w:pPr>
        <w:jc w:val="both"/>
        <w:ind w:left="14"/>
        <w:spacing w:after="0" w:line="218" w:lineRule="auto"/>
        <w:rPr>
          <w:sz w:val="20"/>
          <w:szCs w:val="20"/>
          <w:color w:val="auto"/>
        </w:rPr>
      </w:pPr>
      <w:r>
        <w:rPr>
          <w:rFonts w:ascii="Times New Roman" w:cs="Times New Roman" w:eastAsia="Times New Roman" w:hAnsi="Times New Roman"/>
          <w:sz w:val="18"/>
          <w:szCs w:val="18"/>
          <w:color w:val="auto"/>
        </w:rPr>
        <w:t>discrimination law protecting any 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168" w:lineRule="exact"/>
        <w:rPr>
          <w:sz w:val="20"/>
          <w:szCs w:val="20"/>
          <w:color w:val="auto"/>
        </w:rPr>
      </w:pPr>
    </w:p>
    <w:p>
      <w:pPr>
        <w:ind w:left="14" w:right="80" w:hanging="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Sexual harassment </w:t>
      </w:r>
      <w:r>
        <w:rPr>
          <w:rFonts w:ascii="Times New Roman" w:cs="Times New Roman" w:eastAsia="Times New Roman" w:hAnsi="Times New Roman"/>
          <w:sz w:val="18"/>
          <w:szCs w:val="18"/>
          <w:color w:val="auto"/>
        </w:rPr>
        <w:t>as it relates solely to a wrongful employment act means unwelcome sexual advances, requests for sexual favors,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conduct of a sexual nature that:</w:t>
      </w:r>
    </w:p>
    <w:p>
      <w:pPr>
        <w:spacing w:after="0" w:line="159" w:lineRule="exact"/>
        <w:rPr>
          <w:sz w:val="20"/>
          <w:szCs w:val="20"/>
          <w:color w:val="auto"/>
        </w:rPr>
      </w:pPr>
    </w:p>
    <w:p>
      <w:pPr>
        <w:ind w:left="334" w:hanging="327"/>
        <w:spacing w:after="0"/>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a condition of employment of any residential staff;</w:t>
      </w:r>
    </w:p>
    <w:p>
      <w:pPr>
        <w:spacing w:after="0" w:line="198"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as a basis for employment decisions;</w:t>
      </w:r>
    </w:p>
    <w:p>
      <w:pPr>
        <w:spacing w:after="0" w:line="184"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interferes with performance of any residential staffs duties; or</w:t>
      </w:r>
    </w:p>
    <w:p>
      <w:pPr>
        <w:spacing w:after="0" w:line="184" w:lineRule="exact"/>
        <w:rPr>
          <w:rFonts w:ascii="Times New Roman" w:cs="Times New Roman" w:eastAsia="Times New Roman" w:hAnsi="Times New Roman"/>
          <w:sz w:val="18"/>
          <w:szCs w:val="18"/>
          <w:color w:val="auto"/>
        </w:rPr>
      </w:pPr>
    </w:p>
    <w:p>
      <w:pPr>
        <w:ind w:left="334" w:hanging="327"/>
        <w:spacing w:after="0"/>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 intimidating, hostile, or offensive working environment.</w:t>
      </w:r>
    </w:p>
    <w:p>
      <w:pPr>
        <w:spacing w:after="0" w:line="194"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Wrongful termination </w:t>
      </w:r>
      <w:r>
        <w:rPr>
          <w:rFonts w:ascii="Times New Roman" w:cs="Times New Roman" w:eastAsia="Times New Roman" w:hAnsi="Times New Roman"/>
          <w:sz w:val="18"/>
          <w:szCs w:val="18"/>
          <w:color w:val="auto"/>
        </w:rPr>
        <w:t>as it relates solely to a wrongful employment act means:</w:t>
      </w:r>
    </w:p>
    <w:p>
      <w:pPr>
        <w:spacing w:after="0" w:line="189" w:lineRule="exact"/>
        <w:rPr>
          <w:sz w:val="20"/>
          <w:szCs w:val="20"/>
          <w:color w:val="auto"/>
        </w:rPr>
      </w:pPr>
    </w:p>
    <w:p>
      <w:pPr>
        <w:ind w:left="334" w:right="160" w:hanging="324"/>
        <w:spacing w:after="0" w:line="237" w:lineRule="auto"/>
        <w:tabs>
          <w:tab w:leader="none" w:pos="32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constructive termination of employment of any residential staff by you or a family member in violation of applicable employment law; or</w:t>
      </w:r>
    </w:p>
    <w:p>
      <w:pPr>
        <w:spacing w:after="0" w:line="171"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duty and care when you or a family member terminates an employment relationship with any residential staff.</w:t>
      </w:r>
    </w:p>
    <w:p>
      <w:pPr>
        <w:spacing w:after="0" w:line="18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Residential staff </w:t>
      </w:r>
      <w:r>
        <w:rPr>
          <w:rFonts w:ascii="Times New Roman" w:cs="Times New Roman" w:eastAsia="Times New Roman" w:hAnsi="Times New Roman"/>
          <w:sz w:val="18"/>
          <w:szCs w:val="18"/>
          <w:color w:val="auto"/>
        </w:rPr>
        <w:t>as it relates solely to a wrongful employment act means your or a family member's employee who is:</w:t>
      </w:r>
    </w:p>
    <w:p>
      <w:pPr>
        <w:spacing w:after="0" w:line="189" w:lineRule="exact"/>
        <w:rPr>
          <w:sz w:val="20"/>
          <w:szCs w:val="20"/>
          <w:color w:val="auto"/>
        </w:rPr>
      </w:pPr>
    </w:p>
    <w:p>
      <w:pPr>
        <w:ind w:left="334" w:hanging="324"/>
        <w:spacing w:after="0" w:line="250" w:lineRule="auto"/>
        <w:tabs>
          <w:tab w:leader="none" w:pos="32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49"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184"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regularly to work 15 or more hours per week.</w:t>
      </w:r>
    </w:p>
    <w:p>
      <w:pPr>
        <w:spacing w:after="0" w:line="198"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Residential staff includes a temporary worker. Residential staff does not include an independent contractor or any covered person.</w:t>
      </w:r>
    </w:p>
    <w:p>
      <w:pPr>
        <w:spacing w:after="0" w:line="181"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b w:val="1"/>
          <w:bCs w:val="1"/>
          <w:color w:val="auto"/>
        </w:rPr>
        <w:t xml:space="preserve">Temporary worker </w:t>
      </w:r>
      <w:r>
        <w:rPr>
          <w:rFonts w:ascii="Times New Roman" w:cs="Times New Roman" w:eastAsia="Times New Roman" w:hAnsi="Times New Roman"/>
          <w:sz w:val="18"/>
          <w:szCs w:val="18"/>
          <w:color w:val="auto"/>
        </w:rPr>
        <w:t>as it relates solely to a wrongful employment act means your or a family member's employee who is:</w:t>
      </w:r>
    </w:p>
    <w:p>
      <w:pPr>
        <w:spacing w:after="0" w:line="189" w:lineRule="exact"/>
        <w:rPr>
          <w:sz w:val="20"/>
          <w:szCs w:val="20"/>
          <w:color w:val="auto"/>
        </w:rPr>
      </w:pPr>
    </w:p>
    <w:p>
      <w:pPr>
        <w:ind w:left="334" w:hanging="324"/>
        <w:spacing w:after="0" w:line="250" w:lineRule="auto"/>
        <w:tabs>
          <w:tab w:leader="none" w:pos="3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49" w:lineRule="exact"/>
        <w:rPr>
          <w:rFonts w:ascii="Times New Roman" w:cs="Times New Roman" w:eastAsia="Times New Roman" w:hAnsi="Times New Roman"/>
          <w:sz w:val="18"/>
          <w:szCs w:val="18"/>
          <w:color w:val="auto"/>
        </w:rPr>
      </w:pPr>
    </w:p>
    <w:p>
      <w:pPr>
        <w:ind w:left="334" w:hanging="324"/>
        <w:spacing w:after="0"/>
        <w:tabs>
          <w:tab w:leader="none" w:pos="33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184" w:lineRule="exact"/>
        <w:rPr>
          <w:rFonts w:ascii="Times New Roman" w:cs="Times New Roman" w:eastAsia="Times New Roman" w:hAnsi="Times New Roman"/>
          <w:sz w:val="18"/>
          <w:szCs w:val="18"/>
          <w:color w:val="auto"/>
        </w:rPr>
      </w:pPr>
    </w:p>
    <w:p>
      <w:pPr>
        <w:ind w:left="334" w:right="460" w:hanging="324"/>
        <w:spacing w:after="0" w:line="237" w:lineRule="auto"/>
        <w:tabs>
          <w:tab w:leader="none" w:pos="3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to work 15 or more hours per week to substitute for any residential staff on leave or to meet seasonal or short- term workload demands for 30 consecutive days or longer during a 6 month period.</w:t>
      </w:r>
    </w:p>
    <w:p>
      <w:pPr>
        <w:spacing w:after="0" w:line="172"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8"/>
          <w:szCs w:val="18"/>
          <w:color w:val="auto"/>
        </w:rPr>
        <w:t>Temporary worker does not include an independent contractor or any covered person.</w:t>
      </w:r>
    </w:p>
    <w:p>
      <w:pPr>
        <w:spacing w:after="0" w:line="181" w:lineRule="exact"/>
        <w:rPr>
          <w:sz w:val="20"/>
          <w:szCs w:val="20"/>
          <w:color w:val="auto"/>
        </w:rPr>
      </w:pPr>
    </w:p>
    <w:p>
      <w:pPr>
        <w:ind w:left="14" w:right="2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Discrimination. </w:t>
      </w:r>
      <w:r>
        <w:rPr>
          <w:rFonts w:ascii="Times New Roman" w:cs="Times New Roman" w:eastAsia="Times New Roman" w:hAnsi="Times New Roman"/>
          <w:sz w:val="18"/>
          <w:szCs w:val="18"/>
          <w:color w:val="auto"/>
        </w:rPr>
        <w:t>We do not cover any damages arising out of discrimination due to age, race, color, sex, creed, national origin,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discrimination.</w:t>
      </w:r>
    </w:p>
    <w:p>
      <w:pPr>
        <w:sectPr>
          <w:pgSz w:w="11900" w:h="16838" w:orient="portrait"/>
          <w:cols w:equalWidth="0" w:num="1">
            <w:col w:w="9834"/>
          </w:cols>
          <w:pgMar w:left="966" w:top="1120" w:right="1099" w:bottom="1440" w:gutter="0" w:footer="0" w:header="0"/>
        </w:sectPr>
      </w:pPr>
    </w:p>
    <w:bookmarkStart w:id="63" w:name="page64"/>
    <w:bookmarkEnd w:id="63"/>
    <w:p>
      <w:pPr>
        <w:ind w:left="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Intentional acts. </w:t>
      </w:r>
      <w:r>
        <w:rPr>
          <w:rFonts w:ascii="Times New Roman" w:cs="Times New Roman" w:eastAsia="Times New Roman" w:hAnsi="Times New Roman"/>
          <w:sz w:val="18"/>
          <w:szCs w:val="18"/>
          <w:color w:val="auto"/>
        </w:rPr>
        <w:t>We do not cover any damages arising out of a willful, malicious, fraudulent or dishonest act or any act intended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covered person to cause personal injury or property damage, even if the injury or damage is of a different degree or type than</w:t>
      </w:r>
    </w:p>
    <w:p>
      <w:pPr>
        <w:ind w:left="4"/>
        <w:spacing w:after="0" w:line="226" w:lineRule="auto"/>
        <w:rPr>
          <w:sz w:val="20"/>
          <w:szCs w:val="20"/>
          <w:color w:val="auto"/>
        </w:rPr>
      </w:pPr>
      <w:r>
        <w:rPr>
          <w:rFonts w:ascii="Times New Roman" w:cs="Times New Roman" w:eastAsia="Times New Roman" w:hAnsi="Times New Roman"/>
          <w:sz w:val="18"/>
          <w:szCs w:val="18"/>
          <w:color w:val="auto"/>
        </w:rPr>
        <w:t>actually intended or expected. But we do cover such damages if the act was intended to protect people or property unless another exclusion applies. An intentional act is one whose consequences could have been foreseen by a reasonable person.</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Molestation, misconduct or abuse. </w:t>
      </w:r>
      <w:r>
        <w:rPr>
          <w:rFonts w:ascii="Times New Roman" w:cs="Times New Roman" w:eastAsia="Times New Roman" w:hAnsi="Times New Roman"/>
          <w:sz w:val="18"/>
          <w:szCs w:val="18"/>
          <w:color w:val="auto"/>
        </w:rPr>
        <w:t>We do not cover any damages arising out of any actual, alleged or threatened:</w:t>
      </w:r>
    </w:p>
    <w:p>
      <w:pPr>
        <w:spacing w:after="0" w:line="202" w:lineRule="exact"/>
        <w:rPr>
          <w:sz w:val="20"/>
          <w:szCs w:val="20"/>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molestation;</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misconduct or harassment; or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w:t>
      </w:r>
    </w:p>
    <w:p>
      <w:pPr>
        <w:spacing w:after="0" w:line="194"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Nonpermissive use. </w:t>
      </w:r>
      <w:r>
        <w:rPr>
          <w:rFonts w:ascii="Times New Roman" w:cs="Times New Roman" w:eastAsia="Times New Roman" w:hAnsi="Times New Roman"/>
          <w:sz w:val="18"/>
          <w:szCs w:val="18"/>
          <w:color w:val="auto"/>
        </w:rPr>
        <w:t>We do not cover any person who uses a motorized land vehicle or watercraft without permission from you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member.</w:t>
      </w:r>
    </w:p>
    <w:p>
      <w:pPr>
        <w:spacing w:after="0" w:line="155" w:lineRule="exact"/>
        <w:rPr>
          <w:sz w:val="20"/>
          <w:szCs w:val="20"/>
          <w:color w:val="auto"/>
        </w:rPr>
      </w:pPr>
    </w:p>
    <w:p>
      <w:pPr>
        <w:jc w:val="both"/>
        <w:ind w:left="4" w:firstLine="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Business pursuits. </w:t>
      </w:r>
      <w:r>
        <w:rPr>
          <w:rFonts w:ascii="Times New Roman" w:cs="Times New Roman" w:eastAsia="Times New Roman" w:hAnsi="Times New Roman"/>
          <w:sz w:val="18"/>
          <w:szCs w:val="18"/>
          <w:color w:val="auto"/>
        </w:rPr>
        <w:t>We do not cover any damages arising out of a covered person's business pursuits, investment or other for-profit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for the account of a covered person or others, or business property except on a follow form basis.</w:t>
      </w:r>
    </w:p>
    <w:p>
      <w:pPr>
        <w:spacing w:after="0" w:line="172" w:lineRule="exact"/>
        <w:rPr>
          <w:sz w:val="20"/>
          <w:szCs w:val="20"/>
          <w:color w:val="auto"/>
        </w:rPr>
      </w:pPr>
    </w:p>
    <w:p>
      <w:pPr>
        <w:jc w:val="both"/>
        <w:ind w:left="4" w:firstLine="3"/>
        <w:spacing w:after="0" w:line="216" w:lineRule="auto"/>
        <w:rPr>
          <w:sz w:val="20"/>
          <w:szCs w:val="20"/>
          <w:color w:val="auto"/>
        </w:rPr>
      </w:pPr>
      <w:r>
        <w:rPr>
          <w:rFonts w:ascii="Times New Roman" w:cs="Times New Roman" w:eastAsia="Times New Roman" w:hAnsi="Times New Roman"/>
          <w:sz w:val="18"/>
          <w:szCs w:val="18"/>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w:t>
      </w:r>
    </w:p>
    <w:p>
      <w:pPr>
        <w:spacing w:after="0" w:line="1"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ownership, maintenance, or use of a private passenger motor vehicle in business activities other than selling, repairing, servicing, storing, parking, testing, or delivering motorized land vehicles.</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stated otherwise in your Coverage Summary:</w:t>
      </w:r>
    </w:p>
    <w:p>
      <w:pPr>
        <w:spacing w:after="0" w:line="198" w:lineRule="exact"/>
        <w:rPr>
          <w:sz w:val="20"/>
          <w:szCs w:val="20"/>
          <w:color w:val="auto"/>
        </w:rPr>
      </w:pPr>
    </w:p>
    <w:p>
      <w:pPr>
        <w:ind w:left="4" w:right="260" w:firstLine="1"/>
        <w:spacing w:after="0" w:line="237" w:lineRule="auto"/>
        <w:rPr>
          <w:sz w:val="20"/>
          <w:szCs w:val="20"/>
          <w:color w:val="auto"/>
        </w:rPr>
      </w:pPr>
      <w:r>
        <w:rPr>
          <w:rFonts w:ascii="Times New Roman" w:cs="Times New Roman" w:eastAsia="Times New Roman" w:hAnsi="Times New Roman"/>
          <w:sz w:val="18"/>
          <w:szCs w:val="18"/>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spacing w:after="0" w:line="158" w:lineRule="exact"/>
        <w:rPr>
          <w:sz w:val="20"/>
          <w:szCs w:val="20"/>
          <w:color w:val="auto"/>
        </w:rPr>
      </w:pPr>
    </w:p>
    <w:p>
      <w:pPr>
        <w:ind w:left="324" w:hanging="324"/>
        <w:spacing w:after="0"/>
        <w:tabs>
          <w:tab w:leader="none" w:pos="3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worker's compensation or other similar disability laws;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"Incidental business at home" is a business activity, other than farming, conducted on your residence premises which must:</w:t>
      </w:r>
    </w:p>
    <w:p>
      <w:pPr>
        <w:spacing w:after="0" w:line="198" w:lineRule="exact"/>
        <w:rPr>
          <w:sz w:val="20"/>
          <w:szCs w:val="20"/>
          <w:color w:val="auto"/>
        </w:rPr>
      </w:pPr>
    </w:p>
    <w:p>
      <w:pPr>
        <w:ind w:left="324" w:right="660" w:hanging="324"/>
        <w:spacing w:after="0" w:line="237" w:lineRule="auto"/>
        <w:tabs>
          <w:tab w:leader="none" w:pos="3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 except for the business activity of managing one's own personal investments;</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worker's compensation or other similar disability laws;</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185" w:lineRule="exact"/>
        <w:rPr>
          <w:sz w:val="20"/>
          <w:szCs w:val="20"/>
          <w:color w:val="auto"/>
        </w:rPr>
      </w:pPr>
    </w:p>
    <w:p>
      <w:pPr>
        <w:ind w:left="4" w:firstLine="12"/>
        <w:spacing w:after="0" w:line="222" w:lineRule="auto"/>
        <w:rPr>
          <w:sz w:val="20"/>
          <w:szCs w:val="20"/>
          <w:color w:val="auto"/>
        </w:rPr>
      </w:pPr>
      <w:r>
        <w:rPr>
          <w:rFonts w:ascii="Times New Roman" w:cs="Times New Roman" w:eastAsia="Times New Roman" w:hAnsi="Times New Roman"/>
          <w:sz w:val="18"/>
          <w:szCs w:val="18"/>
          <w:color w:val="auto"/>
        </w:rPr>
        <w:t>"Incidental business property" is limited to the rental or holding for rental, to be used as a residence, of a condominium or cooperative unit owned by you or a family member, an apartment unit rented to you or a family member, a one or two family dwelling owned by</w:t>
      </w:r>
    </w:p>
    <w:p>
      <w:pPr>
        <w:spacing w:after="0" w:line="2" w:lineRule="exact"/>
        <w:rPr>
          <w:sz w:val="20"/>
          <w:szCs w:val="20"/>
          <w:color w:val="auto"/>
        </w:rPr>
      </w:pPr>
    </w:p>
    <w:p>
      <w:pPr>
        <w:ind w:left="4"/>
        <w:spacing w:after="0" w:line="226" w:lineRule="auto"/>
        <w:rPr>
          <w:sz w:val="20"/>
          <w:szCs w:val="20"/>
          <w:color w:val="auto"/>
        </w:rPr>
      </w:pPr>
      <w:r>
        <w:rPr>
          <w:rFonts w:ascii="Times New Roman" w:cs="Times New Roman" w:eastAsia="Times New Roman" w:hAnsi="Times New Roman"/>
          <w:sz w:val="18"/>
          <w:szCs w:val="18"/>
          <w:color w:val="auto"/>
        </w:rPr>
        <w:t>you or a family member, or a three or four family dwelling owned and occupied by you or a family member. We provide this coverage only for premises covered under the Required Primary Underlying Insurance unless the rental or holding for rental is for:</w:t>
      </w:r>
    </w:p>
    <w:p>
      <w:pPr>
        <w:spacing w:after="0" w:line="157" w:lineRule="exact"/>
        <w:rPr>
          <w:sz w:val="20"/>
          <w:szCs w:val="20"/>
          <w:color w:val="auto"/>
        </w:rPr>
      </w:pPr>
    </w:p>
    <w:p>
      <w:pPr>
        <w:ind w:left="324" w:hanging="324"/>
        <w:spacing w:after="0"/>
        <w:tabs>
          <w:tab w:leader="none" w:pos="3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residence of yours or a family member's that is occasionally rented and that is used exclusively as a residence; or</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or a family member's by one or two roomers or boarders; or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or a family member's as an office, school, studio, or private garage.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"Incidental farming" is a farming activity which meets all of the following requirements:</w:t>
      </w:r>
    </w:p>
    <w:p>
      <w:pPr>
        <w:spacing w:after="0" w:line="198" w:lineRule="exact"/>
        <w:rPr>
          <w:sz w:val="20"/>
          <w:szCs w:val="20"/>
          <w:color w:val="auto"/>
        </w:rPr>
      </w:pPr>
    </w:p>
    <w:p>
      <w:pPr>
        <w:ind w:left="324" w:hanging="324"/>
        <w:spacing w:after="0"/>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incidental to your or a family member's use of the premises as a residence;</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employment of others for more than 1,500 hours of farm work during the policy period;</w:t>
      </w:r>
    </w:p>
    <w:p>
      <w:pPr>
        <w:sectPr>
          <w:pgSz w:w="11900" w:h="16838" w:orient="portrait"/>
          <w:cols w:equalWidth="0" w:num="1">
            <w:col w:w="9824"/>
          </w:cols>
          <w:pgMar w:left="976" w:top="1116" w:right="1099" w:bottom="1440" w:gutter="0" w:footer="0" w:header="0"/>
        </w:sectPr>
      </w:pPr>
    </w:p>
    <w:bookmarkStart w:id="64" w:name="page65"/>
    <w:bookmarkEnd w:id="64"/>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$25,000 in gross annual revenue from agricultural operations;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with respect to the raising or care of animals:</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$50,000 in gross annual revenues;</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more than 25 sales transactions during the policy period;</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the sale of more than 50 animals during the policy period.</w:t>
      </w:r>
    </w:p>
    <w:p>
      <w:pPr>
        <w:spacing w:after="0" w:line="198" w:lineRule="exact"/>
        <w:rPr>
          <w:sz w:val="20"/>
          <w:szCs w:val="20"/>
          <w:color w:val="auto"/>
        </w:rPr>
      </w:pPr>
    </w:p>
    <w:p>
      <w:pPr>
        <w:jc w:val="both"/>
        <w:ind w:left="4" w:firstLine="3"/>
        <w:spacing w:after="0" w:line="226" w:lineRule="auto"/>
        <w:rPr>
          <w:sz w:val="20"/>
          <w:szCs w:val="20"/>
          <w:color w:val="auto"/>
        </w:rPr>
      </w:pPr>
      <w:r>
        <w:rPr>
          <w:rFonts w:ascii="Times New Roman" w:cs="Times New Roman" w:eastAsia="Times New Roman" w:hAnsi="Times New Roman"/>
          <w:sz w:val="18"/>
          <w:szCs w:val="18"/>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171" w:lineRule="exact"/>
        <w:rPr>
          <w:sz w:val="20"/>
          <w:szCs w:val="20"/>
          <w:color w:val="auto"/>
        </w:rPr>
      </w:pPr>
    </w:p>
    <w:p>
      <w:pPr>
        <w:jc w:val="both"/>
        <w:ind w:left="324" w:hanging="324"/>
        <w:spacing w:after="0" w:line="226" w:lineRule="auto"/>
        <w:tabs>
          <w:tab w:leader="none" w:pos="3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do not have any employees involved in your business or professional activities who are subject to workers' compensation or other similar disability laws; or, if you or a family member are a doctor or dentist, you do not have more than two employees subject to such laws;</w:t>
      </w:r>
    </w:p>
    <w:p>
      <w:pPr>
        <w:spacing w:after="0" w:line="171" w:lineRule="exact"/>
        <w:rPr>
          <w:rFonts w:ascii="Times New Roman" w:cs="Times New Roman" w:eastAsia="Times New Roman" w:hAnsi="Times New Roman"/>
          <w:sz w:val="18"/>
          <w:szCs w:val="18"/>
          <w:color w:val="auto"/>
        </w:rPr>
      </w:pPr>
    </w:p>
    <w:p>
      <w:pPr>
        <w:ind w:left="324" w:hanging="324"/>
        <w:spacing w:after="0" w:line="237" w:lineRule="auto"/>
        <w:tabs>
          <w:tab w:leader="none" w:pos="3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do not earn annual gross revenues in excess of $5,000, if you or a family member are a home day care provider.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do not cover damages or consequences resulting from business or professional care or services performed or not performed.</w:t>
      </w:r>
    </w:p>
    <w:p>
      <w:pPr>
        <w:sectPr>
          <w:pgSz w:w="11900" w:h="16838" w:orient="portrait"/>
          <w:cols w:equalWidth="0" w:num="1">
            <w:col w:w="9824"/>
          </w:cols>
          <w:pgMar w:left="976" w:top="1120" w:right="1099" w:bottom="1440" w:gutter="0" w:footer="0" w:header="0"/>
        </w:sectPr>
      </w:pPr>
    </w:p>
    <w:bookmarkStart w:id="65" w:name="page66"/>
    <w:bookmarkEnd w:id="65"/>
    <w:p>
      <w:pPr>
        <w:ind w:left="4"/>
        <w:spacing w:after="0"/>
        <w:rPr>
          <w:sz w:val="20"/>
          <w:szCs w:val="20"/>
          <w:color w:val="auto"/>
        </w:rPr>
      </w:pPr>
      <w:r>
        <w:rPr>
          <w:rFonts w:ascii="Times New Roman" w:cs="Times New Roman" w:eastAsia="Times New Roman" w:hAnsi="Times New Roman"/>
          <w:sz w:val="18"/>
          <w:szCs w:val="18"/>
          <w:b w:val="1"/>
          <w:bCs w:val="1"/>
          <w:color w:val="auto"/>
        </w:rPr>
        <w:t>The following additional exclusion applies only to "incidental farming" as described under the exclusion, Business pursuits.</w:t>
      </w:r>
    </w:p>
    <w:p>
      <w:pPr>
        <w:spacing w:after="0" w:line="185" w:lineRule="exact"/>
        <w:rPr>
          <w:sz w:val="20"/>
          <w:szCs w:val="20"/>
          <w:color w:val="auto"/>
        </w:rPr>
      </w:pPr>
    </w:p>
    <w:p>
      <w:pPr>
        <w:ind w:left="4" w:right="60" w:firstLine="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Contamination. </w:t>
      </w:r>
      <w:r>
        <w:rPr>
          <w:rFonts w:ascii="Times New Roman" w:cs="Times New Roman" w:eastAsia="Times New Roman" w:hAnsi="Times New Roman"/>
          <w:sz w:val="18"/>
          <w:szCs w:val="18"/>
          <w:color w:val="auto"/>
        </w:rPr>
        <w:t>We do not cover any actual or alleged damages arising out of the discharge, dispersal, seepage, migration or release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escape of pollutants. Nor do we cover any cost or expense arising out of any request, demand or order to:</w:t>
      </w:r>
    </w:p>
    <w:p>
      <w:pPr>
        <w:spacing w:after="0" w:line="145" w:lineRule="exact"/>
        <w:rPr>
          <w:sz w:val="20"/>
          <w:szCs w:val="20"/>
          <w:color w:val="auto"/>
        </w:rPr>
      </w:pPr>
    </w:p>
    <w:p>
      <w:pPr>
        <w:ind w:left="324" w:hanging="324"/>
        <w:spacing w:after="0"/>
        <w:tabs>
          <w:tab w:leader="none" w:pos="3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 pollutants from land or water;</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restore or replace polluted or contaminated land or water; or</w:t>
      </w:r>
    </w:p>
    <w:p>
      <w:pPr>
        <w:spacing w:after="0" w:line="198" w:lineRule="exact"/>
        <w:rPr>
          <w:rFonts w:ascii="Times New Roman" w:cs="Times New Roman" w:eastAsia="Times New Roman" w:hAnsi="Times New Roman"/>
          <w:sz w:val="18"/>
          <w:szCs w:val="18"/>
          <w:color w:val="auto"/>
        </w:rPr>
      </w:pPr>
    </w:p>
    <w:p>
      <w:pPr>
        <w:ind w:left="324" w:right="80" w:hanging="324"/>
        <w:spacing w:after="0" w:line="237" w:lineRule="auto"/>
        <w:tabs>
          <w:tab w:leader="none" w:pos="3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for, monitor, clean up, remove, contain, treat, detoxify or neutralize pollutants, or in any way respond to or assess the effects of pollutants.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However, this exclusion does not apply if the discharge, dispersal, seepage, migration, release or escape is sudden and accidental. A</w:t>
      </w:r>
    </w:p>
    <w:p>
      <w:pPr>
        <w:spacing w:after="0" w:line="2"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auto"/>
        </w:rPr>
        <w:t>"pollutant"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168" w:lineRule="exact"/>
        <w:rPr>
          <w:sz w:val="20"/>
          <w:szCs w:val="20"/>
          <w:color w:val="auto"/>
        </w:rPr>
      </w:pPr>
    </w:p>
    <w:p>
      <w:pPr>
        <w:jc w:val="both"/>
        <w:ind w:left="4" w:hanging="2"/>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Financial guarantees. </w:t>
      </w:r>
      <w:r>
        <w:rPr>
          <w:rFonts w:ascii="Times New Roman" w:cs="Times New Roman" w:eastAsia="Times New Roman" w:hAnsi="Times New Roman"/>
          <w:sz w:val="18"/>
          <w:szCs w:val="18"/>
          <w:color w:val="auto"/>
        </w:rPr>
        <w:t>We do not cover any damages for any covered person's financial guarantee of the financial performance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other individual or organization.</w:t>
      </w:r>
    </w:p>
    <w:p>
      <w:pPr>
        <w:spacing w:after="0" w:line="15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We do not cover any damages for any covered person's performing or failure to perform professional services,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professional services for which any covered person is legally responsible or licensed.</w:t>
      </w:r>
    </w:p>
    <w:p>
      <w:pPr>
        <w:spacing w:after="0" w:line="141" w:lineRule="exact"/>
        <w:rPr>
          <w:sz w:val="20"/>
          <w:szCs w:val="20"/>
          <w:color w:val="auto"/>
        </w:rPr>
      </w:pPr>
    </w:p>
    <w:p>
      <w:pPr>
        <w:jc w:val="both"/>
        <w:ind w:left="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Acts of war. </w:t>
      </w:r>
      <w:r>
        <w:rPr>
          <w:rFonts w:ascii="Times New Roman" w:cs="Times New Roman" w:eastAsia="Times New Roman" w:hAnsi="Times New Roman"/>
          <w:sz w:val="18"/>
          <w:szCs w:val="18"/>
          <w:color w:val="auto"/>
        </w:rPr>
        <w:t>We do not cover any damages caused directly or indirectly by war, undeclared war, civil war, insurrection, rebellion,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revolution, warlike acts by military forces or personnel, the destruction or seizure of property for a military purpose, or the</w:t>
      </w:r>
    </w:p>
    <w:p>
      <w:pPr>
        <w:ind w:left="4"/>
        <w:spacing w:after="0"/>
        <w:rPr>
          <w:sz w:val="20"/>
          <w:szCs w:val="20"/>
          <w:color w:val="auto"/>
        </w:rPr>
      </w:pPr>
      <w:r>
        <w:rPr>
          <w:rFonts w:ascii="Times New Roman" w:cs="Times New Roman" w:eastAsia="Times New Roman" w:hAnsi="Times New Roman"/>
          <w:sz w:val="18"/>
          <w:szCs w:val="18"/>
          <w:color w:val="auto"/>
        </w:rPr>
        <w:t>consequences of any of these actions.</w:t>
      </w:r>
    </w:p>
    <w:p>
      <w:pPr>
        <w:spacing w:after="0" w:line="161" w:lineRule="exact"/>
        <w:rPr>
          <w:sz w:val="20"/>
          <w:szCs w:val="20"/>
          <w:color w:val="auto"/>
        </w:rPr>
      </w:pPr>
    </w:p>
    <w:p>
      <w:pPr>
        <w:jc w:val="both"/>
        <w:ind w:left="4" w:firstLine="3"/>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Contractual liability. </w:t>
      </w:r>
      <w:r>
        <w:rPr>
          <w:rFonts w:ascii="Times New Roman" w:cs="Times New Roman" w:eastAsia="Times New Roman" w:hAnsi="Times New Roman"/>
          <w:sz w:val="17"/>
          <w:szCs w:val="17"/>
          <w:color w:val="auto"/>
        </w:rPr>
        <w:t>We do not cover any assessments charged against a covered person as a member of a homeowners, condominium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cooperative association. We also do not cover any damages arising from contracts or agreements made in connection with any</w:t>
      </w:r>
    </w:p>
    <w:p>
      <w:pPr>
        <w:spacing w:after="0" w:line="1"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covered person's business. Nor do we cover any liability for unwritten contracts, or contracts in which the liability of others is assumed after a covered loss.</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Covered person's or dependent's personal injury. </w:t>
      </w:r>
      <w:r>
        <w:rPr>
          <w:rFonts w:ascii="Times New Roman" w:cs="Times New Roman" w:eastAsia="Times New Roman" w:hAnsi="Times New Roman"/>
          <w:sz w:val="18"/>
          <w:szCs w:val="18"/>
          <w:color w:val="auto"/>
        </w:rPr>
        <w:t>We do not cover any damages for personal injury for any covered person or their</w:t>
      </w:r>
    </w:p>
    <w:p>
      <w:pPr>
        <w:spacing w:after="0" w:line="6" w:lineRule="exact"/>
        <w:rPr>
          <w:sz w:val="20"/>
          <w:szCs w:val="20"/>
          <w:color w:val="auto"/>
        </w:rPr>
      </w:pPr>
    </w:p>
    <w:p>
      <w:pPr>
        <w:jc w:val="both"/>
        <w:ind w:left="4"/>
        <w:spacing w:after="0" w:line="218" w:lineRule="auto"/>
        <w:rPr>
          <w:sz w:val="20"/>
          <w:szCs w:val="20"/>
          <w:color w:val="auto"/>
        </w:rPr>
      </w:pPr>
      <w:r>
        <w:rPr>
          <w:rFonts w:ascii="Times New Roman" w:cs="Times New Roman" w:eastAsia="Times New Roman" w:hAnsi="Times New Roman"/>
          <w:sz w:val="18"/>
          <w:szCs w:val="18"/>
          <w:color w:val="auto"/>
        </w:rPr>
        <w:t>dependents where the ultimate 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72" w:lineRule="exact"/>
        <w:rPr>
          <w:sz w:val="20"/>
          <w:szCs w:val="20"/>
          <w:color w:val="auto"/>
        </w:rPr>
      </w:pPr>
    </w:p>
    <w:p>
      <w:pPr>
        <w:jc w:val="both"/>
        <w:ind w:left="4" w:firstLine="3"/>
        <w:spacing w:after="0" w:line="216" w:lineRule="auto"/>
        <w:rPr>
          <w:sz w:val="20"/>
          <w:szCs w:val="20"/>
          <w:color w:val="auto"/>
        </w:rPr>
      </w:pPr>
      <w:r>
        <w:rPr>
          <w:rFonts w:ascii="Times New Roman" w:cs="Times New Roman" w:eastAsia="Times New Roman" w:hAnsi="Times New Roman"/>
          <w:sz w:val="18"/>
          <w:szCs w:val="18"/>
          <w:color w:val="auto"/>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w:t>
      </w:r>
    </w:p>
    <w:p>
      <w:pPr>
        <w:spacing w:after="0" w:line="1"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covered by primary underlying insurance and exceed the limits of insurance required for that motorized land vehicle under the Required Primary Underlying Insurance provisions of this policy.</w:t>
      </w:r>
    </w:p>
    <w:p>
      <w:pPr>
        <w:spacing w:after="0" w:line="153" w:lineRule="exact"/>
        <w:rPr>
          <w:sz w:val="20"/>
          <w:szCs w:val="20"/>
          <w:color w:val="auto"/>
        </w:rPr>
      </w:pPr>
    </w:p>
    <w:p>
      <w:pPr>
        <w:jc w:val="both"/>
        <w:ind w:left="4" w:firstLine="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Liability for dependent care. </w:t>
      </w:r>
      <w:r>
        <w:rPr>
          <w:rFonts w:ascii="Times New Roman" w:cs="Times New Roman" w:eastAsia="Times New Roman" w:hAnsi="Times New Roman"/>
          <w:sz w:val="18"/>
          <w:szCs w:val="18"/>
          <w:color w:val="auto"/>
        </w:rPr>
        <w:t>We do not cover any damages for personal injury for which a covered person's only legal liability is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virtue of a contract or other responsibility for a dependent's care.</w:t>
      </w:r>
    </w:p>
    <w:p>
      <w:pPr>
        <w:spacing w:after="0" w:line="141" w:lineRule="exact"/>
        <w:rPr>
          <w:sz w:val="20"/>
          <w:szCs w:val="20"/>
          <w:color w:val="auto"/>
        </w:rPr>
      </w:pPr>
    </w:p>
    <w:p>
      <w:pPr>
        <w:jc w:val="both"/>
        <w:ind w:left="4" w:firstLine="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Illness. </w:t>
      </w:r>
      <w:r>
        <w:rPr>
          <w:rFonts w:ascii="Times New Roman" w:cs="Times New Roman" w:eastAsia="Times New Roman" w:hAnsi="Times New Roman"/>
          <w:sz w:val="18"/>
          <w:szCs w:val="18"/>
          <w:color w:val="auto"/>
        </w:rPr>
        <w:t>We do not cover personal injury or property damage resulting from any illness, sickness or disease transmitted intentionally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unintentionally by a covered person to anyone, or any consequence resulting from that illness, sickness or disease. We also do not cover</w:t>
      </w: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any damages for personal injury resulting from the fear of contracting any illness, sickness or disease, or any consequence resulting from the fear of contracting any illness, sickness or disease.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Fungi and mold. </w:t>
      </w:r>
      <w:r>
        <w:rPr>
          <w:rFonts w:ascii="Times New Roman" w:cs="Times New Roman" w:eastAsia="Times New Roman" w:hAnsi="Times New Roman"/>
          <w:sz w:val="18"/>
          <w:szCs w:val="18"/>
          <w:color w:val="auto"/>
        </w:rPr>
        <w:t>We do not cover any actual or alleged damages or medical expenses arising out of mold, the fear of mold, or any</w:t>
      </w:r>
    </w:p>
    <w:p>
      <w:pPr>
        <w:spacing w:after="0" w:line="6"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consequences resulting from mold or the fear of mold. "Mold" means fungi, mold, mold spores, mycotoxins, and the scents and other byproducts of any of these.</w:t>
      </w:r>
    </w:p>
    <w:p>
      <w:pPr>
        <w:spacing w:after="0" w:line="153" w:lineRule="exact"/>
        <w:rPr>
          <w:sz w:val="20"/>
          <w:szCs w:val="20"/>
          <w:color w:val="auto"/>
        </w:rPr>
      </w:pPr>
    </w:p>
    <w:p>
      <w:pPr>
        <w:ind w:left="4" w:right="100" w:firstLine="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Nuclear or radiation hazard. </w:t>
      </w:r>
      <w:r>
        <w:rPr>
          <w:rFonts w:ascii="Times New Roman" w:cs="Times New Roman" w:eastAsia="Times New Roman" w:hAnsi="Times New Roman"/>
          <w:sz w:val="18"/>
          <w:szCs w:val="18"/>
          <w:color w:val="auto"/>
        </w:rPr>
        <w:t>We do not cover any damages caused directly or indirectly by nuclear reaction, radiation, or radioactive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contamination, regardless of how it was caused.</w:t>
      </w:r>
    </w:p>
    <w:p>
      <w:pPr>
        <w:sectPr>
          <w:pgSz w:w="11900" w:h="16838" w:orient="portrait"/>
          <w:cols w:equalWidth="0" w:num="1">
            <w:col w:w="9824"/>
          </w:cols>
          <w:pgMar w:left="976" w:top="711" w:right="1099" w:bottom="1440" w:gutter="0" w:footer="0" w:header="0"/>
        </w:sectPr>
      </w:pPr>
    </w:p>
    <w:bookmarkStart w:id="66" w:name="page67"/>
    <w:bookmarkEnd w:id="66"/>
    <w:p>
      <w:pPr>
        <w:ind w:left="4280"/>
        <w:spacing w:after="0"/>
        <w:rPr>
          <w:sz w:val="20"/>
          <w:szCs w:val="20"/>
          <w:color w:val="auto"/>
        </w:rPr>
      </w:pPr>
      <w:r>
        <w:rPr>
          <w:rFonts w:ascii="Times New Roman" w:cs="Times New Roman" w:eastAsia="Times New Roman" w:hAnsi="Times New Roman"/>
          <w:sz w:val="18"/>
          <w:szCs w:val="18"/>
          <w:b w:val="1"/>
          <w:bCs w:val="1"/>
          <w:color w:val="auto"/>
        </w:rPr>
        <w:t>POLICY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part of your Group Personal Excess Liability Policy explains the conditions that apply to your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conditions apply to your policy in general, and to each coverage provided in the policy.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period</w:t>
      </w:r>
    </w:p>
    <w:p>
      <w:pPr>
        <w:spacing w:after="0" w:line="202"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The effective dates of your policy are shown in the Coverage Summary. Those dates begin at 12:01 a.m. standard time at the mailing address shown.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coverages on this policy apply only to occurrences that take place while this policy is in effect.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rights</w:t>
      </w:r>
    </w:p>
    <w:p>
      <w:pPr>
        <w:spacing w:after="0" w:line="189" w:lineRule="exact"/>
        <w:rPr>
          <w:sz w:val="20"/>
          <w:szCs w:val="20"/>
          <w:color w:val="auto"/>
        </w:rPr>
      </w:pPr>
    </w:p>
    <w:p>
      <w:pPr>
        <w:ind w:right="300" w:hanging="13"/>
        <w:spacing w:after="0" w:line="237" w:lineRule="auto"/>
        <w:rPr>
          <w:sz w:val="20"/>
          <w:szCs w:val="20"/>
          <w:color w:val="auto"/>
        </w:rPr>
      </w:pPr>
      <w:r>
        <w:rPr>
          <w:rFonts w:ascii="Times New Roman" w:cs="Times New Roman" w:eastAsia="Times New Roman" w:hAnsi="Times New Roman"/>
          <w:sz w:val="18"/>
          <w:szCs w:val="18"/>
          <w:color w:val="auto"/>
        </w:rPr>
        <w:t>If we make a payment under this policy, we will assume any recovery rights a covered person has in connection with that loss, to the extent we have paid for the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your rights of recovery will become our rights to the extent of any payment we make under this policy. A covered person will do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everything necessary to secure such rights; and do nothing after a loss to prejudice such rights. However, you may waive any rights of recovery from another person or organization for a covered loss in writing before the loss occurs.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Concealment or fraud</w:t>
      </w:r>
    </w:p>
    <w:p>
      <w:pPr>
        <w:spacing w:after="0" w:line="202" w:lineRule="exact"/>
        <w:rPr>
          <w:sz w:val="20"/>
          <w:szCs w:val="20"/>
          <w:color w:val="auto"/>
        </w:rPr>
      </w:pPr>
    </w:p>
    <w:p>
      <w:pPr>
        <w:ind w:hanging="9"/>
        <w:spacing w:after="0" w:line="237" w:lineRule="auto"/>
        <w:rPr>
          <w:sz w:val="20"/>
          <w:szCs w:val="20"/>
          <w:color w:val="auto"/>
        </w:rPr>
      </w:pPr>
      <w:r>
        <w:rPr>
          <w:rFonts w:ascii="Times New Roman" w:cs="Times New Roman" w:eastAsia="Times New Roman" w:hAnsi="Times New Roman"/>
          <w:sz w:val="18"/>
          <w:szCs w:val="18"/>
          <w:color w:val="auto"/>
        </w:rPr>
        <w:t>We do not provide coverage if you or any covered person has intentionally concealed or misrepresented any material fact relating to this policy before or after a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coverage</w:t>
      </w:r>
    </w:p>
    <w:p>
      <w:pPr>
        <w:spacing w:after="0" w:line="20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Coverage applies separately to each covered person. However, this provision does not increase the amount of coverage for any one occurrence.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cannot transfer your interest in this policy to anyone else unless we agree in writing to the transfer.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changes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can be changed only by a written amendment we issue.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or insolvency</w:t>
      </w:r>
    </w:p>
    <w:p>
      <w:pPr>
        <w:spacing w:after="0" w:line="189" w:lineRule="exact"/>
        <w:rPr>
          <w:sz w:val="20"/>
          <w:szCs w:val="20"/>
          <w:color w:val="auto"/>
        </w:rPr>
      </w:pPr>
    </w:p>
    <w:p>
      <w:pPr>
        <w:ind w:hanging="15"/>
        <w:spacing w:after="0" w:line="237" w:lineRule="auto"/>
        <w:rPr>
          <w:sz w:val="20"/>
          <w:szCs w:val="20"/>
          <w:color w:val="auto"/>
        </w:rPr>
      </w:pPr>
      <w:r>
        <w:rPr>
          <w:rFonts w:ascii="Times New Roman" w:cs="Times New Roman" w:eastAsia="Times New Roman" w:hAnsi="Times New Roman"/>
          <w:sz w:val="18"/>
          <w:szCs w:val="18"/>
          <w:color w:val="auto"/>
        </w:rPr>
        <w:t>We will meet all our obligations under this policy regardless of whether you, your estate, or anyone else or their estate becomes bankrupt or insolvent.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case of death</w:t>
      </w:r>
    </w:p>
    <w:p>
      <w:pPr>
        <w:spacing w:after="0" w:line="18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 the event of your death, coverage will be provided until the end of the policy period or policy anniversary date, whichever occurs first, for any surviving member of your household who is a covered person at the time of death. We will also cover your legal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or any person having proper temporary custody of your property.</w:t>
      </w:r>
    </w:p>
    <w:p>
      <w:pPr>
        <w:sectPr>
          <w:pgSz w:w="11900" w:h="16838" w:orient="portrait"/>
          <w:cols w:equalWidth="0" w:num="1">
            <w:col w:w="9820"/>
          </w:cols>
          <w:pgMar w:left="980" w:top="1116" w:right="109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8"/>
          <w:szCs w:val="18"/>
          <w:b w:val="1"/>
          <w:bCs w:val="1"/>
          <w:color w:val="auto"/>
        </w:rPr>
        <w:t>Liberalization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may extend or broaden the coverage provided by this policy. If we do this during the policy period or within 60 days before it</w:t>
      </w:r>
    </w:p>
    <w:p>
      <w:pPr>
        <w:spacing w:after="0" w:line="2" w:lineRule="exact"/>
        <w:rPr>
          <w:sz w:val="20"/>
          <w:szCs w:val="20"/>
          <w:color w:val="auto"/>
        </w:rPr>
      </w:pPr>
    </w:p>
    <w:p>
      <w:pPr>
        <w:ind w:left="4"/>
        <w:spacing w:after="0" w:line="226" w:lineRule="auto"/>
        <w:rPr>
          <w:sz w:val="20"/>
          <w:szCs w:val="20"/>
          <w:color w:val="auto"/>
        </w:rPr>
      </w:pPr>
      <w:r>
        <w:rPr>
          <w:rFonts w:ascii="Times New Roman" w:cs="Times New Roman" w:eastAsia="Times New Roman" w:hAnsi="Times New Roman"/>
          <w:sz w:val="18"/>
          <w:szCs w:val="18"/>
          <w:color w:val="auto"/>
        </w:rPr>
        <w:t>begins, without increasing the premium, then the extended or broadened coverage will apply to occurrences after the effective date of the extended or broadened coverage.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Conforming to state law</w:t>
      </w:r>
    </w:p>
    <w:p>
      <w:pPr>
        <w:spacing w:after="0" w:line="202" w:lineRule="exact"/>
        <w:rPr>
          <w:sz w:val="20"/>
          <w:szCs w:val="20"/>
          <w:color w:val="auto"/>
        </w:rPr>
      </w:pPr>
    </w:p>
    <w:p>
      <w:pPr>
        <w:ind w:left="4" w:hanging="13"/>
        <w:spacing w:after="0" w:line="237" w:lineRule="auto"/>
        <w:rPr>
          <w:sz w:val="20"/>
          <w:szCs w:val="20"/>
          <w:color w:val="auto"/>
        </w:rPr>
      </w:pPr>
      <w:r>
        <w:rPr>
          <w:rFonts w:ascii="Times New Roman" w:cs="Times New Roman" w:eastAsia="Times New Roman" w:hAnsi="Times New Roman"/>
          <w:sz w:val="18"/>
          <w:szCs w:val="18"/>
          <w:color w:val="auto"/>
        </w:rPr>
        <w:t>If any provision of this policy conflict&lt;; with any applicable laws of the state you live in, this policy is amended to conform to those laws.</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Conforming to trade sanction laws</w:t>
      </w:r>
    </w:p>
    <w:p>
      <w:pPr>
        <w:spacing w:after="0" w:line="202" w:lineRule="exact"/>
        <w:rPr>
          <w:sz w:val="20"/>
          <w:szCs w:val="20"/>
          <w:color w:val="auto"/>
        </w:rPr>
      </w:pPr>
    </w:p>
    <w:p>
      <w:pPr>
        <w:ind w:left="4"/>
        <w:spacing w:after="0" w:line="237" w:lineRule="auto"/>
        <w:rPr>
          <w:sz w:val="20"/>
          <w:szCs w:val="20"/>
          <w:color w:val="auto"/>
        </w:rPr>
      </w:pPr>
      <w:r>
        <w:rPr>
          <w:rFonts w:ascii="Times New Roman" w:cs="Times New Roman" w:eastAsia="Times New Roman" w:hAnsi="Times New Roman"/>
          <w:sz w:val="18"/>
          <w:szCs w:val="18"/>
          <w:color w:val="auto"/>
        </w:rPr>
        <w:t>This policy does not apply to the extent that trade or economic sanctions or other laws or regulations prohibit us from providing insurance.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Liability Conditions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conditions apply to all liability coverages in this policy.</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Insurance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insurance is excess over any other insurance except for those policies that</w:t>
      </w:r>
    </w:p>
    <w:p>
      <w:pPr>
        <w:spacing w:after="0" w:line="185" w:lineRule="exact"/>
        <w:rPr>
          <w:sz w:val="20"/>
          <w:szCs w:val="20"/>
          <w:color w:val="auto"/>
        </w:rPr>
      </w:pPr>
    </w:p>
    <w:p>
      <w:pPr>
        <w:ind w:left="324" w:hanging="324"/>
        <w:spacing w:after="0"/>
        <w:tabs>
          <w:tab w:leader="none" w:pos="3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written specifically to cover excess over the amount of coverage that applies in this policy; and</w:t>
      </w:r>
    </w:p>
    <w:p>
      <w:pPr>
        <w:spacing w:after="0" w:line="19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this policy as underlying insurance.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Your duties after a loss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case of an accident or occurrence, the covered person shall perform the following duties that apply:</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Notification. </w:t>
      </w:r>
      <w:r>
        <w:rPr>
          <w:rFonts w:ascii="Times New Roman" w:cs="Times New Roman" w:eastAsia="Times New Roman" w:hAnsi="Times New Roman"/>
          <w:sz w:val="18"/>
          <w:szCs w:val="18"/>
          <w:color w:val="auto"/>
        </w:rPr>
        <w:t>You must notify us or your agent or broker as soon as possible.</w:t>
      </w:r>
    </w:p>
    <w:p>
      <w:pPr>
        <w:spacing w:after="0" w:line="185" w:lineRule="exact"/>
        <w:rPr>
          <w:sz w:val="20"/>
          <w:szCs w:val="20"/>
          <w:color w:val="auto"/>
        </w:rPr>
      </w:pPr>
    </w:p>
    <w:p>
      <w:pPr>
        <w:ind w:left="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Assistance. </w:t>
      </w:r>
      <w:r>
        <w:rPr>
          <w:rFonts w:ascii="Times New Roman" w:cs="Times New Roman" w:eastAsia="Times New Roman" w:hAnsi="Times New Roman"/>
          <w:sz w:val="18"/>
          <w:szCs w:val="18"/>
          <w:color w:val="auto"/>
        </w:rPr>
        <w:t>You must provide us with all available information. This includes any suit papers or other documents which help us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we defend you.</w:t>
      </w:r>
    </w:p>
    <w:p>
      <w:pPr>
        <w:spacing w:after="0" w:line="168" w:lineRule="exact"/>
        <w:rPr>
          <w:sz w:val="20"/>
          <w:szCs w:val="20"/>
          <w:color w:val="auto"/>
        </w:rPr>
      </w:pPr>
    </w:p>
    <w:p>
      <w:pPr>
        <w:ind w:left="4" w:firstLine="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You must cooperate with us fully in any legal defense. This may include any association by us with the covered person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of a claim reasonably likely to involve us.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Examination. </w:t>
      </w:r>
      <w:r>
        <w:rPr>
          <w:rFonts w:ascii="Times New Roman" w:cs="Times New Roman" w:eastAsia="Times New Roman" w:hAnsi="Times New Roman"/>
          <w:sz w:val="18"/>
          <w:szCs w:val="18"/>
          <w:color w:val="auto"/>
        </w:rPr>
        <w:t>A person making a claim under this policy must submit as often as we reasonably require:</w:t>
      </w:r>
    </w:p>
    <w:p>
      <w:pPr>
        <w:spacing w:after="0" w:line="202" w:lineRule="exact"/>
        <w:rPr>
          <w:sz w:val="20"/>
          <w:szCs w:val="20"/>
          <w:color w:val="auto"/>
        </w:rPr>
      </w:pPr>
    </w:p>
    <w:p>
      <w:pPr>
        <w:ind w:left="384" w:hanging="283"/>
        <w:spacing w:after="0"/>
        <w:tabs>
          <w:tab w:leader="none" w:pos="38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physical exams by physicians we select, which we will pay for; and</w:t>
      </w:r>
    </w:p>
    <w:p>
      <w:pPr>
        <w:spacing w:after="0" w:line="184" w:lineRule="exact"/>
        <w:rPr>
          <w:rFonts w:ascii="Times New Roman" w:cs="Times New Roman" w:eastAsia="Times New Roman" w:hAnsi="Times New Roman"/>
          <w:sz w:val="17"/>
          <w:szCs w:val="17"/>
          <w:color w:val="auto"/>
        </w:rPr>
      </w:pPr>
    </w:p>
    <w:p>
      <w:pPr>
        <w:ind w:left="384" w:hanging="283"/>
        <w:spacing w:after="0"/>
        <w:tabs>
          <w:tab w:leader="none" w:pos="38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examination under oath and subscribe the same; and authorize us to obtain:</w:t>
      </w:r>
    </w:p>
    <w:p>
      <w:pPr>
        <w:spacing w:after="0" w:line="198" w:lineRule="exact"/>
        <w:rPr>
          <w:rFonts w:ascii="Times New Roman" w:cs="Times New Roman" w:eastAsia="Times New Roman" w:hAnsi="Times New Roman"/>
          <w:sz w:val="17"/>
          <w:szCs w:val="17"/>
          <w:color w:val="auto"/>
        </w:rPr>
      </w:pPr>
    </w:p>
    <w:p>
      <w:pPr>
        <w:ind w:left="1444" w:hanging="299"/>
        <w:spacing w:after="0"/>
        <w:tabs>
          <w:tab w:leader="none" w:pos="14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reports; and</w:t>
      </w:r>
    </w:p>
    <w:p>
      <w:pPr>
        <w:spacing w:after="0" w:line="184" w:lineRule="exact"/>
        <w:rPr>
          <w:rFonts w:ascii="Times New Roman" w:cs="Times New Roman" w:eastAsia="Times New Roman" w:hAnsi="Times New Roman"/>
          <w:sz w:val="18"/>
          <w:szCs w:val="18"/>
          <w:color w:val="auto"/>
        </w:rPr>
      </w:pPr>
    </w:p>
    <w:p>
      <w:pPr>
        <w:ind w:left="1444" w:hanging="299"/>
        <w:spacing w:after="0"/>
        <w:tabs>
          <w:tab w:leader="none" w:pos="14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pertinent records.</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Appeals</w:t>
      </w:r>
    </w:p>
    <w:p>
      <w:pPr>
        <w:spacing w:after="0" w:line="189" w:lineRule="exact"/>
        <w:rPr>
          <w:sz w:val="20"/>
          <w:szCs w:val="20"/>
          <w:color w:val="auto"/>
        </w:rPr>
      </w:pPr>
    </w:p>
    <w:p>
      <w:pPr>
        <w:ind w:left="4" w:firstLine="6"/>
        <w:spacing w:after="0" w:line="222" w:lineRule="auto"/>
        <w:rPr>
          <w:sz w:val="20"/>
          <w:szCs w:val="20"/>
          <w:color w:val="auto"/>
        </w:rPr>
      </w:pPr>
      <w:r>
        <w:rPr>
          <w:rFonts w:ascii="Times New Roman" w:cs="Times New Roman" w:eastAsia="Times New Roman" w:hAnsi="Times New Roman"/>
          <w:sz w:val="18"/>
          <w:szCs w:val="18"/>
          <w:color w:val="auto"/>
        </w:rPr>
        <w:t>If a covered person, or any primary insurer, does not appeal a judgment for covered damages, we may choose to do so. We will then become responsible for all expenses, taxable costs, and interest arising out of the appeal. However, the amount of coverage for damages</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 not be increased.</w:t>
      </w:r>
    </w:p>
    <w:p>
      <w:pPr>
        <w:sectPr>
          <w:pgSz w:w="11900" w:h="16838" w:orient="portrait"/>
          <w:cols w:equalWidth="0" w:num="1">
            <w:col w:w="9824"/>
          </w:cols>
          <w:pgMar w:left="976" w:top="1116" w:right="109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Special Conditions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the event of conflict with any other conditions of your policy, these conditions supersede.</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Legal action against us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You agree not to bring action against us unless you have first complied with all conditions of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also agree not to bring any action against us until the amount of damages you are legally obligated to pay has been finally</w:t>
      </w:r>
    </w:p>
    <w:p>
      <w:pPr>
        <w:spacing w:after="0" w:line="2"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determined after an actual trial or appeal, if any, or by a written agreement between you, us and the claimant. No person or organization has any right under this policy to bring us into any action to determine the liability of a covered person.</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Notice of cancellation and coverage termination conditions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Sponsoring Organization may cancel this policy by returning it to us or notifying us in writing at any time subject to the following:</w:t>
      </w:r>
    </w:p>
    <w:p>
      <w:pPr>
        <w:spacing w:after="0" w:line="185" w:lineRule="exact"/>
        <w:rPr>
          <w:sz w:val="20"/>
          <w:szCs w:val="20"/>
          <w:color w:val="auto"/>
        </w:rPr>
      </w:pPr>
    </w:p>
    <w:p>
      <w:pPr>
        <w:ind w:left="400" w:hanging="283"/>
        <w:spacing w:after="0"/>
        <w:tabs>
          <w:tab w:leader="none" w:pos="4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Sponsoring Organization must notify us in advance of the requested cancellation date; and</w:t>
      </w:r>
    </w:p>
    <w:p>
      <w:pPr>
        <w:spacing w:after="0" w:line="184" w:lineRule="exact"/>
        <w:rPr>
          <w:rFonts w:ascii="Times New Roman" w:cs="Times New Roman" w:eastAsia="Times New Roman" w:hAnsi="Times New Roman"/>
          <w:sz w:val="17"/>
          <w:szCs w:val="17"/>
          <w:color w:val="auto"/>
        </w:rPr>
      </w:pPr>
    </w:p>
    <w:p>
      <w:pPr>
        <w:ind w:left="400" w:hanging="283"/>
        <w:spacing w:after="0"/>
        <w:tabs>
          <w:tab w:leader="none" w:pos="4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Sponsoring Organization must provide proof of notification to each member of the Defined Group covered under this policy.</w:t>
      </w:r>
    </w:p>
    <w:p>
      <w:pPr>
        <w:spacing w:after="0" w:line="194" w:lineRule="exact"/>
        <w:rPr>
          <w:sz w:val="20"/>
          <w:szCs w:val="20"/>
          <w:color w:val="auto"/>
        </w:rPr>
      </w:pPr>
    </w:p>
    <w:p>
      <w:pPr>
        <w:ind w:left="20" w:hanging="11"/>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may cancel this policy or any part of it subject to the following conditions. Our right to cancel applies to each coverage or limit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In the event we cancel this policy, we are under no obligation to provide you with an opportunity to purchase equivalent</w:t>
      </w:r>
    </w:p>
    <w:p>
      <w:pPr>
        <w:ind w:left="20"/>
        <w:spacing w:after="0"/>
        <w:rPr>
          <w:sz w:val="20"/>
          <w:szCs w:val="20"/>
          <w:color w:val="auto"/>
        </w:rPr>
      </w:pPr>
      <w:r>
        <w:rPr>
          <w:rFonts w:ascii="Times New Roman" w:cs="Times New Roman" w:eastAsia="Times New Roman" w:hAnsi="Times New Roman"/>
          <w:sz w:val="18"/>
          <w:szCs w:val="18"/>
          <w:color w:val="auto"/>
        </w:rPr>
        <w:t>coverage.</w:t>
      </w:r>
    </w:p>
    <w:p>
      <w:pPr>
        <w:spacing w:after="0" w:line="161" w:lineRule="exact"/>
        <w:rPr>
          <w:sz w:val="20"/>
          <w:szCs w:val="20"/>
          <w:color w:val="auto"/>
        </w:rPr>
      </w:pPr>
    </w:p>
    <w:p>
      <w:pPr>
        <w:ind w:left="20" w:firstLine="9"/>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Within 60 days. </w:t>
      </w:r>
      <w:r>
        <w:rPr>
          <w:rFonts w:ascii="Times New Roman" w:cs="Times New Roman" w:eastAsia="Times New Roman" w:hAnsi="Times New Roman"/>
          <w:sz w:val="18"/>
          <w:szCs w:val="18"/>
          <w:color w:val="auto"/>
        </w:rPr>
        <w:t>When this policy or any part of it has been in effect for less than 60 days, we may cancel with 30 days notice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w:t>
      </w:r>
    </w:p>
    <w:p>
      <w:pPr>
        <w:spacing w:after="0" w:line="168" w:lineRule="exact"/>
        <w:rPr>
          <w:sz w:val="20"/>
          <w:szCs w:val="20"/>
          <w:color w:val="auto"/>
        </w:rPr>
      </w:pPr>
    </w:p>
    <w:p>
      <w:pPr>
        <w:ind w:left="20" w:firstLine="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Non payment of premium. </w:t>
      </w:r>
      <w:r>
        <w:rPr>
          <w:rFonts w:ascii="Times New Roman" w:cs="Times New Roman" w:eastAsia="Times New Roman" w:hAnsi="Times New Roman"/>
          <w:sz w:val="18"/>
          <w:szCs w:val="18"/>
          <w:color w:val="auto"/>
        </w:rPr>
        <w:t>We may cancel this policy or any part of it with 10 days notice if the Sponsoring Organization or you fail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premium by the due date, regardless of whether the premium is payable to us, to our agent, or under any financial credit.</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Misrepresentation. </w:t>
      </w:r>
      <w:r>
        <w:rPr>
          <w:rFonts w:ascii="Times New Roman" w:cs="Times New Roman" w:eastAsia="Times New Roman" w:hAnsi="Times New Roman"/>
          <w:sz w:val="18"/>
          <w:szCs w:val="18"/>
          <w:color w:val="auto"/>
        </w:rPr>
        <w:t>We may cancel this policy or any part of it with 30 days notice if the coverage was obtained through</w:t>
      </w:r>
    </w:p>
    <w:p>
      <w:pPr>
        <w:spacing w:after="0" w:line="6"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misrepresentation, fraudulent statements, or omissions or concealment of a fact that is relevant to the acceptance of the risk or to the hazard we assumed.</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Increase in hazard. </w:t>
      </w:r>
      <w:r>
        <w:rPr>
          <w:rFonts w:ascii="Times New Roman" w:cs="Times New Roman" w:eastAsia="Times New Roman" w:hAnsi="Times New Roman"/>
          <w:sz w:val="18"/>
          <w:szCs w:val="18"/>
          <w:color w:val="auto"/>
        </w:rPr>
        <w:t>We may cancel this policy or any part of it with 30 days notice if there has been a substantial change in the risk</w:t>
      </w:r>
    </w:p>
    <w:p>
      <w:pPr>
        <w:spacing w:after="0" w:line="6"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which increases the chance of loss after insurance coverage has been issued or renewed, including but not limited to an increase in exposure due to rules, legislation, or court decision.</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Procedure. </w:t>
      </w:r>
      <w:r>
        <w:rPr>
          <w:rFonts w:ascii="Times New Roman" w:cs="Times New Roman" w:eastAsia="Times New Roman" w:hAnsi="Times New Roman"/>
          <w:sz w:val="18"/>
          <w:szCs w:val="18"/>
          <w:color w:val="auto"/>
        </w:rPr>
        <w:t>To cancel this policy or any part of it, we must notify you in writing. This notice will be mailed to the Sponsoring</w:t>
      </w:r>
    </w:p>
    <w:p>
      <w:pPr>
        <w:spacing w:after="0" w:line="6"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Organization at the mailing address shown in the Coverage Summary and we will obtain a certificate of mailing. This notice will include the date the cancellation is to take effect.</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Should an individual for any reason no longer qualify as a member of the Defined Group, coverage will cease sixty (60)</w:t>
      </w:r>
    </w:p>
    <w:p>
      <w:pPr>
        <w:spacing w:after="0" w:line="6"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days from the date that individual no longer qualifies as a member of the Defined Group, or the policy expiration or cancellation date, whichever comes first.</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Refund. </w:t>
      </w:r>
      <w:r>
        <w:rPr>
          <w:rFonts w:ascii="Times New Roman" w:cs="Times New Roman" w:eastAsia="Times New Roman" w:hAnsi="Times New Roman"/>
          <w:sz w:val="18"/>
          <w:szCs w:val="18"/>
          <w:color w:val="auto"/>
        </w:rPr>
        <w:t>In the event of cancellation by the Sponsoring Organization or us, we will refund any unearned premium on the effective date</w:t>
      </w:r>
    </w:p>
    <w:p>
      <w:pPr>
        <w:spacing w:after="0" w:line="6"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of cancellation, or as soon as possible afterwards to the Sponsoring Organization. The unearned premium will be computed short rate for the unexpired term of the policy.</w:t>
      </w:r>
    </w:p>
    <w:p>
      <w:pPr>
        <w:sectPr>
          <w:pgSz w:w="11900" w:h="16838" w:orient="portrait"/>
          <w:cols w:equalWidth="0" w:num="1">
            <w:col w:w="9840"/>
          </w:cols>
          <w:pgMar w:left="960" w:top="1116" w:right="10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April 26, 2023, on our review of the interim financial information of Northrop Grumman Corporation and subsidiaries appearing in this Quarterly Report on Form 10-Q for the quarter ended March 31, 2023, is incorporated by reference in Registration Statement Nos. 033-59815, 033-59853, 333-67266, 333-100179, 333-107734, 333-121104, 333-125120, 333-127317, and 333-175798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2023,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2023,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1)"/>
      <w:numFmt w:val="decimal"/>
      <w:start w:val="1"/>
    </w:lvl>
  </w:abstractNum>
  <w:abstractNum w:abstractNumId="10">
    <w:nsid w:val="354FE9F9"/>
    <w:multiLevelType w:val="hybridMultilevel"/>
    <w:lvl w:ilvl="0">
      <w:lvlJc w:val="left"/>
      <w:lvlText w:val="(%1)"/>
      <w:numFmt w:val="decimal"/>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1."/>
      <w:numFmt w:val="decimal"/>
      <w:start w:val="1"/>
    </w:lvl>
  </w:abstractNum>
  <w:abstractNum w:abstractNumId="21">
    <w:nsid w:val="5FF87E05"/>
    <w:multiLevelType w:val="hybridMultilevel"/>
    <w:lvl w:ilvl="0">
      <w:lvlJc w:val="left"/>
      <w:lvlText w:val="%1."/>
      <w:numFmt w:val="decimal"/>
      <w:start w:val="2"/>
    </w:lvl>
  </w:abstractNum>
  <w:abstractNum w:abstractNumId="22">
    <w:nsid w:val="2F305DEF"/>
    <w:multiLevelType w:val="hybridMultilevel"/>
    <w:lvl w:ilvl="0">
      <w:lvlJc w:val="left"/>
      <w:lvlText w:val="(%1)"/>
      <w:numFmt w:val="decimal"/>
      <w:start w:val="30"/>
    </w:lvl>
  </w:abstractNum>
  <w:abstractNum w:abstractNumId="23">
    <w:nsid w:val="25A70BF7"/>
    <w:multiLevelType w:val="hybridMultilevel"/>
    <w:lvl w:ilvl="0">
      <w:lvlJc w:val="left"/>
      <w:lvlText w:val="%1."/>
      <w:numFmt w:val="decimal"/>
      <w:start w:val="3"/>
    </w:lvl>
  </w:abstractNum>
  <w:abstractNum w:abstractNumId="24">
    <w:nsid w:val="1DBABF00"/>
    <w:multiLevelType w:val="hybridMultilevel"/>
    <w:lvl w:ilvl="0">
      <w:lvlJc w:val="left"/>
      <w:lvlText w:val="%1."/>
      <w:numFmt w:val="decimal"/>
      <w:start w:val="4"/>
    </w:lvl>
  </w:abstractNum>
  <w:abstractNum w:abstractNumId="25">
    <w:nsid w:val="4AD084E9"/>
    <w:multiLevelType w:val="hybridMultilevel"/>
    <w:lvl w:ilvl="0">
      <w:lvlJc w:val="left"/>
      <w:lvlText w:val="(%1)"/>
      <w:numFmt w:val="decimal"/>
      <w:start w:val="24"/>
    </w:lvl>
  </w:abstractNum>
  <w:abstractNum w:abstractNumId="26">
    <w:nsid w:val="1F48EAA1"/>
    <w:multiLevelType w:val="hybridMultilevel"/>
    <w:lvl w:ilvl="0">
      <w:lvlJc w:val="left"/>
      <w:lvlText w:val="(%1)"/>
      <w:numFmt w:val="lowerRoman"/>
      <w:start w:val="3"/>
    </w:lvl>
  </w:abstractNum>
  <w:abstractNum w:abstractNumId="27">
    <w:nsid w:val="1381823A"/>
    <w:multiLevelType w:val="hybridMultilevel"/>
    <w:lvl w:ilvl="0">
      <w:lvlJc w:val="left"/>
      <w:lvlText w:val="%1."/>
      <w:numFmt w:val="decimal"/>
      <w:start w:val="5"/>
    </w:lvl>
  </w:abstractNum>
  <w:abstractNum w:abstractNumId="28">
    <w:nsid w:val="5DB70AE5"/>
    <w:multiLevelType w:val="hybridMultilevel"/>
    <w:lvl w:ilvl="0">
      <w:lvlJc w:val="left"/>
      <w:lvlText w:val="%1."/>
      <w:numFmt w:val="decimal"/>
      <w:start w:val="6"/>
    </w:lvl>
  </w:abstractNum>
  <w:abstractNum w:abstractNumId="29">
    <w:nsid w:val="100F8FCA"/>
    <w:multiLevelType w:val="hybridMultilevel"/>
    <w:lvl w:ilvl="0">
      <w:lvlJc w:val="left"/>
      <w:lvlText w:val="(%1)"/>
      <w:numFmt w:val="lowerLetter"/>
      <w:start w:val="2"/>
    </w:lvl>
  </w:abstractNum>
  <w:abstractNum w:abstractNumId="30">
    <w:nsid w:val="6590700B"/>
    <w:multiLevelType w:val="hybridMultilevel"/>
    <w:lvl w:ilvl="0">
      <w:lvlJc w:val="left"/>
      <w:lvlText w:val="%1."/>
      <w:numFmt w:val="decimal"/>
      <w:start w:val="7"/>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decimal"/>
      <w:start w:val="8"/>
    </w:lvl>
  </w:abstractNum>
  <w:abstractNum w:abstractNumId="33">
    <w:nsid w:val="98A3148"/>
    <w:multiLevelType w:val="hybridMultilevel"/>
    <w:lvl w:ilvl="0">
      <w:lvlJc w:val="left"/>
      <w:lvlText w:val="%1."/>
      <w:numFmt w:val="decimal"/>
      <w:start w:val="9"/>
    </w:lvl>
  </w:abstractNum>
  <w:abstractNum w:abstractNumId="34">
    <w:nsid w:val="799D0247"/>
    <w:multiLevelType w:val="hybridMultilevel"/>
    <w:lvl w:ilvl="0">
      <w:lvlJc w:val="left"/>
      <w:lvlText w:val="%1."/>
      <w:numFmt w:val="decimal"/>
      <w:start w:val="10"/>
    </w:lvl>
  </w:abstractNum>
  <w:abstractNum w:abstractNumId="35">
    <w:nsid w:val="6B94764"/>
    <w:multiLevelType w:val="hybridMultilevel"/>
    <w:lvl w:ilvl="0">
      <w:lvlJc w:val="left"/>
      <w:lvlText w:val="%1."/>
      <w:numFmt w:val="decimal"/>
      <w:start w:val="11"/>
    </w:lvl>
  </w:abstractNum>
  <w:abstractNum w:abstractNumId="36">
    <w:nsid w:val="42C296BD"/>
    <w:multiLevelType w:val="hybridMultilevel"/>
    <w:lvl w:ilvl="0">
      <w:lvlJc w:val="left"/>
      <w:lvlText w:val="%1."/>
      <w:numFmt w:val="decimal"/>
      <w:start w:val="12"/>
    </w:lvl>
  </w:abstractNum>
  <w:abstractNum w:abstractNumId="37">
    <w:nsid w:val="168E121F"/>
    <w:multiLevelType w:val="hybridMultilevel"/>
    <w:lvl w:ilvl="0">
      <w:lvlJc w:val="left"/>
      <w:lvlText w:val="(%1)"/>
      <w:numFmt w:val="lowerRoman"/>
      <w:start w:val="1"/>
    </w:lvl>
  </w:abstractNum>
  <w:abstractNum w:abstractNumId="38">
    <w:nsid w:val="1EBA5D23"/>
    <w:multiLevelType w:val="hybridMultilevel"/>
    <w:lvl w:ilvl="0">
      <w:lvlJc w:val="left"/>
      <w:lvlText w:val="(%1)"/>
      <w:numFmt w:val="lowerRoman"/>
      <w:start w:val="2"/>
    </w:lvl>
  </w:abstractNum>
  <w:abstractNum w:abstractNumId="39">
    <w:nsid w:val="661E3F1E"/>
    <w:multiLevelType w:val="hybridMultilevel"/>
    <w:lvl w:ilvl="0">
      <w:lvlJc w:val="left"/>
      <w:lvlText w:val="(%1)"/>
      <w:numFmt w:val="lowerRoman"/>
      <w:start w:val="1"/>
    </w:lvl>
  </w:abstractNum>
  <w:abstractNum w:abstractNumId="40">
    <w:nsid w:val="5DC79EA8"/>
    <w:multiLevelType w:val="hybridMultilevel"/>
    <w:lvl w:ilvl="0">
      <w:lvlJc w:val="left"/>
      <w:lvlText w:val="(%1)"/>
      <w:numFmt w:val="lowerRoman"/>
      <w:start w:val="1"/>
    </w:lvl>
  </w:abstractNum>
  <w:abstractNum w:abstractNumId="41">
    <w:nsid w:val="540A471C"/>
    <w:multiLevelType w:val="hybridMultilevel"/>
    <w:lvl w:ilvl="0">
      <w:lvlJc w:val="left"/>
      <w:lvlText w:val="(%1)"/>
      <w:numFmt w:val="lowerRoman"/>
      <w:start w:val="2"/>
    </w:lvl>
  </w:abstractNum>
  <w:abstractNum w:abstractNumId="42">
    <w:nsid w:val="7BD3EE7B"/>
    <w:multiLevelType w:val="hybridMultilevel"/>
    <w:lvl w:ilvl="0">
      <w:lvlJc w:val="left"/>
      <w:lvlText w:val="(%1)"/>
      <w:numFmt w:val="lowerRoman"/>
      <w:start w:val="4"/>
    </w:lvl>
  </w:abstractNum>
  <w:abstractNum w:abstractNumId="43">
    <w:nsid w:val="51D9C564"/>
    <w:multiLevelType w:val="hybridMultilevel"/>
    <w:lvl w:ilvl="0">
      <w:lvlJc w:val="left"/>
      <w:lvlText w:val="(%1)"/>
      <w:numFmt w:val="lowerRoman"/>
      <w:start w:val="1"/>
    </w:lvl>
    <w:lvl w:ilvl="1">
      <w:lvlJc w:val="left"/>
      <w:lvlText w:val="(%2)"/>
      <w:numFmt w:val="lowerRoman"/>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2"/>
    </w:lvl>
  </w:abstractNum>
  <w:abstractNum w:abstractNumId="46">
    <w:nsid w:val="11447B73"/>
    <w:multiLevelType w:val="hybridMultilevel"/>
    <w:lvl w:ilvl="0">
      <w:lvlJc w:val="left"/>
      <w:lvlText w:val="%1."/>
      <w:numFmt w:val="decimal"/>
      <w:start w:val="3"/>
    </w:lvl>
  </w:abstractNum>
  <w:abstractNum w:abstractNumId="47">
    <w:nsid w:val="42963E5A"/>
    <w:multiLevelType w:val="hybridMultilevel"/>
    <w:lvl w:ilvl="0">
      <w:lvlJc w:val="left"/>
      <w:lvlText w:val="%1."/>
      <w:numFmt w:val="decimal"/>
      <w:start w:val="4"/>
    </w:lvl>
  </w:abstractNum>
  <w:abstractNum w:abstractNumId="48">
    <w:nsid w:val="A0382C5"/>
    <w:multiLevelType w:val="hybridMultilevel"/>
    <w:lvl w:ilvl="0">
      <w:lvlJc w:val="left"/>
      <w:lvlText w:val="(%1)"/>
      <w:numFmt w:val="decimal"/>
      <w:start w:val="24"/>
    </w:lvl>
  </w:abstractNum>
  <w:abstractNum w:abstractNumId="49">
    <w:nsid w:val="8F2B15E"/>
    <w:multiLevelType w:val="hybridMultilevel"/>
    <w:lvl w:ilvl="0">
      <w:lvlJc w:val="left"/>
      <w:lvlText w:val="(%1)"/>
      <w:numFmt w:val="lowerRoman"/>
      <w:start w:val="3"/>
    </w:lvl>
  </w:abstractNum>
  <w:abstractNum w:abstractNumId="50">
    <w:nsid w:val="1A32234B"/>
    <w:multiLevelType w:val="hybridMultilevel"/>
    <w:lvl w:ilvl="0">
      <w:lvlJc w:val="left"/>
      <w:lvlText w:val="%1."/>
      <w:numFmt w:val="decimal"/>
      <w:start w:val="5"/>
    </w:lvl>
  </w:abstractNum>
  <w:abstractNum w:abstractNumId="51">
    <w:nsid w:val="3B0FD379"/>
    <w:multiLevelType w:val="hybridMultilevel"/>
    <w:lvl w:ilvl="0">
      <w:lvlJc w:val="left"/>
      <w:lvlText w:val="%1."/>
      <w:numFmt w:val="decimal"/>
      <w:start w:val="6"/>
    </w:lvl>
  </w:abstractNum>
  <w:abstractNum w:abstractNumId="52">
    <w:nsid w:val="68EB2F63"/>
    <w:multiLevelType w:val="hybridMultilevel"/>
    <w:lvl w:ilvl="0">
      <w:lvlJc w:val="left"/>
      <w:lvlText w:val="(%1)"/>
      <w:numFmt w:val="lowerLetter"/>
      <w:start w:val="2"/>
    </w:lvl>
  </w:abstractNum>
  <w:abstractNum w:abstractNumId="53">
    <w:nsid w:val="4962813B"/>
    <w:multiLevelType w:val="hybridMultilevel"/>
    <w:lvl w:ilvl="0">
      <w:lvlJc w:val="left"/>
      <w:lvlText w:val="%1."/>
      <w:numFmt w:val="decimal"/>
      <w:start w:val="7"/>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decimal"/>
      <w:start w:val="8"/>
    </w:lvl>
  </w:abstractNum>
  <w:abstractNum w:abstractNumId="56">
    <w:nsid w:val="14330624"/>
    <w:multiLevelType w:val="hybridMultilevel"/>
    <w:lvl w:ilvl="0">
      <w:lvlJc w:val="left"/>
      <w:lvlText w:val="%1."/>
      <w:numFmt w:val="decimal"/>
      <w:start w:val="9"/>
    </w:lvl>
  </w:abstractNum>
  <w:abstractNum w:abstractNumId="57">
    <w:nsid w:val="7FFFCA11"/>
    <w:multiLevelType w:val="hybridMultilevel"/>
    <w:lvl w:ilvl="0">
      <w:lvlJc w:val="left"/>
      <w:lvlText w:val="%1."/>
      <w:numFmt w:val="decimal"/>
      <w:start w:val="10"/>
    </w:lvl>
  </w:abstractNum>
  <w:abstractNum w:abstractNumId="58">
    <w:nsid w:val="1A27709E"/>
    <w:multiLevelType w:val="hybridMultilevel"/>
    <w:lvl w:ilvl="0">
      <w:lvlJc w:val="left"/>
      <w:lvlText w:val="%1."/>
      <w:numFmt w:val="decimal"/>
      <w:start w:val="11"/>
    </w:lvl>
  </w:abstractNum>
  <w:abstractNum w:abstractNumId="59">
    <w:nsid w:val="71EA1109"/>
    <w:multiLevelType w:val="hybridMultilevel"/>
    <w:lvl w:ilvl="0">
      <w:lvlJc w:val="left"/>
      <w:lvlText w:val="%1."/>
      <w:numFmt w:val="decimal"/>
      <w:start w:val="12"/>
    </w:lvl>
  </w:abstractNum>
  <w:abstractNum w:abstractNumId="60">
    <w:nsid w:val="100F59DC"/>
    <w:multiLevelType w:val="hybridMultilevel"/>
    <w:lvl w:ilvl="0">
      <w:lvlJc w:val="left"/>
      <w:lvlText w:val="(%1)"/>
      <w:numFmt w:val="lowerRoman"/>
      <w:start w:val="1"/>
    </w:lvl>
  </w:abstractNum>
  <w:abstractNum w:abstractNumId="61">
    <w:nsid w:val="7FB7E0AA"/>
    <w:multiLevelType w:val="hybridMultilevel"/>
    <w:lvl w:ilvl="0">
      <w:lvlJc w:val="left"/>
      <w:lvlText w:val="(%1)"/>
      <w:numFmt w:val="lowerRoman"/>
      <w:start w:val="1"/>
    </w:lvl>
    <w:lvl w:ilvl="1">
      <w:lvlJc w:val="left"/>
      <w:lvlText w:val="(%2)"/>
      <w:numFmt w:val="lowerRoman"/>
      <w:start w:val="3"/>
    </w:lvl>
  </w:abstractNum>
  <w:abstractNum w:abstractNumId="62">
    <w:nsid w:val="6EB5BD4"/>
    <w:multiLevelType w:val="hybridMultilevel"/>
    <w:lvl w:ilvl="0">
      <w:lvlJc w:val="left"/>
      <w:lvlText w:val="(%1)"/>
      <w:numFmt w:val="lowerRoman"/>
      <w:start w:val="1"/>
    </w:lvl>
  </w:abstractNum>
  <w:abstractNum w:abstractNumId="63">
    <w:nsid w:val="6F6DD9AC"/>
    <w:multiLevelType w:val="hybridMultilevel"/>
    <w:lvl w:ilvl="0">
      <w:lvlJc w:val="left"/>
      <w:lvlText w:val="(%1)"/>
      <w:numFmt w:val="lowerRoman"/>
      <w:start w:val="2"/>
    </w:lvl>
  </w:abstractNum>
  <w:abstractNum w:abstractNumId="64">
    <w:nsid w:val="94211F2"/>
    <w:multiLevelType w:val="hybridMultilevel"/>
    <w:lvl w:ilvl="0">
      <w:lvlJc w:val="left"/>
      <w:lvlText w:val="(%1)"/>
      <w:numFmt w:val="lowerRoman"/>
      <w:start w:val="1"/>
    </w:lvl>
    <w:lvl w:ilvl="1">
      <w:lvlJc w:val="left"/>
      <w:lvlText w:val="(%2)"/>
      <w:numFmt w:val="lowerRoman"/>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lvl w:ilvl="1">
      <w:lvlJc w:val="left"/>
      <w:lvlText w:val="o"/>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o"/>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lvl w:ilvl="1">
      <w:lvlJc w:val="left"/>
      <w:lvlText w:val="o"/>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lvl w:ilvl="1">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5" Type="http://schemas.openxmlformats.org/officeDocument/2006/relationships/hyperlink" Target="https://www.sec.gov/Archives/edgar/data/1133421/000119312523028549/d45434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2023-04-27T05:47:32Z</dcterms:created>
  <dcterms:modified xsi:type="dcterms:W3CDTF">2023-04-27T05:47:32Z</dcterms:modified>
</cp:coreProperties>
</file>